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30A95" w:rsidRPr="003C73D8" w:rsidP="00830A95">
      <w:pPr>
        <w:jc w:val="center"/>
        <w:rPr>
          <w:b/>
          <w:szCs w:val="22"/>
        </w:rPr>
      </w:pPr>
      <w:bookmarkStart w:id="0" w:name="_Hlk533595090"/>
      <w:r w:rsidRPr="003C73D8">
        <w:rPr>
          <w:b/>
          <w:kern w:val="0"/>
          <w:szCs w:val="22"/>
        </w:rPr>
        <w:t>Before</w:t>
      </w:r>
      <w:r w:rsidRPr="003C73D8">
        <w:rPr>
          <w:b/>
          <w:szCs w:val="22"/>
        </w:rPr>
        <w:t xml:space="preserve"> the</w:t>
      </w:r>
      <w:r>
        <w:rPr>
          <w:b/>
          <w:szCs w:val="22"/>
        </w:rPr>
        <w:t xml:space="preserve"> </w:t>
      </w:r>
    </w:p>
    <w:p w:rsidR="00830A95" w:rsidRPr="003C73D8" w:rsidP="00830A95">
      <w:pPr>
        <w:pStyle w:val="StyleBoldCentered"/>
        <w:rPr>
          <w:rFonts w:ascii="Times New Roman" w:hAnsi="Times New Roman"/>
        </w:rPr>
      </w:pPr>
      <w:r w:rsidRPr="003C73D8">
        <w:rPr>
          <w:rFonts w:ascii="Times New Roman" w:hAnsi="Times New Roman"/>
        </w:rPr>
        <w:t>F</w:t>
      </w:r>
      <w:r w:rsidRPr="003C73D8">
        <w:rPr>
          <w:rFonts w:ascii="Times New Roman" w:hAnsi="Times New Roman"/>
          <w:caps w:val="0"/>
        </w:rPr>
        <w:t>ederal Communications Commission</w:t>
      </w:r>
    </w:p>
    <w:p w:rsidR="00830A95" w:rsidRPr="00ED3BD7" w:rsidP="00830A95">
      <w:pPr>
        <w:pStyle w:val="StyleBoldCentered"/>
        <w:rPr>
          <w:rFonts w:ascii="Times New Roman" w:hAnsi="Times New Roman"/>
        </w:rPr>
      </w:pPr>
      <w:r w:rsidRPr="003C73D8">
        <w:rPr>
          <w:rFonts w:ascii="Times New Roman" w:hAnsi="Times New Roman"/>
          <w:caps w:val="0"/>
        </w:rPr>
        <w:t>Washington, D.C. 20554</w:t>
      </w:r>
    </w:p>
    <w:p w:rsidR="00830A95" w:rsidRPr="003C73D8" w:rsidP="00830A95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:rsidTr="00EC6F0D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3C73D8">
              <w:rPr>
                <w:spacing w:val="-2"/>
                <w:szCs w:val="22"/>
              </w:rPr>
              <w:t>In the Matter of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3C73D8">
              <w:rPr>
                <w:spacing w:val="-2"/>
                <w:szCs w:val="22"/>
              </w:rPr>
              <w:t>Lifeline and Link Up Reform and Modernization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830A95" w:rsidRPr="003C73D8" w:rsidP="00EC6F0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3C73D8">
              <w:rPr>
                <w:b/>
                <w:spacing w:val="-2"/>
                <w:szCs w:val="22"/>
              </w:rPr>
              <w:t>)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3C73D8">
              <w:rPr>
                <w:b/>
                <w:spacing w:val="-2"/>
                <w:szCs w:val="22"/>
              </w:rPr>
              <w:t>)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3C73D8">
              <w:rPr>
                <w:b/>
                <w:spacing w:val="-2"/>
                <w:szCs w:val="22"/>
              </w:rPr>
              <w:t>)</w:t>
            </w:r>
          </w:p>
          <w:p w:rsidR="00830A95" w:rsidP="00EC6F0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3C73D8">
              <w:rPr>
                <w:b/>
                <w:spacing w:val="-2"/>
                <w:szCs w:val="22"/>
              </w:rPr>
              <w:t>)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30A95" w:rsidRPr="003C73D8" w:rsidP="00EC6F0D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3C73D8">
              <w:rPr>
                <w:spacing w:val="-2"/>
                <w:szCs w:val="22"/>
              </w:rPr>
              <w:t>WC Docket No. 11-42</w:t>
            </w: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30A95" w:rsidRPr="003C73D8" w:rsidP="00EC6F0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830A95" w:rsidP="00830A95">
      <w:pPr>
        <w:rPr>
          <w:szCs w:val="22"/>
        </w:rPr>
      </w:pPr>
    </w:p>
    <w:p w:rsidR="00830A95" w:rsidP="00830A95">
      <w:pPr>
        <w:rPr>
          <w:szCs w:val="22"/>
        </w:rPr>
      </w:pPr>
    </w:p>
    <w:p w:rsidR="00830A95" w:rsidRPr="003C73D8" w:rsidP="00830A95">
      <w:pPr>
        <w:rPr>
          <w:szCs w:val="22"/>
        </w:rPr>
      </w:pPr>
    </w:p>
    <w:p w:rsidR="00830A95" w:rsidRPr="003C73D8" w:rsidP="00830A95">
      <w:pPr>
        <w:pStyle w:val="StyleBoldCentered"/>
        <w:rPr>
          <w:rFonts w:ascii="Times New Roman" w:hAnsi="Times New Roman"/>
        </w:rPr>
      </w:pPr>
      <w:r w:rsidRPr="003C73D8">
        <w:rPr>
          <w:rFonts w:ascii="Times New Roman" w:hAnsi="Times New Roman"/>
        </w:rPr>
        <w:t>ORDER</w:t>
      </w:r>
    </w:p>
    <w:p w:rsidR="00830A95" w:rsidP="00830A95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830A95" w:rsidRPr="003C73D8" w:rsidP="00830A95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  <w:bookmarkStart w:id="1" w:name="_GoBack"/>
      <w:bookmarkEnd w:id="1"/>
    </w:p>
    <w:p w:rsidR="00830A95" w:rsidRPr="003C73D8" w:rsidP="00830A95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3C73D8">
        <w:rPr>
          <w:b/>
          <w:spacing w:val="-2"/>
          <w:szCs w:val="22"/>
        </w:rPr>
        <w:t xml:space="preserve">Adopted:  </w:t>
      </w:r>
      <w:r>
        <w:rPr>
          <w:b/>
          <w:spacing w:val="-2"/>
          <w:szCs w:val="22"/>
        </w:rPr>
        <w:t>December 26, 2018</w:t>
      </w:r>
      <w:r w:rsidRPr="003C73D8">
        <w:rPr>
          <w:b/>
          <w:spacing w:val="-2"/>
          <w:szCs w:val="22"/>
        </w:rPr>
        <w:tab/>
        <w:t xml:space="preserve">Released:  </w:t>
      </w:r>
      <w:r>
        <w:rPr>
          <w:b/>
          <w:spacing w:val="-2"/>
          <w:szCs w:val="22"/>
        </w:rPr>
        <w:t>December 26, 2018</w:t>
      </w:r>
    </w:p>
    <w:p w:rsidR="00830A95" w:rsidRPr="003C73D8" w:rsidP="00830A95">
      <w:pPr>
        <w:rPr>
          <w:szCs w:val="22"/>
        </w:rPr>
      </w:pPr>
    </w:p>
    <w:p w:rsidR="00830A95" w:rsidRPr="003C73D8" w:rsidP="00830A95">
      <w:pPr>
        <w:rPr>
          <w:spacing w:val="-2"/>
          <w:szCs w:val="22"/>
        </w:rPr>
      </w:pPr>
      <w:r w:rsidRPr="003C73D8">
        <w:rPr>
          <w:szCs w:val="22"/>
        </w:rPr>
        <w:t xml:space="preserve">By the </w:t>
      </w:r>
      <w:r w:rsidRPr="003C73D8">
        <w:rPr>
          <w:spacing w:val="-2"/>
          <w:szCs w:val="22"/>
        </w:rPr>
        <w:t>Chief, Wireline Competition Bureau:</w:t>
      </w:r>
    </w:p>
    <w:p w:rsidR="00830A95" w:rsidRPr="003C73D8" w:rsidP="00830A95">
      <w:pPr>
        <w:rPr>
          <w:spacing w:val="-2"/>
          <w:szCs w:val="22"/>
        </w:rPr>
      </w:pPr>
    </w:p>
    <w:p w:rsidR="00830A95" w:rsidRPr="003C73D8" w:rsidP="00830A95">
      <w:pPr>
        <w:pStyle w:val="Heading1"/>
        <w:rPr>
          <w:rFonts w:ascii="Times New Roman" w:hAnsi="Times New Roman"/>
          <w:szCs w:val="22"/>
        </w:rPr>
      </w:pPr>
      <w:r w:rsidRPr="003C73D8">
        <w:rPr>
          <w:rFonts w:ascii="Times New Roman" w:hAnsi="Times New Roman"/>
          <w:szCs w:val="22"/>
        </w:rPr>
        <w:t>introduction</w:t>
      </w:r>
    </w:p>
    <w:p w:rsidR="00830A95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>
        <w:rPr>
          <w:szCs w:val="22"/>
        </w:rPr>
        <w:t xml:space="preserve">In November 2018, a wildfire known as the Camp Fire inflicted tremendous damage and led to the evacuation of tens of thousands of people in Butte County, California.  As a result, the California Public Utilities Commission (CPUC) has petitioned for a temporary waiver of the Lifeline recertification and non-usage rules to prevent eligible low-income subscribers from being de-enrolled from the Lifeline program during the wildfire recovery period.  </w:t>
      </w:r>
      <w:r w:rsidRPr="003C73D8">
        <w:rPr>
          <w:szCs w:val="22"/>
        </w:rPr>
        <w:t>In this Order, the Wireline Competition Bureau (Bureau) grant</w:t>
      </w:r>
      <w:r>
        <w:rPr>
          <w:szCs w:val="22"/>
        </w:rPr>
        <w:t>s</w:t>
      </w:r>
      <w:r w:rsidRPr="003C73D8">
        <w:rPr>
          <w:szCs w:val="22"/>
        </w:rPr>
        <w:t xml:space="preserve"> the CPUC</w:t>
      </w:r>
      <w:r>
        <w:rPr>
          <w:szCs w:val="22"/>
        </w:rPr>
        <w:t>’s</w:t>
      </w:r>
      <w:r w:rsidRPr="003C73D8">
        <w:rPr>
          <w:szCs w:val="22"/>
        </w:rPr>
        <w:t xml:space="preserve"> petition requesting temporary waivers of the Lifeline program’s non-usage </w:t>
      </w:r>
      <w:r>
        <w:rPr>
          <w:szCs w:val="22"/>
        </w:rPr>
        <w:t xml:space="preserve">and </w:t>
      </w:r>
      <w:r w:rsidRPr="003C73D8">
        <w:rPr>
          <w:szCs w:val="22"/>
        </w:rPr>
        <w:t xml:space="preserve">recertification rules for subscribers in </w:t>
      </w:r>
      <w:r>
        <w:rPr>
          <w:szCs w:val="22"/>
        </w:rPr>
        <w:t>Butte County, California</w:t>
      </w:r>
      <w:r w:rsidRPr="003C73D8">
        <w:rPr>
          <w:szCs w:val="22"/>
        </w:rPr>
        <w:t xml:space="preserve"> affected by the </w:t>
      </w:r>
      <w:r>
        <w:rPr>
          <w:szCs w:val="22"/>
        </w:rPr>
        <w:t>Camp Fire</w:t>
      </w:r>
      <w:r w:rsidRPr="003C73D8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3C73D8">
        <w:rPr>
          <w:szCs w:val="22"/>
        </w:rPr>
        <w:t xml:space="preserve">  Based on the record before us, we find that good cause exists to temporarily waive the</w:t>
      </w:r>
      <w:r>
        <w:rPr>
          <w:szCs w:val="22"/>
        </w:rPr>
        <w:t>se</w:t>
      </w:r>
      <w:r w:rsidRPr="003C73D8">
        <w:rPr>
          <w:szCs w:val="22"/>
        </w:rPr>
        <w:t xml:space="preserve"> rules and deadlines, as provided herein, to assist Lifeline program participants in </w:t>
      </w:r>
      <w:r>
        <w:rPr>
          <w:szCs w:val="22"/>
        </w:rPr>
        <w:t>Butte County</w:t>
      </w:r>
      <w:r w:rsidRPr="003C73D8">
        <w:rPr>
          <w:szCs w:val="22"/>
        </w:rPr>
        <w:t xml:space="preserve"> affected by the recent California wildfire.</w:t>
      </w:r>
      <w:r>
        <w:rPr>
          <w:rStyle w:val="FootnoteReference"/>
          <w:szCs w:val="22"/>
        </w:rPr>
        <w:footnoteReference w:id="3"/>
      </w:r>
      <w:r w:rsidRPr="003C73D8">
        <w:rPr>
          <w:szCs w:val="22"/>
        </w:rPr>
        <w:t xml:space="preserve">  </w:t>
      </w:r>
    </w:p>
    <w:p w:rsidR="00830A95" w:rsidRPr="00C53A02" w:rsidP="00830A95">
      <w:pPr>
        <w:pStyle w:val="Heading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BACKGROUND</w:t>
      </w:r>
    </w:p>
    <w:p w:rsidR="00830A95" w:rsidRPr="00931F84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931F84">
        <w:rPr>
          <w:szCs w:val="22"/>
        </w:rPr>
        <w:t>Beginning on November 8, 2018, the Camp Fire caused 88 deaths, damaged or destroyed over 19,000 structures, and burned 153,336 acres.</w:t>
      </w:r>
      <w:r>
        <w:rPr>
          <w:rStyle w:val="FootnoteReference"/>
          <w:szCs w:val="22"/>
        </w:rPr>
        <w:footnoteReference w:id="4"/>
      </w:r>
      <w:r w:rsidRPr="00931F84">
        <w:rPr>
          <w:szCs w:val="22"/>
        </w:rPr>
        <w:t xml:space="preserve">  </w:t>
      </w:r>
      <w:r>
        <w:rPr>
          <w:szCs w:val="22"/>
        </w:rPr>
        <w:t>T</w:t>
      </w:r>
      <w:r w:rsidRPr="00931F84">
        <w:rPr>
          <w:szCs w:val="22"/>
        </w:rPr>
        <w:t>he fires also caused power outages and damage to communications services, and tens of thousands of residents have been displaced from their homes.</w:t>
      </w:r>
      <w:r>
        <w:rPr>
          <w:rStyle w:val="FootnoteReference"/>
          <w:szCs w:val="22"/>
        </w:rPr>
        <w:footnoteReference w:id="5"/>
      </w:r>
      <w:r w:rsidRPr="00931F84">
        <w:rPr>
          <w:szCs w:val="22"/>
        </w:rPr>
        <w:t xml:space="preserve">  The Acting Governor of California declared a state of emergency in Butte County on November 8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931F84">
        <w:rPr>
          <w:szCs w:val="22"/>
        </w:rPr>
        <w:t xml:space="preserve">  Due to the damage caused by these fires, the CPUC </w:t>
      </w:r>
      <w:r>
        <w:rPr>
          <w:szCs w:val="22"/>
        </w:rPr>
        <w:t xml:space="preserve">filed a </w:t>
      </w:r>
      <w:r w:rsidRPr="00931F84">
        <w:rPr>
          <w:szCs w:val="22"/>
        </w:rPr>
        <w:t>Petition on December 19, 2018 request</w:t>
      </w:r>
      <w:r>
        <w:rPr>
          <w:szCs w:val="22"/>
        </w:rPr>
        <w:t>ing</w:t>
      </w:r>
      <w:r w:rsidRPr="00931F84">
        <w:rPr>
          <w:szCs w:val="22"/>
        </w:rPr>
        <w:t xml:space="preserve"> a six-month suspension </w:t>
      </w:r>
      <w:r>
        <w:rPr>
          <w:szCs w:val="22"/>
        </w:rPr>
        <w:t xml:space="preserve">from November 1, 2018 to May 1, 2019 </w:t>
      </w:r>
      <w:r w:rsidRPr="00931F84">
        <w:rPr>
          <w:szCs w:val="22"/>
        </w:rPr>
        <w:t>of the Commission’s non-usage and recertification rules for all Lifeline subscribers residing in Butte County,</w:t>
      </w:r>
      <w:r>
        <w:rPr>
          <w:rStyle w:val="FootnoteReference"/>
          <w:szCs w:val="22"/>
        </w:rPr>
        <w:footnoteReference w:id="7"/>
      </w:r>
      <w:r w:rsidRPr="00931F84">
        <w:rPr>
          <w:szCs w:val="22"/>
        </w:rPr>
        <w:t xml:space="preserve"> including those who enroll in the program during the waiver period.</w:t>
      </w:r>
      <w:r>
        <w:rPr>
          <w:rStyle w:val="FootnoteReference"/>
          <w:szCs w:val="22"/>
        </w:rPr>
        <w:footnoteReference w:id="8"/>
      </w:r>
      <w:r w:rsidRPr="00931F84">
        <w:rPr>
          <w:szCs w:val="22"/>
        </w:rPr>
        <w:t xml:space="preserve">  The CPUC contends that a temporary waiver is necessary as </w:t>
      </w:r>
      <w:r w:rsidRPr="00931F84">
        <w:rPr>
          <w:szCs w:val="22"/>
        </w:rPr>
        <w:t>communications services are rebuilt, and many residents of Butte County begin the process of rebuilding their lives and communities.</w:t>
      </w:r>
      <w:r>
        <w:rPr>
          <w:rStyle w:val="FootnoteReference"/>
          <w:szCs w:val="22"/>
        </w:rPr>
        <w:footnoteReference w:id="9"/>
      </w:r>
    </w:p>
    <w:p w:rsidR="00830A95" w:rsidRPr="003C73D8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>
        <w:rPr>
          <w:szCs w:val="22"/>
        </w:rPr>
        <w:t xml:space="preserve">The </w:t>
      </w:r>
      <w:r w:rsidRPr="003C73D8">
        <w:rPr>
          <w:szCs w:val="22"/>
        </w:rPr>
        <w:t xml:space="preserve">CPUC also requests a temporary waiver of the Commission’s Lifeline recertification requirements for </w:t>
      </w:r>
      <w:r>
        <w:rPr>
          <w:szCs w:val="22"/>
        </w:rPr>
        <w:t>Lifeline subscribers residing</w:t>
      </w:r>
      <w:r w:rsidRPr="003C73D8">
        <w:rPr>
          <w:szCs w:val="22"/>
        </w:rPr>
        <w:t xml:space="preserve"> in </w:t>
      </w:r>
      <w:r>
        <w:rPr>
          <w:szCs w:val="22"/>
        </w:rPr>
        <w:t>Butte County</w:t>
      </w:r>
      <w:r w:rsidRPr="003C73D8">
        <w:rPr>
          <w:szCs w:val="22"/>
        </w:rPr>
        <w:t>.</w:t>
      </w:r>
      <w:r>
        <w:rPr>
          <w:rStyle w:val="FootnoteReference"/>
          <w:szCs w:val="22"/>
        </w:rPr>
        <w:footnoteReference w:id="10"/>
      </w:r>
      <w:r w:rsidRPr="003C73D8">
        <w:rPr>
          <w:szCs w:val="22"/>
        </w:rPr>
        <w:t xml:space="preserve">  California Lifeline Program recertification forms are typically delivered by mail to the subscriber’s original service address.</w:t>
      </w:r>
      <w:r>
        <w:rPr>
          <w:rStyle w:val="FootnoteReference"/>
          <w:szCs w:val="22"/>
        </w:rPr>
        <w:footnoteReference w:id="11"/>
      </w:r>
      <w:r w:rsidRPr="003C73D8">
        <w:rPr>
          <w:szCs w:val="22"/>
        </w:rPr>
        <w:t xml:space="preserve">  </w:t>
      </w:r>
      <w:r>
        <w:rPr>
          <w:szCs w:val="22"/>
        </w:rPr>
        <w:t xml:space="preserve">The </w:t>
      </w:r>
      <w:r w:rsidRPr="003C73D8">
        <w:rPr>
          <w:szCs w:val="22"/>
        </w:rPr>
        <w:t xml:space="preserve">CPUC argues that if a subscriber had to relocate </w:t>
      </w:r>
      <w:r>
        <w:rPr>
          <w:szCs w:val="22"/>
        </w:rPr>
        <w:t xml:space="preserve">because </w:t>
      </w:r>
      <w:r w:rsidRPr="003C73D8">
        <w:rPr>
          <w:szCs w:val="22"/>
        </w:rPr>
        <w:t xml:space="preserve">his or her house was </w:t>
      </w:r>
      <w:r>
        <w:rPr>
          <w:szCs w:val="22"/>
        </w:rPr>
        <w:t xml:space="preserve">damaged or </w:t>
      </w:r>
      <w:r w:rsidRPr="003C73D8">
        <w:rPr>
          <w:szCs w:val="22"/>
        </w:rPr>
        <w:t>destroyed</w:t>
      </w:r>
      <w:r>
        <w:rPr>
          <w:szCs w:val="22"/>
        </w:rPr>
        <w:t xml:space="preserve"> in the fires</w:t>
      </w:r>
      <w:r w:rsidRPr="003C73D8">
        <w:rPr>
          <w:szCs w:val="22"/>
        </w:rPr>
        <w:t xml:space="preserve">, </w:t>
      </w:r>
      <w:r>
        <w:rPr>
          <w:szCs w:val="22"/>
        </w:rPr>
        <w:t>the subscriber would have no way to</w:t>
      </w:r>
      <w:r w:rsidRPr="003C73D8">
        <w:rPr>
          <w:szCs w:val="22"/>
        </w:rPr>
        <w:t xml:space="preserve"> receive the recertification forms.</w:t>
      </w:r>
      <w:r>
        <w:rPr>
          <w:rStyle w:val="FootnoteReference"/>
          <w:szCs w:val="22"/>
        </w:rPr>
        <w:footnoteReference w:id="12"/>
      </w:r>
      <w:r w:rsidRPr="003C73D8">
        <w:rPr>
          <w:szCs w:val="22"/>
        </w:rPr>
        <w:t xml:space="preserve">  Accordingly, the CPUC requests that the Commission’s renewal and recertification rules be </w:t>
      </w:r>
      <w:r>
        <w:rPr>
          <w:szCs w:val="22"/>
        </w:rPr>
        <w:t>temporarily waived</w:t>
      </w:r>
      <w:r w:rsidRPr="003C73D8">
        <w:rPr>
          <w:szCs w:val="22"/>
        </w:rPr>
        <w:t xml:space="preserve"> for subscribers living in </w:t>
      </w:r>
      <w:r>
        <w:rPr>
          <w:szCs w:val="22"/>
        </w:rPr>
        <w:t>Butte County</w:t>
      </w:r>
      <w:r w:rsidRPr="003C73D8">
        <w:rPr>
          <w:szCs w:val="22"/>
        </w:rPr>
        <w:t xml:space="preserve"> and whose service anniversary dates fall between </w:t>
      </w:r>
      <w:r>
        <w:rPr>
          <w:szCs w:val="22"/>
        </w:rPr>
        <w:t>November</w:t>
      </w:r>
      <w:r w:rsidRPr="003C73D8">
        <w:rPr>
          <w:szCs w:val="22"/>
        </w:rPr>
        <w:t xml:space="preserve"> 1, 201</w:t>
      </w:r>
      <w:r>
        <w:rPr>
          <w:szCs w:val="22"/>
        </w:rPr>
        <w:t>8</w:t>
      </w:r>
      <w:r w:rsidRPr="003C73D8">
        <w:rPr>
          <w:szCs w:val="22"/>
        </w:rPr>
        <w:t xml:space="preserve"> and </w:t>
      </w:r>
      <w:r>
        <w:rPr>
          <w:szCs w:val="22"/>
        </w:rPr>
        <w:t>May 1, 2019.</w:t>
      </w:r>
      <w:r>
        <w:rPr>
          <w:rStyle w:val="FootnoteReference"/>
          <w:szCs w:val="22"/>
        </w:rPr>
        <w:footnoteReference w:id="13"/>
      </w:r>
      <w:r w:rsidRPr="003C73D8">
        <w:rPr>
          <w:szCs w:val="22"/>
        </w:rPr>
        <w:t xml:space="preserve">  </w:t>
      </w:r>
      <w:r>
        <w:rPr>
          <w:szCs w:val="22"/>
        </w:rPr>
        <w:t xml:space="preserve">The </w:t>
      </w:r>
      <w:r w:rsidRPr="003C73D8">
        <w:rPr>
          <w:szCs w:val="22"/>
        </w:rPr>
        <w:t xml:space="preserve">CPUC </w:t>
      </w:r>
      <w:r>
        <w:rPr>
          <w:szCs w:val="22"/>
        </w:rPr>
        <w:t>requests that those subscribers receiving a waiver be permitted to begin their recertification process again on May 1, 2019,</w:t>
      </w:r>
      <w:r>
        <w:rPr>
          <w:rStyle w:val="FootnoteReference"/>
          <w:szCs w:val="22"/>
        </w:rPr>
        <w:footnoteReference w:id="14"/>
      </w:r>
      <w:r>
        <w:rPr>
          <w:szCs w:val="22"/>
        </w:rPr>
        <w:t xml:space="preserve"> which, in conjunction with the CPUC’s 105-day Lifeline renewal process, would give affected subscribers a new service anniversary date of August 14, 2019.</w:t>
      </w:r>
      <w:r>
        <w:rPr>
          <w:rStyle w:val="FootnoteReference"/>
          <w:szCs w:val="22"/>
        </w:rPr>
        <w:footnoteReference w:id="15"/>
      </w:r>
    </w:p>
    <w:p w:rsidR="00830A95" w:rsidRPr="00FF690C" w:rsidP="00830A95">
      <w:pPr>
        <w:pStyle w:val="Heading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DISCUSSION</w:t>
      </w:r>
    </w:p>
    <w:p w:rsidR="00830A95" w:rsidRPr="003C73D8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3C73D8">
        <w:rPr>
          <w:szCs w:val="22"/>
        </w:rPr>
        <w:t xml:space="preserve"> Generally, the Commission’s rules may be waived for good cause shown.</w:t>
      </w:r>
      <w:r>
        <w:rPr>
          <w:rStyle w:val="FootnoteReference"/>
          <w:szCs w:val="22"/>
        </w:rPr>
        <w:footnoteReference w:id="16"/>
      </w:r>
      <w:r w:rsidRPr="003C73D8">
        <w:rPr>
          <w:szCs w:val="22"/>
        </w:rPr>
        <w:t xml:space="preserve"> </w:t>
      </w:r>
      <w:r>
        <w:rPr>
          <w:szCs w:val="22"/>
        </w:rPr>
        <w:t xml:space="preserve"> </w:t>
      </w:r>
      <w:r w:rsidRPr="003C73D8">
        <w:rPr>
          <w:szCs w:val="22"/>
        </w:rPr>
        <w:t>The Commission may exercise its discretion to waive a rule where the particular facts make strict compliance inconsistent with the public interest.</w:t>
      </w:r>
      <w:r>
        <w:rPr>
          <w:rStyle w:val="FootnoteReference"/>
          <w:szCs w:val="22"/>
        </w:rPr>
        <w:footnoteReference w:id="17"/>
      </w:r>
      <w:r w:rsidRPr="003C73D8">
        <w:rPr>
          <w:szCs w:val="22"/>
        </w:rPr>
        <w:t xml:space="preserve">  In addition, the Commission may take into account considerations of hardship, equity, or more effective implementation of overall policy on an overall basis.</w:t>
      </w:r>
      <w:r>
        <w:rPr>
          <w:rStyle w:val="FootnoteReference"/>
          <w:szCs w:val="22"/>
        </w:rPr>
        <w:footnoteReference w:id="18"/>
      </w:r>
      <w:r w:rsidRPr="003C73D8">
        <w:rPr>
          <w:szCs w:val="22"/>
        </w:rPr>
        <w:t xml:space="preserve">  We grant the petition for waiver of the Commission’s non-usage and recertification rules</w:t>
      </w:r>
      <w:r>
        <w:rPr>
          <w:szCs w:val="22"/>
        </w:rPr>
        <w:t xml:space="preserve"> for all Lifeline subscribers in Butte County.</w:t>
      </w:r>
      <w:r w:rsidRPr="003C73D8">
        <w:rPr>
          <w:szCs w:val="22"/>
        </w:rPr>
        <w:t xml:space="preserve">  </w:t>
      </w:r>
    </w:p>
    <w:p w:rsidR="00830A95" w:rsidRPr="00931F84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931F84">
        <w:rPr>
          <w:szCs w:val="22"/>
        </w:rPr>
        <w:t>The petition requests a six-month waiver of the Commission’s Lifeline program’s non-usage and recertification rules for Butte County.</w:t>
      </w:r>
      <w:r>
        <w:rPr>
          <w:rStyle w:val="FootnoteReference"/>
          <w:szCs w:val="22"/>
        </w:rPr>
        <w:footnoteReference w:id="19"/>
      </w:r>
      <w:r w:rsidRPr="00931F84">
        <w:rPr>
          <w:szCs w:val="22"/>
        </w:rPr>
        <w:t xml:space="preserve">  Based on the record before us, we find that good cause exists to waive, </w:t>
      </w:r>
      <w:r>
        <w:rPr>
          <w:szCs w:val="22"/>
        </w:rPr>
        <w:t xml:space="preserve">from November 1, 2018 </w:t>
      </w:r>
      <w:r w:rsidRPr="00931F84">
        <w:rPr>
          <w:szCs w:val="22"/>
        </w:rPr>
        <w:t>through May 1, 2019, sections 54.405(e)(3), 54.405(e)(4), 54.407(c)(2), and 54.410(f) of the Commission’s rules for all ETCs</w:t>
      </w:r>
      <w:r>
        <w:rPr>
          <w:szCs w:val="22"/>
        </w:rPr>
        <w:t>’</w:t>
      </w:r>
      <w:r w:rsidRPr="00931F84">
        <w:rPr>
          <w:szCs w:val="22"/>
        </w:rPr>
        <w:t xml:space="preserve"> Lifeline subscribers in Butte County.  There are approximately 12,686 Lifeline subscribers in Butte County.</w:t>
      </w:r>
      <w:r>
        <w:rPr>
          <w:rStyle w:val="FootnoteReference"/>
          <w:szCs w:val="22"/>
        </w:rPr>
        <w:footnoteReference w:id="20"/>
      </w:r>
      <w:r w:rsidRPr="00931F84">
        <w:rPr>
          <w:szCs w:val="22"/>
        </w:rPr>
        <w:t xml:space="preserve">  Given the extraordinary damage caused by these wildfires, strict compliance with these rules would be impracticable and would risk de-enrollment of Lifeline subscribers during the recovery efforts to rebuild in the aftermath of the fire.</w:t>
      </w:r>
    </w:p>
    <w:p w:rsidR="00830A95" w:rsidRPr="003C73D8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3C73D8">
        <w:rPr>
          <w:szCs w:val="22"/>
        </w:rPr>
        <w:t xml:space="preserve">To promote the maintenance and rebuilding of communities affected by the </w:t>
      </w:r>
      <w:r>
        <w:rPr>
          <w:szCs w:val="22"/>
        </w:rPr>
        <w:t>Camp Fire</w:t>
      </w:r>
      <w:r w:rsidRPr="003C73D8">
        <w:rPr>
          <w:szCs w:val="22"/>
        </w:rPr>
        <w:t xml:space="preserve"> and to facilitate continued access to communications services for disaster victims, we </w:t>
      </w:r>
      <w:r>
        <w:rPr>
          <w:szCs w:val="22"/>
        </w:rPr>
        <w:t xml:space="preserve">first </w:t>
      </w:r>
      <w:r w:rsidRPr="003C73D8">
        <w:rPr>
          <w:szCs w:val="22"/>
        </w:rPr>
        <w:t xml:space="preserve">find </w:t>
      </w:r>
      <w:r>
        <w:rPr>
          <w:szCs w:val="22"/>
        </w:rPr>
        <w:t>good cause</w:t>
      </w:r>
      <w:r w:rsidRPr="003C73D8">
        <w:rPr>
          <w:szCs w:val="22"/>
        </w:rPr>
        <w:t xml:space="preserve"> to </w:t>
      </w:r>
      <w:r>
        <w:rPr>
          <w:szCs w:val="22"/>
        </w:rPr>
        <w:t>temporarily waive</w:t>
      </w:r>
      <w:r w:rsidRPr="003C73D8">
        <w:rPr>
          <w:szCs w:val="22"/>
        </w:rPr>
        <w:t xml:space="preserve"> </w:t>
      </w:r>
      <w:r>
        <w:rPr>
          <w:szCs w:val="22"/>
        </w:rPr>
        <w:t xml:space="preserve">the usage requirements in </w:t>
      </w:r>
      <w:r w:rsidRPr="003C73D8">
        <w:rPr>
          <w:szCs w:val="22"/>
        </w:rPr>
        <w:t>sections 54.405(e)(3) and 54.407(c)(2) of the Commission’s rules</w:t>
      </w:r>
      <w:r>
        <w:rPr>
          <w:szCs w:val="22"/>
        </w:rPr>
        <w:t xml:space="preserve"> for ETCs’ Lifeline subscribers in Butte County</w:t>
      </w:r>
      <w:r w:rsidRPr="003C73D8">
        <w:rPr>
          <w:szCs w:val="22"/>
        </w:rPr>
        <w:t xml:space="preserve">.  Under these rules, ETCs must de-enroll Lifeline subscribers who do not pay a monthly fee for their Lifeline-supported service and do not use that service </w:t>
      </w:r>
      <w:r w:rsidRPr="003C73D8">
        <w:rPr>
          <w:szCs w:val="22"/>
        </w:rPr>
        <w:t>for 30 consecutive days.</w:t>
      </w:r>
      <w:r>
        <w:rPr>
          <w:rStyle w:val="FootnoteReference"/>
          <w:szCs w:val="22"/>
        </w:rPr>
        <w:footnoteReference w:id="21"/>
      </w:r>
      <w:r w:rsidRPr="003C73D8">
        <w:rPr>
          <w:szCs w:val="22"/>
        </w:rPr>
        <w:t xml:space="preserve">  </w:t>
      </w:r>
      <w:r>
        <w:rPr>
          <w:szCs w:val="22"/>
        </w:rPr>
        <w:t>A temporary waiver</w:t>
      </w:r>
      <w:r w:rsidRPr="003C73D8">
        <w:rPr>
          <w:szCs w:val="22"/>
        </w:rPr>
        <w:t xml:space="preserve"> of these rules will help </w:t>
      </w:r>
      <w:r>
        <w:rPr>
          <w:szCs w:val="22"/>
        </w:rPr>
        <w:t>Lifeline-supported consumers</w:t>
      </w:r>
      <w:r w:rsidRPr="003C73D8">
        <w:rPr>
          <w:szCs w:val="22"/>
        </w:rPr>
        <w:t xml:space="preserve"> retain access to emergency communications services during this disaster, and </w:t>
      </w:r>
      <w:r>
        <w:rPr>
          <w:szCs w:val="22"/>
        </w:rPr>
        <w:t xml:space="preserve">will </w:t>
      </w:r>
      <w:r w:rsidRPr="003C73D8">
        <w:rPr>
          <w:szCs w:val="22"/>
        </w:rPr>
        <w:t xml:space="preserve">allow ETCs to continue providing Lifeline service to disaster victims in </w:t>
      </w:r>
      <w:r>
        <w:rPr>
          <w:szCs w:val="22"/>
        </w:rPr>
        <w:t>Butte County</w:t>
      </w:r>
      <w:r w:rsidRPr="003C73D8">
        <w:rPr>
          <w:szCs w:val="22"/>
        </w:rPr>
        <w:t xml:space="preserve"> without requiring those subscribers to de-enroll and re-enroll in the program as they continue to rebuild from the devastation of these wildfires</w:t>
      </w:r>
      <w:r>
        <w:rPr>
          <w:szCs w:val="22"/>
        </w:rPr>
        <w:t>.  After</w:t>
      </w:r>
      <w:r w:rsidRPr="003C73D8">
        <w:rPr>
          <w:szCs w:val="22"/>
        </w:rPr>
        <w:t xml:space="preserve"> the expiration of the waiver periods</w:t>
      </w:r>
      <w:r>
        <w:rPr>
          <w:szCs w:val="22"/>
        </w:rPr>
        <w:t xml:space="preserve"> on May 1, 2019, </w:t>
      </w:r>
      <w:r w:rsidRPr="003C73D8">
        <w:rPr>
          <w:szCs w:val="22"/>
        </w:rPr>
        <w:t>Lifeline subscribers who are subject to the non-usage rule will have 30 days to use their Lifeline service for the purposes of section 54.405(e)(3) of the Commission’s rules</w:t>
      </w:r>
      <w:r>
        <w:rPr>
          <w:szCs w:val="22"/>
        </w:rPr>
        <w:t xml:space="preserve"> before being subject to de-enrollment from the program</w:t>
      </w:r>
      <w:r w:rsidRPr="003C73D8">
        <w:rPr>
          <w:szCs w:val="22"/>
        </w:rPr>
        <w:t>.</w:t>
      </w:r>
      <w:r>
        <w:rPr>
          <w:szCs w:val="22"/>
        </w:rPr>
        <w:t xml:space="preserve">  To the extent that subscribers were de-enrolled or not claimed for support during the relevant waiver period, ETCs may claim federal Lifeline support for qualifying service provided during the waiver period and continue providing Lifeline-supported service to impacted subscribers.</w:t>
      </w:r>
    </w:p>
    <w:p w:rsidR="00830A95" w:rsidRPr="001019B7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3C73D8">
        <w:rPr>
          <w:szCs w:val="22"/>
        </w:rPr>
        <w:t xml:space="preserve">We </w:t>
      </w:r>
      <w:r>
        <w:rPr>
          <w:szCs w:val="22"/>
        </w:rPr>
        <w:t>also find good cause</w:t>
      </w:r>
      <w:r w:rsidRPr="003C73D8">
        <w:rPr>
          <w:szCs w:val="22"/>
        </w:rPr>
        <w:t xml:space="preserve"> to </w:t>
      </w:r>
      <w:r>
        <w:rPr>
          <w:szCs w:val="22"/>
        </w:rPr>
        <w:t>temporarily waive</w:t>
      </w:r>
      <w:r w:rsidRPr="003C73D8">
        <w:rPr>
          <w:szCs w:val="22"/>
        </w:rPr>
        <w:t xml:space="preserve"> </w:t>
      </w:r>
      <w:r>
        <w:rPr>
          <w:szCs w:val="22"/>
        </w:rPr>
        <w:t xml:space="preserve">the recertification requirements in </w:t>
      </w:r>
      <w:r w:rsidRPr="003C73D8">
        <w:rPr>
          <w:szCs w:val="22"/>
        </w:rPr>
        <w:t>sections 54.405(e)(4) and 54.410(f) of the Commission’s rules for</w:t>
      </w:r>
      <w:r>
        <w:rPr>
          <w:szCs w:val="22"/>
        </w:rPr>
        <w:t xml:space="preserve"> </w:t>
      </w:r>
      <w:r w:rsidRPr="003C73D8">
        <w:rPr>
          <w:szCs w:val="22"/>
        </w:rPr>
        <w:t>ETCs</w:t>
      </w:r>
      <w:r>
        <w:rPr>
          <w:szCs w:val="22"/>
        </w:rPr>
        <w:t>’</w:t>
      </w:r>
      <w:r w:rsidRPr="003C73D8">
        <w:rPr>
          <w:szCs w:val="22"/>
        </w:rPr>
        <w:t xml:space="preserve"> </w:t>
      </w:r>
      <w:r>
        <w:rPr>
          <w:szCs w:val="22"/>
        </w:rPr>
        <w:t xml:space="preserve">Lifeline </w:t>
      </w:r>
      <w:r w:rsidRPr="003C73D8">
        <w:rPr>
          <w:szCs w:val="22"/>
        </w:rPr>
        <w:t xml:space="preserve">subscribers in </w:t>
      </w:r>
      <w:r>
        <w:rPr>
          <w:szCs w:val="22"/>
        </w:rPr>
        <w:t>Butte County</w:t>
      </w:r>
      <w:r w:rsidRPr="003C73D8">
        <w:rPr>
          <w:szCs w:val="22"/>
        </w:rPr>
        <w:t xml:space="preserve"> whose service anniversary dates fall on or between </w:t>
      </w:r>
      <w:r>
        <w:rPr>
          <w:szCs w:val="22"/>
        </w:rPr>
        <w:t>November 1, 2018</w:t>
      </w:r>
      <w:r w:rsidRPr="003C73D8">
        <w:rPr>
          <w:szCs w:val="22"/>
        </w:rPr>
        <w:t xml:space="preserve"> and </w:t>
      </w:r>
      <w:r>
        <w:rPr>
          <w:szCs w:val="22"/>
        </w:rPr>
        <w:t>May 1, 2019.</w:t>
      </w:r>
      <w:r>
        <w:rPr>
          <w:rStyle w:val="FootnoteReference"/>
          <w:szCs w:val="22"/>
        </w:rPr>
        <w:footnoteReference w:id="22"/>
      </w:r>
      <w:r w:rsidRPr="001019B7">
        <w:rPr>
          <w:szCs w:val="22"/>
        </w:rPr>
        <w:t xml:space="preserve">  Waiver of these rules will allow Lifeline subscribers </w:t>
      </w:r>
      <w:r>
        <w:rPr>
          <w:szCs w:val="22"/>
        </w:rPr>
        <w:t>in Butte County</w:t>
      </w:r>
      <w:r w:rsidRPr="001019B7">
        <w:rPr>
          <w:szCs w:val="22"/>
        </w:rPr>
        <w:t xml:space="preserve"> additional time to complete the recertification process </w:t>
      </w:r>
      <w:r>
        <w:rPr>
          <w:szCs w:val="22"/>
        </w:rPr>
        <w:t>after recovering from the damage created by the wildfires</w:t>
      </w:r>
      <w:r w:rsidRPr="001019B7">
        <w:rPr>
          <w:szCs w:val="22"/>
        </w:rPr>
        <w:t>.  D</w:t>
      </w:r>
      <w:r>
        <w:rPr>
          <w:szCs w:val="22"/>
        </w:rPr>
        <w:t>amage to residential buildings and infrastructure</w:t>
      </w:r>
      <w:r w:rsidRPr="001019B7">
        <w:rPr>
          <w:szCs w:val="22"/>
        </w:rPr>
        <w:t xml:space="preserve"> resulting from the wildfires will make it difficult, if not impossible, for Lifeline subscribers to receive and respond to </w:t>
      </w:r>
      <w:r>
        <w:rPr>
          <w:szCs w:val="22"/>
        </w:rPr>
        <w:t xml:space="preserve">mailed </w:t>
      </w:r>
      <w:r w:rsidRPr="001019B7">
        <w:rPr>
          <w:szCs w:val="22"/>
        </w:rPr>
        <w:t>recertification forms.</w:t>
      </w:r>
      <w:r>
        <w:rPr>
          <w:rStyle w:val="FootnoteReference"/>
          <w:szCs w:val="22"/>
        </w:rPr>
        <w:footnoteReference w:id="23"/>
      </w:r>
      <w:r w:rsidRPr="001019B7">
        <w:rPr>
          <w:szCs w:val="22"/>
        </w:rPr>
        <w:t xml:space="preserve">  At the expiration of the waiver period, </w:t>
      </w:r>
      <w:r>
        <w:rPr>
          <w:szCs w:val="22"/>
        </w:rPr>
        <w:t>we expect that the state’s Lifeline program administrator</w:t>
      </w:r>
      <w:r w:rsidRPr="001019B7">
        <w:rPr>
          <w:szCs w:val="22"/>
        </w:rPr>
        <w:t xml:space="preserve"> </w:t>
      </w:r>
      <w:r>
        <w:rPr>
          <w:szCs w:val="22"/>
        </w:rPr>
        <w:t>will</w:t>
      </w:r>
      <w:r w:rsidRPr="001019B7">
        <w:rPr>
          <w:szCs w:val="22"/>
        </w:rPr>
        <w:t xml:space="preserve"> begin recertification efforts promptly</w:t>
      </w:r>
      <w:r>
        <w:rPr>
          <w:szCs w:val="22"/>
        </w:rPr>
        <w:t>, consistent with the CPUC commitment in the Petition</w:t>
      </w:r>
      <w:r w:rsidRPr="001019B7">
        <w:rPr>
          <w:szCs w:val="22"/>
        </w:rPr>
        <w:t>.</w:t>
      </w:r>
      <w:r>
        <w:rPr>
          <w:rStyle w:val="FootnoteReference"/>
          <w:szCs w:val="22"/>
        </w:rPr>
        <w:footnoteReference w:id="24"/>
      </w:r>
      <w:r w:rsidRPr="001019B7">
        <w:rPr>
          <w:szCs w:val="22"/>
        </w:rPr>
        <w:t xml:space="preserve">  Any subscriber whose anniversary date falls within the waiver period but has already recertified their eligibility is not required to undergo an additional recertification at the end of the </w:t>
      </w:r>
      <w:r>
        <w:rPr>
          <w:szCs w:val="22"/>
        </w:rPr>
        <w:t>waiver period.</w:t>
      </w:r>
    </w:p>
    <w:p w:rsidR="00830A95" w:rsidRPr="00FC4832" w:rsidP="00830A95">
      <w:pPr>
        <w:pStyle w:val="ParaNum"/>
        <w:tabs>
          <w:tab w:val="num" w:pos="1080"/>
          <w:tab w:val="clear" w:pos="1440"/>
        </w:tabs>
      </w:pPr>
      <w:r>
        <w:rPr>
          <w:i/>
        </w:rPr>
        <w:t xml:space="preserve">Preventing Waste, Fraud, and </w:t>
      </w:r>
      <w:r w:rsidRPr="00A270FF">
        <w:rPr>
          <w:i/>
        </w:rPr>
        <w:t>Abuse</w:t>
      </w:r>
      <w:r>
        <w:t>.  W</w:t>
      </w:r>
      <w:r w:rsidRPr="006E1205">
        <w:rPr>
          <w:snapToGrid/>
        </w:rPr>
        <w:t>e are committed to guarding against waste, fraud, and abuse</w:t>
      </w:r>
      <w:r>
        <w:rPr>
          <w:snapToGrid/>
        </w:rPr>
        <w:t xml:space="preserve"> in the Universal Service Fund (USF) programs</w:t>
      </w:r>
      <w:r w:rsidRPr="006E1205">
        <w:rPr>
          <w:snapToGrid/>
        </w:rPr>
        <w:t xml:space="preserve">.  Although we grant the limited waivers described herein, </w:t>
      </w:r>
      <w:r>
        <w:rPr>
          <w:snapToGrid/>
        </w:rPr>
        <w:t>service providers</w:t>
      </w:r>
      <w:r w:rsidRPr="006E1205">
        <w:rPr>
          <w:snapToGrid/>
        </w:rPr>
        <w:t xml:space="preserve"> remain </w:t>
      </w:r>
      <w:r>
        <w:rPr>
          <w:snapToGrid/>
        </w:rPr>
        <w:t xml:space="preserve">otherwise </w:t>
      </w:r>
      <w:r w:rsidRPr="006E1205">
        <w:rPr>
          <w:snapToGrid/>
        </w:rPr>
        <w:t xml:space="preserve">subject to audits and investigations to determine compliance with </w:t>
      </w:r>
      <w:r>
        <w:rPr>
          <w:bCs/>
          <w:snapToGrid/>
        </w:rPr>
        <w:t>Lifeline program</w:t>
      </w:r>
      <w:r w:rsidRPr="006E1205">
        <w:rPr>
          <w:snapToGrid/>
        </w:rPr>
        <w:t xml:space="preserve"> rules and requirements.  We will require </w:t>
      </w:r>
      <w:r>
        <w:rPr>
          <w:snapToGrid/>
        </w:rPr>
        <w:t>the Universal Service Administrative Company (</w:t>
      </w:r>
      <w:r w:rsidRPr="006E1205">
        <w:rPr>
          <w:snapToGrid/>
        </w:rPr>
        <w:t>USAC</w:t>
      </w:r>
      <w:r>
        <w:rPr>
          <w:snapToGrid/>
        </w:rPr>
        <w:t>)</w:t>
      </w:r>
      <w:r w:rsidRPr="006E1205">
        <w:rPr>
          <w:snapToGrid/>
        </w:rPr>
        <w:t xml:space="preserve"> to recover funds that we discover were not used properly through its normal processes.  We emphasize that we retain the discretion to evaluate the uses of monies disbursed through the </w:t>
      </w:r>
      <w:r>
        <w:rPr>
          <w:snapToGrid/>
        </w:rPr>
        <w:t>USF P</w:t>
      </w:r>
      <w:r w:rsidRPr="006E1205">
        <w:rPr>
          <w:snapToGrid/>
        </w:rPr>
        <w:t>rogram</w:t>
      </w:r>
      <w:r>
        <w:rPr>
          <w:snapToGrid/>
        </w:rPr>
        <w:t>s</w:t>
      </w:r>
      <w:r w:rsidRPr="006E1205">
        <w:rPr>
          <w:snapToGrid/>
        </w:rPr>
        <w:t xml:space="preserve"> and to determine on a case-by-case basis that waste, fraud, or abuse of program funds </w:t>
      </w:r>
      <w:r w:rsidRPr="006E1205">
        <w:rPr>
          <w:snapToGrid/>
        </w:rPr>
        <w:t>occurred</w:t>
      </w:r>
      <w:r w:rsidRPr="006E1205">
        <w:rPr>
          <w:snapToGrid/>
        </w:rPr>
        <w:t xml:space="preserve"> and that recovery is warranted.  </w:t>
      </w:r>
      <w:r>
        <w:rPr>
          <w:snapToGrid/>
        </w:rPr>
        <w:t>Additionally, in the event we discover any improper activity resulting from our action today, we will subject the offending party to all available penalties at our disposal, and will direct</w:t>
      </w:r>
      <w:r w:rsidRPr="006E1205">
        <w:rPr>
          <w:snapToGrid/>
        </w:rPr>
        <w:t xml:space="preserve"> USAC to recover funds</w:t>
      </w:r>
      <w:r>
        <w:rPr>
          <w:snapToGrid/>
        </w:rPr>
        <w:t xml:space="preserve">, assess retroactive fees and/or interest, or both.  </w:t>
      </w:r>
      <w:r w:rsidRPr="006E1205">
        <w:rPr>
          <w:snapToGrid/>
        </w:rPr>
        <w:t>We remain committed to</w:t>
      </w:r>
      <w:r>
        <w:rPr>
          <w:snapToGrid/>
        </w:rPr>
        <w:t xml:space="preserve"> ensuring the integrity of the Lifeline p</w:t>
      </w:r>
      <w:r w:rsidRPr="006E1205">
        <w:rPr>
          <w:snapToGrid/>
        </w:rPr>
        <w:t>rogram</w:t>
      </w:r>
      <w:r>
        <w:rPr>
          <w:snapToGrid/>
        </w:rPr>
        <w:t xml:space="preserve"> </w:t>
      </w:r>
      <w:r w:rsidRPr="006E1205">
        <w:rPr>
          <w:snapToGrid/>
        </w:rPr>
        <w:t>and will continue to aggressively purs</w:t>
      </w:r>
      <w:r>
        <w:rPr>
          <w:snapToGrid/>
        </w:rPr>
        <w:t>ue instances of waste, fraud, or</w:t>
      </w:r>
      <w:r w:rsidRPr="006E1205">
        <w:rPr>
          <w:snapToGrid/>
        </w:rPr>
        <w:t xml:space="preserve"> abuse under our own procedures and in cooperation with law enforcement agencies.</w:t>
      </w:r>
    </w:p>
    <w:p w:rsidR="00830A95" w:rsidRPr="003C73D8" w:rsidP="00830A95">
      <w:pPr>
        <w:pStyle w:val="Heading1"/>
        <w:rPr>
          <w:rFonts w:ascii="Times New Roman" w:hAnsi="Times New Roman"/>
          <w:szCs w:val="22"/>
        </w:rPr>
      </w:pPr>
      <w:r w:rsidRPr="003C73D8">
        <w:rPr>
          <w:rFonts w:ascii="Times New Roman" w:hAnsi="Times New Roman"/>
          <w:szCs w:val="22"/>
        </w:rPr>
        <w:t>ordering clauses</w:t>
      </w:r>
    </w:p>
    <w:p w:rsidR="00830A95" w:rsidRPr="003C73D8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3C73D8">
        <w:rPr>
          <w:szCs w:val="22"/>
        </w:rPr>
        <w:t>ACCORDINGLY, IT IS ORDERED, pursuant to the authority contained in sections 1-4 and 254 of the Communications Act of 1934, as amended, 47 U</w:t>
      </w:r>
      <w:r>
        <w:rPr>
          <w:szCs w:val="22"/>
        </w:rPr>
        <w:t>.</w:t>
      </w:r>
      <w:r w:rsidRPr="003C73D8">
        <w:rPr>
          <w:szCs w:val="22"/>
        </w:rPr>
        <w:t>S</w:t>
      </w:r>
      <w:r>
        <w:rPr>
          <w:szCs w:val="22"/>
        </w:rPr>
        <w:t>.</w:t>
      </w:r>
      <w:r w:rsidRPr="003C73D8">
        <w:rPr>
          <w:szCs w:val="22"/>
        </w:rPr>
        <w:t>C</w:t>
      </w:r>
      <w:r>
        <w:rPr>
          <w:szCs w:val="22"/>
        </w:rPr>
        <w:t>.</w:t>
      </w:r>
      <w:r w:rsidRPr="003C73D8">
        <w:rPr>
          <w:szCs w:val="22"/>
        </w:rPr>
        <w:t xml:space="preserve"> §§ 151-154 and 254, and sections 0.91, 0.291, and 1.3 of the Commission’s rules, 47 CFR §§ 0.91, 0.291, and 1.3, that sections 47 CFR </w:t>
      </w:r>
      <w:r>
        <w:rPr>
          <w:szCs w:val="22"/>
        </w:rPr>
        <w:t xml:space="preserve">§§ </w:t>
      </w:r>
      <w:r w:rsidRPr="003C73D8">
        <w:rPr>
          <w:szCs w:val="22"/>
        </w:rPr>
        <w:t xml:space="preserve">54.405(e)(3), 54.405(e)(4), 54.407(c)(2), and 54.410(f), of the Commission’s rules are waived to the limited extent provided herein.  </w:t>
      </w:r>
    </w:p>
    <w:p w:rsidR="00830A95" w:rsidRPr="003372B0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r w:rsidRPr="003C73D8">
        <w:rPr>
          <w:szCs w:val="22"/>
        </w:rPr>
        <w:t>IT IS FURTHER ORDERED, that pursuant to the authority contained in sections 1-4 and 254 of the Communications Act of 1934, as amended, 47 U</w:t>
      </w:r>
      <w:r>
        <w:rPr>
          <w:szCs w:val="22"/>
        </w:rPr>
        <w:t>.</w:t>
      </w:r>
      <w:r w:rsidRPr="003C73D8">
        <w:rPr>
          <w:szCs w:val="22"/>
        </w:rPr>
        <w:t>S</w:t>
      </w:r>
      <w:r>
        <w:rPr>
          <w:szCs w:val="22"/>
        </w:rPr>
        <w:t>.</w:t>
      </w:r>
      <w:r w:rsidRPr="003C73D8">
        <w:rPr>
          <w:szCs w:val="22"/>
        </w:rPr>
        <w:t>C</w:t>
      </w:r>
      <w:r>
        <w:rPr>
          <w:szCs w:val="22"/>
        </w:rPr>
        <w:t>.</w:t>
      </w:r>
      <w:r w:rsidRPr="003C73D8">
        <w:rPr>
          <w:szCs w:val="22"/>
        </w:rPr>
        <w:t xml:space="preserve"> §§ 151-154 and 254, and sections 0.91, 0.291, and 1.3 of the Commission’s rules, 47 CFR §§ 0.91, 0.291, and 1.3, that the request for waiver </w:t>
      </w:r>
      <w:r w:rsidRPr="003C73D8">
        <w:rPr>
          <w:szCs w:val="22"/>
        </w:rPr>
        <w:t>filed by the California Public Utility Commission IS GRANTED.</w:t>
      </w:r>
    </w:p>
    <w:p w:rsidR="00830A95" w:rsidRPr="003C73D8" w:rsidP="00830A95">
      <w:pPr>
        <w:pStyle w:val="ParaNum"/>
        <w:tabs>
          <w:tab w:val="num" w:pos="1080"/>
          <w:tab w:val="clear" w:pos="1440"/>
        </w:tabs>
        <w:rPr>
          <w:szCs w:val="22"/>
        </w:rPr>
      </w:pPr>
      <w:bookmarkStart w:id="2" w:name="_Hlk495052368"/>
      <w:r w:rsidRPr="003C73D8">
        <w:rPr>
          <w:szCs w:val="22"/>
        </w:rPr>
        <w:t xml:space="preserve">IT IS FURTHER ORDERED, that pursuant to section 1.102(b)(1) of the Commission’s rules, 47 CFR § 1.102(b)(1), this Order SHALL BE EFFECTIVE upon release.  </w:t>
      </w:r>
    </w:p>
    <w:bookmarkEnd w:id="2"/>
    <w:p w:rsidR="00830A95" w:rsidRPr="003C73D8" w:rsidP="00830A95">
      <w:pPr>
        <w:pStyle w:val="ParaNum"/>
        <w:numPr>
          <w:ilvl w:val="0"/>
          <w:numId w:val="0"/>
        </w:numPr>
        <w:ind w:firstLine="720"/>
        <w:rPr>
          <w:szCs w:val="22"/>
        </w:rPr>
      </w:pPr>
    </w:p>
    <w:p w:rsidR="00830A95" w:rsidRPr="003C73D8" w:rsidP="00830A95">
      <w:pPr>
        <w:pStyle w:val="ParaNum"/>
        <w:numPr>
          <w:ilvl w:val="0"/>
          <w:numId w:val="0"/>
        </w:numPr>
        <w:ind w:left="4320"/>
        <w:rPr>
          <w:szCs w:val="22"/>
        </w:rPr>
      </w:pPr>
      <w:r w:rsidRPr="003C73D8">
        <w:rPr>
          <w:szCs w:val="22"/>
        </w:rPr>
        <w:t>FEDERAL COMMUNICATIONS COMMISSION</w:t>
      </w:r>
    </w:p>
    <w:p w:rsidR="00830A95" w:rsidRPr="003C73D8" w:rsidP="00830A95">
      <w:pPr>
        <w:pStyle w:val="ParaNum"/>
        <w:numPr>
          <w:ilvl w:val="0"/>
          <w:numId w:val="0"/>
        </w:numPr>
        <w:ind w:left="4320"/>
        <w:rPr>
          <w:szCs w:val="22"/>
        </w:rPr>
      </w:pPr>
    </w:p>
    <w:p w:rsidR="00830A95" w:rsidRPr="003C73D8" w:rsidP="00830A95">
      <w:pPr>
        <w:pStyle w:val="ParaNum"/>
        <w:numPr>
          <w:ilvl w:val="0"/>
          <w:numId w:val="0"/>
        </w:numPr>
        <w:ind w:left="4320"/>
        <w:rPr>
          <w:szCs w:val="22"/>
        </w:rPr>
      </w:pPr>
    </w:p>
    <w:p w:rsidR="00830A95" w:rsidRPr="003C73D8" w:rsidP="00830A95">
      <w:pPr>
        <w:pStyle w:val="ParaNum"/>
        <w:numPr>
          <w:ilvl w:val="0"/>
          <w:numId w:val="0"/>
        </w:numPr>
        <w:spacing w:after="0"/>
        <w:ind w:left="4320"/>
        <w:rPr>
          <w:szCs w:val="22"/>
        </w:rPr>
      </w:pPr>
      <w:r w:rsidRPr="003C73D8">
        <w:rPr>
          <w:szCs w:val="22"/>
        </w:rPr>
        <w:t>Kris Anne Monteith</w:t>
      </w:r>
    </w:p>
    <w:p w:rsidR="00830A95" w:rsidRPr="003C73D8" w:rsidP="00830A95">
      <w:pPr>
        <w:pStyle w:val="ParaNum"/>
        <w:numPr>
          <w:ilvl w:val="0"/>
          <w:numId w:val="0"/>
        </w:numPr>
        <w:spacing w:after="0"/>
        <w:ind w:left="4320"/>
        <w:rPr>
          <w:szCs w:val="22"/>
        </w:rPr>
      </w:pPr>
      <w:r w:rsidRPr="003C73D8">
        <w:rPr>
          <w:szCs w:val="22"/>
        </w:rPr>
        <w:t>Chief</w:t>
      </w:r>
    </w:p>
    <w:p w:rsidR="00830A95" w:rsidRPr="00905231" w:rsidP="00830A95">
      <w:pPr>
        <w:pStyle w:val="ParaNum"/>
        <w:numPr>
          <w:ilvl w:val="0"/>
          <w:numId w:val="0"/>
        </w:numPr>
        <w:spacing w:after="0"/>
        <w:ind w:left="4320"/>
        <w:rPr>
          <w:szCs w:val="22"/>
        </w:rPr>
      </w:pPr>
      <w:r w:rsidRPr="003C73D8">
        <w:rPr>
          <w:szCs w:val="22"/>
        </w:rPr>
        <w:t>Wireline Competition Bureau</w:t>
      </w:r>
    </w:p>
    <w:p w:rsidR="00830A95" w:rsidRPr="00905231" w:rsidP="00830A95">
      <w:pPr>
        <w:widowControl/>
        <w:rPr>
          <w:szCs w:val="22"/>
        </w:rPr>
      </w:pPr>
    </w:p>
    <w:bookmarkEnd w:id="0"/>
    <w:p w:rsidR="00830A95" w:rsidRPr="00ED3BD7" w:rsidP="00830A95">
      <w:pPr>
        <w:widowControl/>
        <w:rPr>
          <w:b/>
          <w:szCs w:val="22"/>
        </w:rPr>
      </w:pPr>
    </w:p>
    <w:p w:rsidR="00AD4B34"/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FB6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4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FB6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42FB6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FB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355" w:rsidP="00830A95">
      <w:r>
        <w:separator/>
      </w:r>
    </w:p>
  </w:footnote>
  <w:footnote w:type="continuationSeparator" w:id="1">
    <w:p w:rsidR="00010355" w:rsidP="00830A95">
      <w:r>
        <w:continuationSeparator/>
      </w:r>
    </w:p>
  </w:footnote>
  <w:footnote w:id="2">
    <w:p w:rsidR="00830A95" w:rsidRPr="00BF0D5B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Petition of the California Public Utilities Commission for Temporary Waiver, WC Docket No. 11-42, at 1 (filed Dec. 19, 2018) (Petition). </w:t>
      </w:r>
    </w:p>
  </w:footnote>
  <w:footnote w:id="3">
    <w:p w:rsidR="00830A95" w:rsidRPr="0096185F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47 CFR §§ 54.405(e)(3), 54.405(e)(4), 54.407(c)(2), and 54.410(f).  </w:t>
      </w:r>
    </w:p>
  </w:footnote>
  <w:footnote w:id="4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Petition at 1-2; </w:t>
      </w:r>
      <w:r>
        <w:rPr>
          <w:i/>
        </w:rPr>
        <w:t xml:space="preserve">see also </w:t>
      </w:r>
      <w:r>
        <w:t xml:space="preserve">CAL FIRE, California Statewide Fire Summary (Nov. 25, 2018), </w:t>
      </w:r>
      <w:hyperlink r:id="rId1" w:history="1">
        <w:r w:rsidRPr="000936F1">
          <w:rPr>
            <w:rStyle w:val="Hyperlink"/>
          </w:rPr>
          <w:t>http://cdfdata.fire.ca.gov/admin8327985/cdf/images/incidentfile2277_4326.pdf</w:t>
        </w:r>
      </w:hyperlink>
      <w:r>
        <w:t xml:space="preserve">. </w:t>
      </w:r>
    </w:p>
  </w:footnote>
  <w:footnote w:id="5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Petition at 3-4.</w:t>
      </w:r>
    </w:p>
  </w:footnote>
  <w:footnote w:id="6">
    <w:p w:rsidR="00830A95" w:rsidRPr="00171041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1. </w:t>
      </w:r>
    </w:p>
  </w:footnote>
  <w:footnote w:id="7">
    <w:p w:rsidR="00830A95" w:rsidRPr="001D51D1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1, 5.</w:t>
      </w:r>
    </w:p>
  </w:footnote>
  <w:footnote w:id="8">
    <w:p w:rsidR="00830A95" w:rsidRPr="00642FB6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4.</w:t>
      </w:r>
    </w:p>
  </w:footnote>
  <w:footnote w:id="9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Petition at 3-4.  </w:t>
      </w:r>
    </w:p>
  </w:footnote>
  <w:footnote w:id="10">
    <w:p w:rsidR="00830A95" w:rsidRPr="007F4200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CFR §§ 54.405(e)(4) and 54.410(f).</w:t>
      </w:r>
    </w:p>
  </w:footnote>
  <w:footnote w:id="11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Petition at 5-6.</w:t>
      </w:r>
    </w:p>
  </w:footnote>
  <w:footnote w:id="12">
    <w:p w:rsidR="00830A95" w:rsidRPr="00FE6942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13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6.  </w:t>
      </w:r>
    </w:p>
  </w:footnote>
  <w:footnote w:id="14">
    <w:p w:rsidR="00830A95" w:rsidRPr="00682D16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</w:p>
  </w:footnote>
  <w:footnote w:id="15">
    <w:p w:rsidR="00830A95" w:rsidRPr="00642FB6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16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516">
        <w:t xml:space="preserve">47 CFR § 1.3.  </w:t>
      </w:r>
    </w:p>
  </w:footnote>
  <w:footnote w:id="17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516">
        <w:rPr>
          <w:i/>
        </w:rPr>
        <w:t>Northeast Cellular Telephone Co. v. FCC</w:t>
      </w:r>
      <w:r w:rsidRPr="00E91516">
        <w:t xml:space="preserve">, 897 F.2d 1164, 1166 (D.C. Cir. 1990).  </w:t>
      </w:r>
    </w:p>
  </w:footnote>
  <w:footnote w:id="18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54AA">
        <w:rPr>
          <w:i/>
        </w:rPr>
        <w:t>WAIT Radio v. FCC</w:t>
      </w:r>
      <w:r>
        <w:t xml:space="preserve">, 418 F.2d 1153, 1159 (D.C. Cir. 1969); </w:t>
      </w:r>
      <w:r w:rsidRPr="00E91516">
        <w:rPr>
          <w:i/>
        </w:rPr>
        <w:t>Northeast Cellular</w:t>
      </w:r>
      <w:r w:rsidRPr="00E91516">
        <w:t>, 897 F.2d at 1166.</w:t>
      </w:r>
    </w:p>
  </w:footnote>
  <w:footnote w:id="19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Petition at 1.</w:t>
      </w:r>
    </w:p>
  </w:footnote>
  <w:footnote w:id="20">
    <w:p w:rsidR="00830A95" w:rsidRPr="00642FB6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4.</w:t>
      </w:r>
    </w:p>
  </w:footnote>
  <w:footnote w:id="21">
    <w:p w:rsidR="00830A95" w:rsidRPr="00D758C7" w:rsidP="00830A9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C50FE">
        <w:rPr>
          <w:i/>
        </w:rPr>
        <w:t>See</w:t>
      </w:r>
      <w:r>
        <w:t xml:space="preserve"> Petition at 1. </w:t>
      </w:r>
    </w:p>
  </w:footnote>
  <w:footnote w:id="22">
    <w:p w:rsidR="00830A95" w:rsidRPr="001019B7" w:rsidP="00830A95">
      <w:pPr>
        <w:pStyle w:val="FootnoteText"/>
      </w:pPr>
      <w:r>
        <w:rPr>
          <w:rStyle w:val="FootnoteReference"/>
        </w:rPr>
        <w:footnoteRef/>
      </w:r>
      <w:r>
        <w:t xml:space="preserve"> 47 CFR §§ 54.405(e)(4), 54.410(f).  </w:t>
      </w:r>
    </w:p>
  </w:footnote>
  <w:footnote w:id="23">
    <w:p w:rsidR="00830A95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Petition at 2-3. </w:t>
      </w:r>
    </w:p>
  </w:footnote>
  <w:footnote w:id="24">
    <w:p w:rsidR="00830A95" w:rsidRPr="00FE4910" w:rsidP="00830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FB6" w:rsidP="00810B6F">
    <w:pPr>
      <w:pStyle w:val="Header"/>
      <w:rPr>
        <w:b w:val="0"/>
      </w:rPr>
    </w:pPr>
    <w:r>
      <w:tab/>
      <w:t>Federal Communications Commission</w:t>
    </w:r>
    <w:r>
      <w:tab/>
      <w:t>DA 1</w:t>
    </w:r>
    <w:r>
      <w:t>8</w:t>
    </w:r>
    <w:r>
      <w:t>-</w:t>
    </w:r>
    <w:r>
      <w:t>1304</w:t>
    </w:r>
  </w:p>
  <w:p w:rsidR="00642FB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642FB6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FB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 xml:space="preserve">Federal </w:t>
    </w:r>
    <w:r>
      <w:t>Communications Commission</w:t>
    </w:r>
    <w:r>
      <w:tab/>
    </w:r>
    <w:r>
      <w:rPr>
        <w:spacing w:val="-2"/>
      </w:rPr>
      <w:t xml:space="preserve">DA </w:t>
    </w:r>
    <w:r>
      <w:rPr>
        <w:spacing w:val="-2"/>
      </w:rPr>
      <w:t>18</w:t>
    </w:r>
    <w:r>
      <w:rPr>
        <w:spacing w:val="-2"/>
      </w:rPr>
      <w:t>-</w:t>
    </w:r>
    <w:r>
      <w:rPr>
        <w:spacing w:val="-2"/>
      </w:rPr>
      <w:t>1304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95"/>
    <w:rsid w:val="00010355"/>
    <w:rsid w:val="000936F1"/>
    <w:rsid w:val="001019B7"/>
    <w:rsid w:val="00171041"/>
    <w:rsid w:val="001D51D1"/>
    <w:rsid w:val="003372B0"/>
    <w:rsid w:val="003C73D8"/>
    <w:rsid w:val="00401103"/>
    <w:rsid w:val="0055614C"/>
    <w:rsid w:val="00642FB6"/>
    <w:rsid w:val="00682D16"/>
    <w:rsid w:val="006E1205"/>
    <w:rsid w:val="0077675B"/>
    <w:rsid w:val="007F4200"/>
    <w:rsid w:val="00810B6F"/>
    <w:rsid w:val="00830A95"/>
    <w:rsid w:val="00905231"/>
    <w:rsid w:val="00931F84"/>
    <w:rsid w:val="0096185F"/>
    <w:rsid w:val="009C4A86"/>
    <w:rsid w:val="00A270FF"/>
    <w:rsid w:val="00AD4B34"/>
    <w:rsid w:val="00BF0D5B"/>
    <w:rsid w:val="00C53A02"/>
    <w:rsid w:val="00CC7B56"/>
    <w:rsid w:val="00D758C7"/>
    <w:rsid w:val="00D954AA"/>
    <w:rsid w:val="00DC50FE"/>
    <w:rsid w:val="00E91516"/>
    <w:rsid w:val="00E96C7A"/>
    <w:rsid w:val="00EC6F0D"/>
    <w:rsid w:val="00ED3BD7"/>
    <w:rsid w:val="00FC4832"/>
    <w:rsid w:val="00FE4910"/>
    <w:rsid w:val="00FE6942"/>
    <w:rsid w:val="00FF69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4A2C11-F701-49FA-9B46-696E51D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830A95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830A95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830A95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830A95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830A95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830A95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830A95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830A95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830A95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30A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0A95"/>
  </w:style>
  <w:style w:type="character" w:customStyle="1" w:styleId="Heading1Char">
    <w:name w:val="Heading 1 Char"/>
    <w:basedOn w:val="DefaultParagraphFont"/>
    <w:link w:val="Heading1"/>
    <w:rsid w:val="00830A9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830A9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830A9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0A9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830A95"/>
    <w:rPr>
      <w:vertAlign w:val="superscript"/>
    </w:rPr>
  </w:style>
  <w:style w:type="paragraph" w:styleId="FootnoteText">
    <w:name w:val="footnote text"/>
    <w:link w:val="FootnoteTextChar"/>
    <w:rsid w:val="00830A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0A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30A95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830A9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30A9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30A9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30A9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30A9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30A9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30A9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30A9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30A9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30A9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30A95"/>
  </w:style>
  <w:style w:type="paragraph" w:styleId="Header">
    <w:name w:val="header"/>
    <w:basedOn w:val="Normal"/>
    <w:link w:val="HeaderChar"/>
    <w:autoRedefine/>
    <w:rsid w:val="00830A95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30A9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830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0A95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830A95"/>
  </w:style>
  <w:style w:type="paragraph" w:styleId="BlockText">
    <w:name w:val="Block Text"/>
    <w:basedOn w:val="Normal"/>
    <w:rsid w:val="00830A95"/>
    <w:pPr>
      <w:spacing w:after="240"/>
      <w:ind w:left="1440" w:right="1440"/>
    </w:pPr>
  </w:style>
  <w:style w:type="paragraph" w:customStyle="1" w:styleId="Paratitle">
    <w:name w:val="Para title"/>
    <w:basedOn w:val="Normal"/>
    <w:rsid w:val="00830A9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30A95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30A95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30A9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30A9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83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cdfdata.fire.ca.gov/admin8327985/cdf/images/incidentfile2277_4326.pdf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