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18</w:t>
      </w:r>
      <w:r w:rsidR="005C156A">
        <w:rPr>
          <w:b/>
          <w:sz w:val="24"/>
        </w:rPr>
        <w:t>-</w:t>
      </w:r>
      <w:r w:rsidR="005D3E47">
        <w:rPr>
          <w:b/>
          <w:sz w:val="24"/>
        </w:rPr>
        <w:t>1306</w:t>
      </w:r>
    </w:p>
    <w:p w:rsidR="00013A8B" w:rsidRPr="00B20363" w:rsidP="00BD0A3A">
      <w:pPr>
        <w:jc w:val="right"/>
        <w:rPr>
          <w:b/>
          <w:sz w:val="24"/>
        </w:rPr>
      </w:pPr>
      <w:r>
        <w:rPr>
          <w:b/>
          <w:sz w:val="24"/>
        </w:rPr>
        <w:t>December 28</w:t>
      </w:r>
      <w:r w:rsidR="00352C15">
        <w:rPr>
          <w:b/>
          <w:sz w:val="24"/>
        </w:rPr>
        <w:t xml:space="preserve">, </w:t>
      </w:r>
      <w:r w:rsidR="005C156A">
        <w:rPr>
          <w:b/>
          <w:sz w:val="24"/>
        </w:rPr>
        <w:t>2018</w:t>
      </w:r>
    </w:p>
    <w:p w:rsidR="00013A8B" w:rsidP="00013A8B">
      <w:pPr>
        <w:jc w:val="right"/>
        <w:rPr>
          <w:sz w:val="24"/>
        </w:rPr>
      </w:pPr>
    </w:p>
    <w:p w:rsidR="00E97E5B" w:rsidP="00F1348B">
      <w:pPr>
        <w:jc w:val="center"/>
        <w:rPr>
          <w:rFonts w:ascii="Times New Roman Bold" w:hAnsi="Times New Roman Bold"/>
          <w:b/>
          <w:caps/>
          <w:sz w:val="24"/>
        </w:rPr>
      </w:pPr>
      <w:r>
        <w:rPr>
          <w:rFonts w:ascii="Times New Roman Bold" w:hAnsi="Times New Roman Bold"/>
          <w:b/>
          <w:caps/>
          <w:sz w:val="24"/>
        </w:rPr>
        <w:t xml:space="preserve">INTERNATIONAL BUREAU </w:t>
      </w:r>
      <w:r w:rsidR="003B1C23">
        <w:rPr>
          <w:rFonts w:ascii="Times New Roman Bold" w:hAnsi="Times New Roman Bold"/>
          <w:b/>
          <w:caps/>
          <w:sz w:val="24"/>
        </w:rPr>
        <w:t>release</w:t>
      </w:r>
      <w:r>
        <w:rPr>
          <w:rFonts w:ascii="Times New Roman Bold" w:hAnsi="Times New Roman Bold"/>
          <w:b/>
          <w:caps/>
          <w:sz w:val="24"/>
        </w:rPr>
        <w:t>s</w:t>
      </w:r>
      <w:r w:rsidR="003B1C23">
        <w:rPr>
          <w:rFonts w:ascii="Times New Roman Bold" w:hAnsi="Times New Roman Bold"/>
          <w:b/>
          <w:caps/>
          <w:sz w:val="24"/>
        </w:rPr>
        <w:t xml:space="preserve"> revised fil</w:t>
      </w:r>
      <w:r w:rsidR="005D3E47">
        <w:rPr>
          <w:rFonts w:ascii="Times New Roman Bold" w:hAnsi="Times New Roman Bold"/>
          <w:b/>
          <w:caps/>
          <w:sz w:val="24"/>
        </w:rPr>
        <w:t>I</w:t>
      </w:r>
      <w:r w:rsidR="003B1C23">
        <w:rPr>
          <w:rFonts w:ascii="Times New Roman Bold" w:hAnsi="Times New Roman Bold"/>
          <w:b/>
          <w:caps/>
          <w:sz w:val="24"/>
        </w:rPr>
        <w:t xml:space="preserve">ng manual </w:t>
      </w:r>
    </w:p>
    <w:p w:rsidR="005C156A" w:rsidP="00F1348B">
      <w:pPr>
        <w:jc w:val="center"/>
        <w:rPr>
          <w:rFonts w:ascii="Times New Roman Bold" w:hAnsi="Times New Roman Bold"/>
          <w:b/>
          <w:caps/>
          <w:sz w:val="24"/>
        </w:rPr>
      </w:pPr>
      <w:r>
        <w:rPr>
          <w:rFonts w:ascii="Times New Roman Bold" w:hAnsi="Times New Roman Bold"/>
          <w:b/>
          <w:caps/>
          <w:sz w:val="24"/>
        </w:rPr>
        <w:t>for section 43.82 circuit capacity report</w:t>
      </w:r>
      <w:r w:rsidR="00F1348B">
        <w:rPr>
          <w:rFonts w:ascii="Times New Roman Bold" w:hAnsi="Times New Roman Bold"/>
          <w:b/>
          <w:caps/>
          <w:sz w:val="24"/>
        </w:rPr>
        <w:t>s</w:t>
      </w:r>
    </w:p>
    <w:p w:rsidR="003537AD" w:rsidP="000C002A">
      <w:pPr>
        <w:jc w:val="center"/>
        <w:rPr>
          <w:rFonts w:ascii="Times New Roman Bold" w:hAnsi="Times New Roman Bold"/>
          <w:b/>
          <w:caps/>
          <w:sz w:val="24"/>
        </w:rPr>
      </w:pPr>
    </w:p>
    <w:p w:rsidR="003537AD" w:rsidRPr="00771CF9" w:rsidP="000C002A">
      <w:pPr>
        <w:jc w:val="center"/>
        <w:rPr>
          <w:rFonts w:ascii="Times New Roman Bold" w:hAnsi="Times New Roman Bold"/>
          <w:b/>
          <w:i/>
          <w:caps/>
          <w:szCs w:val="22"/>
        </w:rPr>
      </w:pPr>
      <w:r w:rsidRPr="00771CF9">
        <w:rPr>
          <w:rFonts w:ascii="Times New Roman Bold" w:hAnsi="Times New Roman Bold"/>
          <w:b/>
          <w:i/>
          <w:szCs w:val="22"/>
        </w:rPr>
        <w:t xml:space="preserve">Instructions </w:t>
      </w:r>
      <w:r w:rsidRPr="00771CF9" w:rsidR="00F1348B">
        <w:rPr>
          <w:rFonts w:ascii="Times New Roman Bold" w:hAnsi="Times New Roman Bold"/>
          <w:b/>
          <w:i/>
          <w:szCs w:val="22"/>
        </w:rPr>
        <w:t>f</w:t>
      </w:r>
      <w:r w:rsidRPr="00771CF9">
        <w:rPr>
          <w:rFonts w:ascii="Times New Roman Bold" w:hAnsi="Times New Roman Bold"/>
          <w:b/>
          <w:i/>
          <w:szCs w:val="22"/>
        </w:rPr>
        <w:t xml:space="preserve">or Filing Cable Operator </w:t>
      </w:r>
      <w:r w:rsidRPr="00771CF9" w:rsidR="00F1348B">
        <w:rPr>
          <w:rFonts w:ascii="Times New Roman Bold" w:hAnsi="Times New Roman Bold"/>
          <w:b/>
          <w:i/>
          <w:szCs w:val="22"/>
        </w:rPr>
        <w:t>a</w:t>
      </w:r>
      <w:r w:rsidRPr="00771CF9">
        <w:rPr>
          <w:rFonts w:ascii="Times New Roman Bold" w:hAnsi="Times New Roman Bold"/>
          <w:b/>
          <w:i/>
          <w:szCs w:val="22"/>
        </w:rPr>
        <w:t xml:space="preserve">nd Capacity Holder </w:t>
      </w:r>
      <w:r w:rsidR="00F1348B">
        <w:rPr>
          <w:rFonts w:ascii="Times New Roman Bold" w:hAnsi="Times New Roman Bold"/>
          <w:b/>
          <w:i/>
          <w:szCs w:val="22"/>
        </w:rPr>
        <w:t>Data</w:t>
      </w:r>
    </w:p>
    <w:p w:rsidR="005C156A" w:rsidP="000C002A">
      <w:pPr>
        <w:ind w:firstLine="720"/>
      </w:pPr>
    </w:p>
    <w:p w:rsidR="000F29F1" w:rsidP="00E97E5B">
      <w:pPr>
        <w:ind w:firstLine="720"/>
      </w:pPr>
      <w:r>
        <w:t>By</w:t>
      </w:r>
      <w:r w:rsidR="00B67854">
        <w:t xml:space="preserve"> this Public Notice, we </w:t>
      </w:r>
      <w:r w:rsidR="00E97E5B">
        <w:t xml:space="preserve">release a </w:t>
      </w:r>
      <w:r w:rsidR="00A418D9">
        <w:t xml:space="preserve">revised </w:t>
      </w:r>
      <w:r w:rsidR="00B131C6">
        <w:t>m</w:t>
      </w:r>
      <w:r w:rsidR="00A418D9">
        <w:t xml:space="preserve">anual </w:t>
      </w:r>
      <w:r w:rsidR="00283118">
        <w:t xml:space="preserve">(Filing Manual) </w:t>
      </w:r>
      <w:r w:rsidR="00A418D9">
        <w:t>for</w:t>
      </w:r>
      <w:r w:rsidR="008A61BB">
        <w:t xml:space="preserve"> </w:t>
      </w:r>
      <w:r w:rsidR="00E97E5B">
        <w:t xml:space="preserve">filing the </w:t>
      </w:r>
      <w:r w:rsidR="008A61BB">
        <w:t xml:space="preserve">Section 43.82 </w:t>
      </w:r>
      <w:r w:rsidR="00A418D9">
        <w:t>Circuit C</w:t>
      </w:r>
      <w:r w:rsidR="00B67854">
        <w:t>apacit</w:t>
      </w:r>
      <w:r w:rsidR="00A418D9">
        <w:t>y R</w:t>
      </w:r>
      <w:r w:rsidR="00B67854">
        <w:t>eports</w:t>
      </w:r>
      <w:r w:rsidR="00E97E5B">
        <w:t xml:space="preserve">, which consist of </w:t>
      </w:r>
      <w:r w:rsidR="006F21EE">
        <w:t xml:space="preserve">submarine </w:t>
      </w:r>
      <w:r w:rsidR="00E97E5B">
        <w:t>cable operator report</w:t>
      </w:r>
      <w:r w:rsidR="00140321">
        <w:t>s</w:t>
      </w:r>
      <w:r w:rsidR="00E97E5B">
        <w:t xml:space="preserve"> and cable capacity holder report</w:t>
      </w:r>
      <w:r w:rsidR="00140321">
        <w:t>s</w:t>
      </w:r>
      <w:r w:rsidR="00B131C6">
        <w:t>.</w:t>
      </w:r>
      <w:r>
        <w:rPr>
          <w:rStyle w:val="FootnoteReference"/>
        </w:rPr>
        <w:footnoteReference w:id="3"/>
      </w:r>
      <w:r w:rsidR="00E97E5B">
        <w:t xml:space="preserve"> </w:t>
      </w:r>
      <w:r w:rsidR="00B131C6">
        <w:t xml:space="preserve"> </w:t>
      </w:r>
      <w:r w:rsidR="003C7427">
        <w:t xml:space="preserve">Filing entities must file capacity data as of December 31, 2018 </w:t>
      </w:r>
      <w:r w:rsidR="00E97E5B">
        <w:t xml:space="preserve">no later than </w:t>
      </w:r>
      <w:r w:rsidR="00B77D5C">
        <w:t>April</w:t>
      </w:r>
      <w:r w:rsidR="00E97E5B">
        <w:t xml:space="preserve"> 1, 2019</w:t>
      </w:r>
      <w:r w:rsidR="00B67854">
        <w:t>.</w:t>
      </w:r>
      <w:r>
        <w:rPr>
          <w:rStyle w:val="FootnoteReference"/>
        </w:rPr>
        <w:footnoteReference w:id="4"/>
      </w:r>
      <w:r w:rsidR="00B67854">
        <w:t xml:space="preserve">  </w:t>
      </w:r>
      <w:r w:rsidRPr="003C7427" w:rsidR="003C7427">
        <w:t xml:space="preserve">The International Bureau will release a subsequent Public Notice announcing the </w:t>
      </w:r>
      <w:r w:rsidR="006F21EE">
        <w:t xml:space="preserve">opening of the </w:t>
      </w:r>
      <w:r w:rsidRPr="003C7427" w:rsidR="003C7427">
        <w:t>electronic filing window.</w:t>
      </w:r>
      <w:r>
        <w:rPr>
          <w:rStyle w:val="FootnoteReference"/>
        </w:rPr>
        <w:footnoteReference w:id="5"/>
      </w:r>
      <w:r w:rsidRPr="003C7427" w:rsidR="003C7427">
        <w:t xml:space="preserve"> </w:t>
      </w:r>
      <w:r w:rsidR="003C7427">
        <w:t xml:space="preserve"> </w:t>
      </w:r>
      <w:r>
        <w:t xml:space="preserve">The </w:t>
      </w:r>
      <w:r w:rsidR="00581800">
        <w:t xml:space="preserve">revised Filing Manual provides instructions </w:t>
      </w:r>
      <w:r w:rsidR="00E97E5B">
        <w:t xml:space="preserve">on how to file the reports, who must file, which reports to file, the required information, and the filing procedures.  </w:t>
      </w:r>
      <w:r w:rsidR="006F21EE">
        <w:t>B</w:t>
      </w:r>
      <w:r w:rsidR="003C7427">
        <w:t>a</w:t>
      </w:r>
      <w:r w:rsidR="0086248F">
        <w:t>sed on questions received from Filing Entities</w:t>
      </w:r>
      <w:r w:rsidR="006F21EE">
        <w:t xml:space="preserve"> this year</w:t>
      </w:r>
      <w:r w:rsidR="0086248F">
        <w:t>, t</w:t>
      </w:r>
      <w:r w:rsidR="006859C2">
        <w:t xml:space="preserve">he revised Filing Manual also clarifies the </w:t>
      </w:r>
      <w:r w:rsidR="0086248F">
        <w:t xml:space="preserve">definition of </w:t>
      </w:r>
      <w:r w:rsidR="006859C2">
        <w:t xml:space="preserve">“available capacity” in the </w:t>
      </w:r>
      <w:r w:rsidR="006F21EE">
        <w:t xml:space="preserve">submarine </w:t>
      </w:r>
      <w:r w:rsidR="006859C2">
        <w:t xml:space="preserve">cable operator reports.  </w:t>
      </w:r>
    </w:p>
    <w:p w:rsidR="000F29F1" w:rsidP="000C002A">
      <w:pPr>
        <w:ind w:firstLine="720"/>
      </w:pPr>
    </w:p>
    <w:p w:rsidR="004D065F" w:rsidP="00886BE4">
      <w:pPr>
        <w:widowControl/>
        <w:ind w:firstLine="720"/>
      </w:pPr>
      <w:r>
        <w:t xml:space="preserve">The Commission collects annual circuit capacity data for U.S.-international submarine cable systems pursuant to </w:t>
      </w:r>
      <w:r w:rsidR="00FF4D4C">
        <w:t>S</w:t>
      </w:r>
      <w:r>
        <w:t>ection 43.82 of the Commission’s rules.</w:t>
      </w:r>
      <w:r>
        <w:rPr>
          <w:rStyle w:val="FootnoteReference"/>
        </w:rPr>
        <w:footnoteReference w:id="6"/>
      </w:r>
      <w:r>
        <w:t xml:space="preserve">  </w:t>
      </w:r>
      <w:r w:rsidR="003B36B6">
        <w:t>In 201</w:t>
      </w:r>
      <w:r w:rsidR="00F54697">
        <w:t>7</w:t>
      </w:r>
      <w:r w:rsidR="003B36B6">
        <w:t xml:space="preserve">, the </w:t>
      </w:r>
      <w:r w:rsidR="00F54697">
        <w:t xml:space="preserve">Commission streamlined the international reporting requirements and eliminated the </w:t>
      </w:r>
      <w:r w:rsidR="00D53AF9">
        <w:t>t</w:t>
      </w:r>
      <w:r w:rsidR="00F54697">
        <w:t xml:space="preserve">raffic and </w:t>
      </w:r>
      <w:r w:rsidR="00D53AF9">
        <w:t>r</w:t>
      </w:r>
      <w:r w:rsidR="00F54697">
        <w:t xml:space="preserve">evenue </w:t>
      </w:r>
      <w:r w:rsidR="00D53AF9">
        <w:t>r</w:t>
      </w:r>
      <w:r w:rsidR="00F54697">
        <w:t>eports and the requirement to file terrestrial and satellite circuit data.</w:t>
      </w:r>
      <w:r>
        <w:rPr>
          <w:rStyle w:val="FootnoteReference"/>
        </w:rPr>
        <w:footnoteReference w:id="7"/>
      </w:r>
      <w:r w:rsidR="00F54697">
        <w:t xml:space="preserve"> </w:t>
      </w:r>
      <w:r>
        <w:t xml:space="preserve"> The Commission retained the requirement to file </w:t>
      </w:r>
      <w:r w:rsidR="006F21EE">
        <w:t xml:space="preserve">submarine </w:t>
      </w:r>
      <w:r>
        <w:t>cable operator and capacity holder reports</w:t>
      </w:r>
      <w:r w:rsidR="00D53AF9">
        <w:t>,</w:t>
      </w:r>
      <w:r w:rsidR="00B131C6">
        <w:t xml:space="preserve"> concluding </w:t>
      </w:r>
      <w:r>
        <w:t xml:space="preserve">that the </w:t>
      </w:r>
      <w:r w:rsidR="00F54697">
        <w:t xml:space="preserve">data </w:t>
      </w:r>
      <w:r w:rsidR="00F87C84">
        <w:t xml:space="preserve">continue to be </w:t>
      </w:r>
      <w:r>
        <w:t>“necessary for the Commission to fu</w:t>
      </w:r>
      <w:r w:rsidR="008904DC">
        <w:t>lfill its statutory obligations</w:t>
      </w:r>
      <w:r>
        <w:t>.</w:t>
      </w:r>
      <w:r>
        <w:t>”</w:t>
      </w:r>
      <w:r>
        <w:rPr>
          <w:rStyle w:val="FootnoteReference"/>
        </w:rPr>
        <w:footnoteReference w:id="8"/>
      </w:r>
      <w:r w:rsidR="008904DC">
        <w:t xml:space="preserve"> </w:t>
      </w:r>
      <w:r>
        <w:t xml:space="preserve"> The Commission explained that the data </w:t>
      </w:r>
      <w:r w:rsidR="00FF4D4C">
        <w:t xml:space="preserve">are </w:t>
      </w:r>
      <w:r>
        <w:t xml:space="preserve">critical for </w:t>
      </w:r>
      <w:r>
        <w:t>analyzing the international transport markets and for national security and pu</w:t>
      </w:r>
      <w:r w:rsidR="0081307E">
        <w:t>blic safety responsibilities.</w:t>
      </w:r>
      <w:r>
        <w:rPr>
          <w:rStyle w:val="FootnoteReference"/>
        </w:rPr>
        <w:footnoteReference w:id="9"/>
      </w:r>
      <w:r w:rsidR="0081307E">
        <w:t xml:space="preserve">  The rule changes</w:t>
      </w:r>
      <w:r w:rsidR="00BD26AF">
        <w:t xml:space="preserve"> went into effect in April 2018.</w:t>
      </w:r>
      <w:r>
        <w:rPr>
          <w:rStyle w:val="FootnoteReference"/>
        </w:rPr>
        <w:footnoteReference w:id="10"/>
      </w:r>
    </w:p>
    <w:p w:rsidR="0086248F" w:rsidP="000C002A">
      <w:pPr>
        <w:ind w:firstLine="720"/>
      </w:pPr>
    </w:p>
    <w:p w:rsidR="0094684F" w:rsidP="000C002A">
      <w:pPr>
        <w:pStyle w:val="ParaNum"/>
        <w:numPr>
          <w:ilvl w:val="0"/>
          <w:numId w:val="0"/>
        </w:numPr>
        <w:spacing w:after="0"/>
        <w:ind w:firstLine="720"/>
      </w:pPr>
      <w:r>
        <w:t>With the elimination of the traffic and revenue reports and terrestrial and satellite data, t</w:t>
      </w:r>
      <w:r>
        <w:t xml:space="preserve">he </w:t>
      </w:r>
      <w:r w:rsidR="00D53AF9">
        <w:t xml:space="preserve">revised </w:t>
      </w:r>
      <w:r w:rsidR="00C82912">
        <w:t xml:space="preserve">Filing Manual </w:t>
      </w:r>
      <w:r w:rsidR="00B131C6">
        <w:t xml:space="preserve">includes </w:t>
      </w:r>
      <w:r>
        <w:t xml:space="preserve">only </w:t>
      </w:r>
      <w:r w:rsidR="00B131C6">
        <w:t xml:space="preserve">the instructions for the </w:t>
      </w:r>
      <w:r w:rsidR="00D53AF9">
        <w:t xml:space="preserve">Section </w:t>
      </w:r>
      <w:r w:rsidRPr="00B131C6" w:rsidR="00B131C6">
        <w:t>43.82 C</w:t>
      </w:r>
      <w:r w:rsidR="00B131C6">
        <w:t xml:space="preserve">ircuit </w:t>
      </w:r>
      <w:r w:rsidRPr="00B131C6" w:rsidR="00B131C6">
        <w:t>C</w:t>
      </w:r>
      <w:r w:rsidR="00B131C6">
        <w:t>apacity</w:t>
      </w:r>
      <w:r w:rsidRPr="00B131C6" w:rsidR="00B131C6">
        <w:t xml:space="preserve"> R</w:t>
      </w:r>
      <w:r w:rsidR="00B131C6">
        <w:t>eports</w:t>
      </w:r>
      <w:r w:rsidR="00C82912">
        <w:t>.</w:t>
      </w:r>
      <w:r>
        <w:rPr>
          <w:rStyle w:val="FootnoteReference"/>
        </w:rPr>
        <w:footnoteReference w:id="11"/>
      </w:r>
      <w:r w:rsidR="00C82912">
        <w:t xml:space="preserve">  </w:t>
      </w:r>
      <w:r w:rsidR="00D53AF9">
        <w:t xml:space="preserve">These instructions </w:t>
      </w:r>
      <w:r w:rsidR="007C419D">
        <w:t>clarif</w:t>
      </w:r>
      <w:r w:rsidR="00D53AF9">
        <w:t>y</w:t>
      </w:r>
      <w:r w:rsidR="007C419D">
        <w:t xml:space="preserve"> </w:t>
      </w:r>
      <w:r w:rsidR="00FF4D4C">
        <w:t xml:space="preserve">the definition of </w:t>
      </w:r>
      <w:r w:rsidR="007C419D">
        <w:t xml:space="preserve">“available capacity” </w:t>
      </w:r>
      <w:r w:rsidR="00FF4D4C">
        <w:t xml:space="preserve">to ensure that the </w:t>
      </w:r>
      <w:r w:rsidR="006F21EE">
        <w:t xml:space="preserve">submarine </w:t>
      </w:r>
      <w:r w:rsidR="00FF4D4C">
        <w:t xml:space="preserve">cable operator reports </w:t>
      </w:r>
      <w:r w:rsidR="00724A3B">
        <w:t>cap</w:t>
      </w:r>
      <w:r w:rsidR="00EC4C76">
        <w:t xml:space="preserve">ture </w:t>
      </w:r>
      <w:r w:rsidR="00EC4C76">
        <w:t>all of</w:t>
      </w:r>
      <w:r w:rsidR="00EC4C76">
        <w:t xml:space="preserve"> the </w:t>
      </w:r>
      <w:r w:rsidR="00724A3B">
        <w:t xml:space="preserve">capacity of the cable.  </w:t>
      </w:r>
      <w:r w:rsidR="003C7427">
        <w:t xml:space="preserve">The term </w:t>
      </w:r>
      <w:r w:rsidR="00FF4D4C">
        <w:t>“available capacity” is as follows</w:t>
      </w:r>
      <w:r w:rsidR="002659D3">
        <w:t>:</w:t>
      </w:r>
      <w:r w:rsidR="00FF4D4C">
        <w:t xml:space="preserve"> “</w:t>
      </w:r>
      <w:r w:rsidRPr="00F477E2" w:rsidR="00F477E2">
        <w:t>Available capacity, also known as design capacity, is all of the capacity (both lit and unlit capacity) on the cable as of the reporting date (December 31 of the reporting period).</w:t>
      </w:r>
      <w:r w:rsidR="00FF4D4C">
        <w:t>”</w:t>
      </w:r>
      <w:r w:rsidRPr="00F477E2" w:rsidR="00F477E2">
        <w:t xml:space="preserve">  </w:t>
      </w:r>
    </w:p>
    <w:p w:rsidR="000C002A" w:rsidP="000C002A">
      <w:pPr>
        <w:pStyle w:val="ParaNum"/>
        <w:numPr>
          <w:ilvl w:val="0"/>
          <w:numId w:val="0"/>
        </w:numPr>
        <w:spacing w:after="0"/>
        <w:ind w:firstLine="720"/>
      </w:pPr>
    </w:p>
    <w:p w:rsidR="00FF4D4C" w:rsidP="000C002A">
      <w:pPr>
        <w:pStyle w:val="ParaNum"/>
        <w:numPr>
          <w:ilvl w:val="0"/>
          <w:numId w:val="0"/>
        </w:numPr>
        <w:spacing w:after="0"/>
        <w:ind w:firstLine="720"/>
        <w:rPr>
          <w:szCs w:val="22"/>
        </w:rPr>
      </w:pPr>
      <w:r>
        <w:rPr>
          <w:szCs w:val="22"/>
        </w:rPr>
        <w:t>Cable landing licensees and c</w:t>
      </w:r>
      <w:r w:rsidRPr="00005212">
        <w:rPr>
          <w:szCs w:val="22"/>
        </w:rPr>
        <w:t>ommon carriers must file their Circuit Capacity Reports through the Commission’s Sect</w:t>
      </w:r>
      <w:r>
        <w:rPr>
          <w:szCs w:val="22"/>
        </w:rPr>
        <w:t>ion 43.82 online filing system.</w:t>
      </w:r>
      <w:r>
        <w:rPr>
          <w:rStyle w:val="FootnoteReference"/>
          <w:szCs w:val="22"/>
        </w:rPr>
        <w:footnoteReference w:id="12"/>
      </w:r>
      <w:r>
        <w:rPr>
          <w:szCs w:val="22"/>
        </w:rPr>
        <w:t xml:space="preserve">  Cable landing licensees </w:t>
      </w:r>
      <w:r>
        <w:rPr>
          <w:szCs w:val="22"/>
        </w:rPr>
        <w:t xml:space="preserve">must </w:t>
      </w:r>
      <w:r>
        <w:rPr>
          <w:szCs w:val="22"/>
        </w:rPr>
        <w:t>file cable operator and capacity holder report</w:t>
      </w:r>
      <w:r>
        <w:rPr>
          <w:szCs w:val="22"/>
        </w:rPr>
        <w:t>s</w:t>
      </w:r>
      <w:r>
        <w:rPr>
          <w:szCs w:val="22"/>
        </w:rPr>
        <w:t xml:space="preserve">.  Common carriers </w:t>
      </w:r>
      <w:r>
        <w:rPr>
          <w:szCs w:val="22"/>
        </w:rPr>
        <w:t xml:space="preserve">must </w:t>
      </w:r>
      <w:r>
        <w:rPr>
          <w:szCs w:val="22"/>
        </w:rPr>
        <w:t>file capacity holder report</w:t>
      </w:r>
      <w:r w:rsidR="00475D1A">
        <w:rPr>
          <w:szCs w:val="22"/>
        </w:rPr>
        <w:t>s</w:t>
      </w:r>
      <w:r>
        <w:rPr>
          <w:szCs w:val="22"/>
        </w:rPr>
        <w:t xml:space="preserve">.  </w:t>
      </w:r>
    </w:p>
    <w:p w:rsidR="00FF4D4C" w:rsidP="000C002A">
      <w:pPr>
        <w:pStyle w:val="ParaNum"/>
        <w:numPr>
          <w:ilvl w:val="0"/>
          <w:numId w:val="0"/>
        </w:numPr>
        <w:spacing w:after="0"/>
        <w:ind w:firstLine="720"/>
        <w:rPr>
          <w:szCs w:val="22"/>
        </w:rPr>
      </w:pPr>
    </w:p>
    <w:p w:rsidR="005C156A" w:rsidP="005C156A">
      <w:pPr>
        <w:ind w:firstLine="720"/>
      </w:pPr>
      <w:r>
        <w:t>For further information</w:t>
      </w:r>
      <w:r w:rsidR="00B77D5C">
        <w:t>,</w:t>
      </w:r>
      <w:r w:rsidR="00F27C68">
        <w:t xml:space="preserve"> </w:t>
      </w:r>
      <w:r>
        <w:t>please contact </w:t>
      </w:r>
      <w:r w:rsidR="00F2699F">
        <w:t>Stacey Ashton</w:t>
      </w:r>
      <w:r>
        <w:t xml:space="preserve">, Telecommunications and Analysis Division, International Bureau at </w:t>
      </w:r>
      <w:hyperlink r:id="rId5" w:history="1">
        <w:r w:rsidRPr="00142740" w:rsidR="00F2699F">
          <w:rPr>
            <w:rStyle w:val="Hyperlink"/>
          </w:rPr>
          <w:t>Stacey.Ashton@fcc.gov</w:t>
        </w:r>
      </w:hyperlink>
      <w:r>
        <w:t xml:space="preserve"> or at </w:t>
      </w:r>
      <w:r w:rsidR="002C484C">
        <w:t>(</w:t>
      </w:r>
      <w:r>
        <w:t>202</w:t>
      </w:r>
      <w:r w:rsidR="002C484C">
        <w:t xml:space="preserve">) </w:t>
      </w:r>
      <w:r>
        <w:t>418-</w:t>
      </w:r>
      <w:r w:rsidR="00F2699F">
        <w:t>2214</w:t>
      </w:r>
      <w:r w:rsidR="00B77D5C">
        <w:t xml:space="preserve"> or</w:t>
      </w:r>
      <w:r w:rsidRPr="00B77D5C" w:rsidR="00B77D5C">
        <w:t xml:space="preserve"> </w:t>
      </w:r>
      <w:r w:rsidR="00B77D5C">
        <w:t xml:space="preserve">David Krech, Telecommunications and Analysis Division, International Bureau at </w:t>
      </w:r>
      <w:hyperlink r:id="rId6" w:history="1">
        <w:r w:rsidRPr="007910BD" w:rsidR="00B77D5C">
          <w:rPr>
            <w:rStyle w:val="Hyperlink"/>
          </w:rPr>
          <w:t>David.Krech@fcc.gov</w:t>
        </w:r>
      </w:hyperlink>
      <w:r w:rsidR="00B77D5C">
        <w:t xml:space="preserve"> or at (202) 418-7443.</w:t>
      </w:r>
    </w:p>
    <w:p w:rsidR="005C156A" w:rsidP="005C156A">
      <w:pPr>
        <w:ind w:firstLine="720"/>
      </w:pPr>
    </w:p>
    <w:p w:rsidR="00930ECF" w:rsidRPr="00930ECF" w:rsidP="00B67854">
      <w:pPr>
        <w:jc w:val="center"/>
        <w:rPr>
          <w:sz w:val="24"/>
        </w:rPr>
      </w:pPr>
      <w:r>
        <w:rPr>
          <w:b/>
        </w:rPr>
        <w:t>- FCC -</w:t>
      </w:r>
    </w:p>
    <w:sectPr w:rsidSect="000E5884">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6F21E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3989">
      <w:r>
        <w:separator/>
      </w:r>
    </w:p>
  </w:footnote>
  <w:footnote w:type="continuationSeparator" w:id="1">
    <w:p w:rsidR="00BB3989">
      <w:pPr>
        <w:rPr>
          <w:sz w:val="20"/>
        </w:rPr>
      </w:pPr>
      <w:r>
        <w:rPr>
          <w:sz w:val="20"/>
        </w:rPr>
        <w:t xml:space="preserve">(Continued from previous page)  </w:t>
      </w:r>
      <w:r>
        <w:rPr>
          <w:sz w:val="20"/>
        </w:rPr>
        <w:separator/>
      </w:r>
    </w:p>
  </w:footnote>
  <w:footnote w:type="continuationNotice" w:id="2">
    <w:p w:rsidR="00BB3989" w:rsidP="00910F12">
      <w:pPr>
        <w:jc w:val="right"/>
        <w:rPr>
          <w:sz w:val="20"/>
        </w:rPr>
      </w:pPr>
    </w:p>
  </w:footnote>
  <w:footnote w:id="3">
    <w:p w:rsidR="00E97E5B" w:rsidP="00E97E5B">
      <w:pPr>
        <w:pStyle w:val="FootnoteText"/>
      </w:pPr>
      <w:r>
        <w:rPr>
          <w:rStyle w:val="FootnoteReference"/>
        </w:rPr>
        <w:footnoteRef/>
      </w:r>
      <w:r>
        <w:t xml:space="preserve"> </w:t>
      </w:r>
      <w:r w:rsidR="00361090">
        <w:t xml:space="preserve">International Bureau, Filing Manual for Section 43.82 Circuit Capacity Reports (Dec. 2018).  </w:t>
      </w:r>
      <w:r w:rsidRPr="0086248F" w:rsidR="00361090">
        <w:t xml:space="preserve">The Filing Manual is </w:t>
      </w:r>
      <w:r w:rsidR="00352C15">
        <w:t>attached to this Public Notice</w:t>
      </w:r>
      <w:r w:rsidR="00361090">
        <w:t xml:space="preserve">.  </w:t>
      </w:r>
      <w:r>
        <w:t xml:space="preserve">The International Bureau has delegated authority to prepare a Filing Manual with instructions on how to file the reports. 47 CFR § 43.82(c).  </w:t>
      </w:r>
    </w:p>
  </w:footnote>
  <w:footnote w:id="4">
    <w:p w:rsidR="00A17995">
      <w:pPr>
        <w:pStyle w:val="FootnoteText"/>
      </w:pPr>
      <w:r>
        <w:rPr>
          <w:rStyle w:val="FootnoteReference"/>
        </w:rPr>
        <w:footnoteRef/>
      </w:r>
      <w:r>
        <w:t xml:space="preserve"> </w:t>
      </w:r>
      <w:r w:rsidR="00361090">
        <w:rPr>
          <w:color w:val="010101"/>
        </w:rPr>
        <w:t xml:space="preserve">The rule requires the Circuit Capacity Reports </w:t>
      </w:r>
      <w:r w:rsidR="00140321">
        <w:rPr>
          <w:color w:val="010101"/>
        </w:rPr>
        <w:t xml:space="preserve">to </w:t>
      </w:r>
      <w:r w:rsidR="00361090">
        <w:rPr>
          <w:color w:val="010101"/>
        </w:rPr>
        <w:t xml:space="preserve">be filed by March 31 each year.  </w:t>
      </w:r>
      <w:r w:rsidRPr="000B64C4" w:rsidR="00361090">
        <w:rPr>
          <w:color w:val="010101"/>
        </w:rPr>
        <w:t>47 CFR §</w:t>
      </w:r>
      <w:r w:rsidR="00361090">
        <w:rPr>
          <w:color w:val="010101"/>
        </w:rPr>
        <w:t xml:space="preserve"> 43.82(a).  Since March 31, 2019 is a Sunday, the reports are due the next business day, Monday, April 1, 2019.  </w:t>
      </w:r>
      <w:r w:rsidRPr="000B64C4" w:rsidR="00361090">
        <w:rPr>
          <w:color w:val="010101"/>
        </w:rPr>
        <w:t>47 CFR §</w:t>
      </w:r>
      <w:r w:rsidR="00361090">
        <w:rPr>
          <w:color w:val="010101"/>
        </w:rPr>
        <w:t xml:space="preserve"> 1.4.  </w:t>
      </w:r>
    </w:p>
  </w:footnote>
  <w:footnote w:id="5">
    <w:p w:rsidR="00361090">
      <w:pPr>
        <w:pStyle w:val="FootnoteText"/>
      </w:pPr>
      <w:r>
        <w:rPr>
          <w:rStyle w:val="FootnoteReference"/>
        </w:rPr>
        <w:footnoteRef/>
      </w:r>
      <w:r>
        <w:t xml:space="preserve"> </w:t>
      </w:r>
      <w:r w:rsidRPr="0007725A">
        <w:t xml:space="preserve">Failure to file timely </w:t>
      </w:r>
      <w:r w:rsidR="00140321">
        <w:t>S</w:t>
      </w:r>
      <w:r w:rsidRPr="0007725A">
        <w:t>ection 43.</w:t>
      </w:r>
      <w:r>
        <w:t>8</w:t>
      </w:r>
      <w:r w:rsidRPr="0007725A">
        <w:t xml:space="preserve">2 reports may subject </w:t>
      </w:r>
      <w:r w:rsidR="00FA35F6">
        <w:t xml:space="preserve">a </w:t>
      </w:r>
      <w:r w:rsidRPr="0007725A">
        <w:t>Filing Entit</w:t>
      </w:r>
      <w:r w:rsidR="00FA35F6">
        <w:t>y</w:t>
      </w:r>
      <w:r w:rsidRPr="0007725A">
        <w:t xml:space="preserve"> to the enforcement provisions of the Communications Act </w:t>
      </w:r>
      <w:r>
        <w:t xml:space="preserve">of 1934 </w:t>
      </w:r>
      <w:r w:rsidRPr="0007725A">
        <w:t xml:space="preserve">and other applicable law and could result in the imposition of forfeitures or other penalties. </w:t>
      </w:r>
      <w:r>
        <w:t xml:space="preserve"> </w:t>
      </w:r>
      <w:r w:rsidRPr="0007725A">
        <w:t xml:space="preserve">Inaccurate or untruthful information contained in </w:t>
      </w:r>
      <w:r w:rsidR="00140321">
        <w:t>S</w:t>
      </w:r>
      <w:r w:rsidRPr="0007725A">
        <w:t>ection 43.</w:t>
      </w:r>
      <w:r>
        <w:t>82</w:t>
      </w:r>
      <w:r w:rsidRPr="0007725A">
        <w:t xml:space="preserve"> reports may lead to prosecution under </w:t>
      </w:r>
      <w:r w:rsidR="00140321">
        <w:t>S</w:t>
      </w:r>
      <w:r w:rsidRPr="0007725A">
        <w:t>ection 220(e) of the Communications Act</w:t>
      </w:r>
      <w:r>
        <w:t>, 47 U.S.C. § 220</w:t>
      </w:r>
      <w:r w:rsidRPr="00F33023">
        <w:t>(e)</w:t>
      </w:r>
      <w:r>
        <w:t>,</w:t>
      </w:r>
      <w:r w:rsidRPr="0007725A">
        <w:t xml:space="preserve"> or the criminal provisions of Title 18 of the United States Code</w:t>
      </w:r>
      <w:r>
        <w:t xml:space="preserve">, </w:t>
      </w:r>
      <w:r w:rsidRPr="00F33023">
        <w:t>18 U.S.C. § 1001.</w:t>
      </w:r>
    </w:p>
  </w:footnote>
  <w:footnote w:id="6">
    <w:p w:rsidR="005C156A" w:rsidP="005C156A">
      <w:pPr>
        <w:pStyle w:val="FootnoteText"/>
      </w:pPr>
      <w:r>
        <w:rPr>
          <w:rStyle w:val="FootnoteReference"/>
        </w:rPr>
        <w:footnoteRef/>
      </w:r>
      <w:r w:rsidR="00CF1F55">
        <w:t xml:space="preserve"> 47 CFR § 43.82.</w:t>
      </w:r>
    </w:p>
  </w:footnote>
  <w:footnote w:id="7">
    <w:p w:rsidR="004D065F" w:rsidP="004D065F">
      <w:pPr>
        <w:pStyle w:val="FootnoteText"/>
      </w:pPr>
      <w:r>
        <w:rPr>
          <w:rStyle w:val="FootnoteReference"/>
        </w:rPr>
        <w:footnoteRef/>
      </w:r>
      <w:r>
        <w:t xml:space="preserve"> </w:t>
      </w:r>
      <w:r w:rsidRPr="004258B1">
        <w:rPr>
          <w:i/>
        </w:rPr>
        <w:t>Section 43.62 Reporting Requirements for U.S. Providers of International Services; 2016 Biennial Review of Telecommunications Regulations</w:t>
      </w:r>
      <w:r>
        <w:t>, IB Docket Nos. 17-55 and 16-131, Report and Order, 32 FCC Rcd 8115 (2017) (</w:t>
      </w:r>
      <w:r w:rsidRPr="004258B1">
        <w:rPr>
          <w:i/>
        </w:rPr>
        <w:t>Section 43.62 Report and Order</w:t>
      </w:r>
      <w:r>
        <w:t>).</w:t>
      </w:r>
    </w:p>
  </w:footnote>
  <w:footnote w:id="8">
    <w:p w:rsidR="00776893" w:rsidRPr="00776893">
      <w:pPr>
        <w:pStyle w:val="FootnoteText"/>
      </w:pPr>
      <w:r>
        <w:rPr>
          <w:rStyle w:val="FootnoteReference"/>
        </w:rPr>
        <w:footnoteRef/>
      </w:r>
      <w:r>
        <w:t xml:space="preserve"> </w:t>
      </w:r>
      <w:r>
        <w:rPr>
          <w:i/>
        </w:rPr>
        <w:t>Id.</w:t>
      </w:r>
      <w:r>
        <w:t xml:space="preserve"> </w:t>
      </w:r>
      <w:r w:rsidR="00A819BB">
        <w:t>at 81</w:t>
      </w:r>
      <w:r w:rsidR="001D5B03">
        <w:t>27</w:t>
      </w:r>
      <w:r w:rsidR="00A819BB">
        <w:t>, para. 24</w:t>
      </w:r>
      <w:r>
        <w:t>.</w:t>
      </w:r>
    </w:p>
  </w:footnote>
  <w:footnote w:id="9">
    <w:p w:rsidR="00A819BB">
      <w:pPr>
        <w:pStyle w:val="FootnoteText"/>
      </w:pPr>
      <w:r>
        <w:rPr>
          <w:rStyle w:val="FootnoteReference"/>
        </w:rPr>
        <w:footnoteRef/>
      </w:r>
      <w:r>
        <w:t xml:space="preserve"> </w:t>
      </w:r>
      <w:r>
        <w:rPr>
          <w:i/>
        </w:rPr>
        <w:t>Id.</w:t>
      </w:r>
      <w:r>
        <w:t xml:space="preserve"> at 81</w:t>
      </w:r>
      <w:r w:rsidR="001D5B03">
        <w:t>28-29</w:t>
      </w:r>
      <w:r>
        <w:t xml:space="preserve">, para. 28.  </w:t>
      </w:r>
      <w:r w:rsidR="00475D1A">
        <w:t>Although</w:t>
      </w:r>
      <w:r w:rsidRPr="00475D1A">
        <w:t xml:space="preserve"> the circuit data historically had been used for assessing annual regulatory fees, </w:t>
      </w:r>
      <w:r w:rsidRPr="00475D1A" w:rsidR="00C677C8">
        <w:t xml:space="preserve">the Commission did not cite this as a reason to maintain the cable operator and capacity holder reports and eliminated the collection of the terrestrial and satellite circuit data since </w:t>
      </w:r>
      <w:r w:rsidR="00475D1A">
        <w:t>that data</w:t>
      </w:r>
      <w:r w:rsidRPr="00475D1A" w:rsidR="00C677C8">
        <w:t xml:space="preserve"> was only used for assessing regulatory fees.  </w:t>
      </w:r>
      <w:r w:rsidRPr="00475D1A" w:rsidR="00C677C8">
        <w:rPr>
          <w:i/>
        </w:rPr>
        <w:t>Id.</w:t>
      </w:r>
      <w:r w:rsidRPr="00475D1A" w:rsidR="00C677C8">
        <w:t xml:space="preserve"> </w:t>
      </w:r>
      <w:r w:rsidRPr="00475D1A" w:rsidR="001D5B03">
        <w:t xml:space="preserve">at </w:t>
      </w:r>
      <w:r w:rsidRPr="00475D1A" w:rsidR="00283118">
        <w:t>8118, 8127, paras. 5, 25</w:t>
      </w:r>
      <w:r w:rsidRPr="00475D1A" w:rsidR="00283118">
        <w:t xml:space="preserve">, </w:t>
      </w:r>
      <w:r w:rsidRPr="00475D1A" w:rsidR="00C677C8">
        <w:t>31</w:t>
      </w:r>
      <w:r w:rsidR="00C677C8">
        <w:t xml:space="preserve">.  </w:t>
      </w:r>
    </w:p>
  </w:footnote>
  <w:footnote w:id="10">
    <w:p w:rsidR="00BD26AF" w:rsidRPr="00776893">
      <w:pPr>
        <w:pStyle w:val="FootnoteText"/>
      </w:pPr>
      <w:r>
        <w:rPr>
          <w:rStyle w:val="FootnoteReference"/>
        </w:rPr>
        <w:footnoteRef/>
      </w:r>
      <w:r w:rsidR="003C7427">
        <w:t xml:space="preserve"> </w:t>
      </w:r>
      <w:r w:rsidR="00771CF9">
        <w:t xml:space="preserve">Reporting Requirements for U.S. Providers of International Services; 2016 Biennial Review of Telecommunications Regulations, Announcement of Effective Date, </w:t>
      </w:r>
      <w:r w:rsidR="00776893">
        <w:t>83 Fed. Reg. 17931 (2018).</w:t>
      </w:r>
    </w:p>
  </w:footnote>
  <w:footnote w:id="11">
    <w:p w:rsidR="007C419D" w:rsidRPr="007C419D">
      <w:pPr>
        <w:pStyle w:val="FootnoteText"/>
      </w:pPr>
      <w:r>
        <w:rPr>
          <w:rStyle w:val="FootnoteReference"/>
        </w:rPr>
        <w:footnoteRef/>
      </w:r>
      <w:r>
        <w:t xml:space="preserve"> </w:t>
      </w:r>
      <w:r w:rsidR="00D53AF9">
        <w:t xml:space="preserve">The </w:t>
      </w:r>
      <w:r w:rsidR="00BF35F9">
        <w:t>B</w:t>
      </w:r>
      <w:r w:rsidR="00D53AF9">
        <w:t>ureau intends to seek comment on other issues in time f</w:t>
      </w:r>
      <w:r w:rsidR="00475D1A">
        <w:t>or the filing of the December 31</w:t>
      </w:r>
      <w:r w:rsidR="00D53AF9">
        <w:t>, 2019 data on March 31, 2020.  These include</w:t>
      </w:r>
      <w:r>
        <w:t xml:space="preserve"> appropriate changes to allow more than one cable landing license</w:t>
      </w:r>
      <w:r w:rsidR="00A91147">
        <w:t>e</w:t>
      </w:r>
      <w:r w:rsidR="00D53AF9">
        <w:t xml:space="preserve"> per cable</w:t>
      </w:r>
      <w:r>
        <w:t xml:space="preserve"> to file a cable operator report and </w:t>
      </w:r>
      <w:r w:rsidR="00890507">
        <w:t xml:space="preserve">other </w:t>
      </w:r>
      <w:r>
        <w:t xml:space="preserve">possible changes to the types of capacity holdings in the capacity holder reports.  </w:t>
      </w:r>
      <w:r w:rsidRPr="004258B1">
        <w:rPr>
          <w:i/>
        </w:rPr>
        <w:t>Section 43.62 Report and Order</w:t>
      </w:r>
      <w:r>
        <w:rPr>
          <w:i/>
        </w:rPr>
        <w:t>,</w:t>
      </w:r>
      <w:r>
        <w:t xml:space="preserve"> 32 FCC Rcd at 81</w:t>
      </w:r>
      <w:r w:rsidR="00152D02">
        <w:t>32</w:t>
      </w:r>
      <w:r>
        <w:t xml:space="preserve">, para. </w:t>
      </w:r>
      <w:r w:rsidR="00285026">
        <w:t>34</w:t>
      </w:r>
      <w:r w:rsidR="005D3E47">
        <w:t xml:space="preserve"> (directing the B</w:t>
      </w:r>
      <w:r w:rsidR="00D53AF9">
        <w:t>ureau to consult with stakeholders on such changes to the Filing Manual)</w:t>
      </w:r>
      <w:r w:rsidR="00285026">
        <w:t>.</w:t>
      </w:r>
    </w:p>
  </w:footnote>
  <w:footnote w:id="12">
    <w:p w:rsidR="00AD6755">
      <w:pPr>
        <w:pStyle w:val="FootnoteText"/>
      </w:pPr>
      <w:r>
        <w:rPr>
          <w:rStyle w:val="FootnoteReference"/>
        </w:rPr>
        <w:footnoteRef/>
      </w:r>
      <w:r>
        <w:t xml:space="preserve"> </w:t>
      </w:r>
      <w:r w:rsidRPr="003C7427" w:rsidR="00352C15">
        <w:t xml:space="preserve">The International Bureau will release a subsequent Public Notice announcing the </w:t>
      </w:r>
      <w:r w:rsidR="00352C15">
        <w:t xml:space="preserve">opening of the </w:t>
      </w:r>
      <w:r w:rsidRPr="003C7427" w:rsidR="00352C15">
        <w:t>electronic filing window.</w:t>
      </w:r>
      <w:r w:rsidR="00352C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4419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7822B0B"/>
    <w:multiLevelType w:val="multilevel"/>
    <w:tmpl w:val="16ECDA2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nsid w:val="7824547D"/>
    <w:multiLevelType w:val="hybridMultilevel"/>
    <w:tmpl w:val="0ECADF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E544274"/>
    <w:multiLevelType w:val="multilevel"/>
    <w:tmpl w:val="599E7D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1"/>
  </w:num>
  <w:num w:numId="8">
    <w:abstractNumId w:val="5"/>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6A"/>
    <w:rsid w:val="00000149"/>
    <w:rsid w:val="00005212"/>
    <w:rsid w:val="000072CE"/>
    <w:rsid w:val="00013352"/>
    <w:rsid w:val="00013A8B"/>
    <w:rsid w:val="000172BE"/>
    <w:rsid w:val="00021445"/>
    <w:rsid w:val="00026F6B"/>
    <w:rsid w:val="00032998"/>
    <w:rsid w:val="00033210"/>
    <w:rsid w:val="00036039"/>
    <w:rsid w:val="00037F90"/>
    <w:rsid w:val="0004004D"/>
    <w:rsid w:val="000576B2"/>
    <w:rsid w:val="00057AFA"/>
    <w:rsid w:val="00064BF6"/>
    <w:rsid w:val="0007725A"/>
    <w:rsid w:val="000875BF"/>
    <w:rsid w:val="00096D8C"/>
    <w:rsid w:val="000A611E"/>
    <w:rsid w:val="000B64C4"/>
    <w:rsid w:val="000C002A"/>
    <w:rsid w:val="000C0B65"/>
    <w:rsid w:val="000C3A9E"/>
    <w:rsid w:val="000D071A"/>
    <w:rsid w:val="000E3D42"/>
    <w:rsid w:val="000E5884"/>
    <w:rsid w:val="000E6CA2"/>
    <w:rsid w:val="000F0599"/>
    <w:rsid w:val="000F29F1"/>
    <w:rsid w:val="000F487F"/>
    <w:rsid w:val="0010346C"/>
    <w:rsid w:val="00122BD5"/>
    <w:rsid w:val="00132735"/>
    <w:rsid w:val="00140321"/>
    <w:rsid w:val="00142740"/>
    <w:rsid w:val="00146F00"/>
    <w:rsid w:val="00152D02"/>
    <w:rsid w:val="00162F61"/>
    <w:rsid w:val="00165AD0"/>
    <w:rsid w:val="00184257"/>
    <w:rsid w:val="001902F6"/>
    <w:rsid w:val="00192FAF"/>
    <w:rsid w:val="001979D9"/>
    <w:rsid w:val="001A0470"/>
    <w:rsid w:val="001A1358"/>
    <w:rsid w:val="001B22A1"/>
    <w:rsid w:val="001D057E"/>
    <w:rsid w:val="001D5B03"/>
    <w:rsid w:val="001D6BCF"/>
    <w:rsid w:val="001E01CA"/>
    <w:rsid w:val="002060D9"/>
    <w:rsid w:val="00226822"/>
    <w:rsid w:val="00234ACF"/>
    <w:rsid w:val="002522AE"/>
    <w:rsid w:val="00260594"/>
    <w:rsid w:val="00264BDA"/>
    <w:rsid w:val="002659D3"/>
    <w:rsid w:val="002723AD"/>
    <w:rsid w:val="00283118"/>
    <w:rsid w:val="00285017"/>
    <w:rsid w:val="00285026"/>
    <w:rsid w:val="00286761"/>
    <w:rsid w:val="002929AC"/>
    <w:rsid w:val="002A2D2E"/>
    <w:rsid w:val="002A6982"/>
    <w:rsid w:val="002C12B0"/>
    <w:rsid w:val="002C484C"/>
    <w:rsid w:val="002E7184"/>
    <w:rsid w:val="002E7634"/>
    <w:rsid w:val="00301A24"/>
    <w:rsid w:val="0033266B"/>
    <w:rsid w:val="00343749"/>
    <w:rsid w:val="00352C15"/>
    <w:rsid w:val="003537AD"/>
    <w:rsid w:val="00357D50"/>
    <w:rsid w:val="00361090"/>
    <w:rsid w:val="003650F2"/>
    <w:rsid w:val="0036652D"/>
    <w:rsid w:val="00377EF5"/>
    <w:rsid w:val="00381885"/>
    <w:rsid w:val="003853AB"/>
    <w:rsid w:val="00385B49"/>
    <w:rsid w:val="003925DC"/>
    <w:rsid w:val="0039796E"/>
    <w:rsid w:val="003A37F5"/>
    <w:rsid w:val="003B0550"/>
    <w:rsid w:val="003B1C23"/>
    <w:rsid w:val="003B36B6"/>
    <w:rsid w:val="003B694F"/>
    <w:rsid w:val="003C00B6"/>
    <w:rsid w:val="003C7427"/>
    <w:rsid w:val="003D5F63"/>
    <w:rsid w:val="003E4DA4"/>
    <w:rsid w:val="003F026B"/>
    <w:rsid w:val="003F171C"/>
    <w:rsid w:val="0040212E"/>
    <w:rsid w:val="00404A98"/>
    <w:rsid w:val="0040759D"/>
    <w:rsid w:val="00410BC8"/>
    <w:rsid w:val="00412FC5"/>
    <w:rsid w:val="00420989"/>
    <w:rsid w:val="00420FDB"/>
    <w:rsid w:val="00422276"/>
    <w:rsid w:val="004242F1"/>
    <w:rsid w:val="004258B1"/>
    <w:rsid w:val="00432D79"/>
    <w:rsid w:val="00434F5B"/>
    <w:rsid w:val="00435D87"/>
    <w:rsid w:val="004443A3"/>
    <w:rsid w:val="00445A00"/>
    <w:rsid w:val="00451B0F"/>
    <w:rsid w:val="00454326"/>
    <w:rsid w:val="0046125F"/>
    <w:rsid w:val="00475D1A"/>
    <w:rsid w:val="00487524"/>
    <w:rsid w:val="00496106"/>
    <w:rsid w:val="004B7BC2"/>
    <w:rsid w:val="004C12D0"/>
    <w:rsid w:val="004C2EE3"/>
    <w:rsid w:val="004C5F4A"/>
    <w:rsid w:val="004D065F"/>
    <w:rsid w:val="004D1539"/>
    <w:rsid w:val="004D3406"/>
    <w:rsid w:val="004E4A22"/>
    <w:rsid w:val="004F0053"/>
    <w:rsid w:val="00511968"/>
    <w:rsid w:val="00522C35"/>
    <w:rsid w:val="0053337E"/>
    <w:rsid w:val="005356D2"/>
    <w:rsid w:val="00535AEA"/>
    <w:rsid w:val="00536D8A"/>
    <w:rsid w:val="00541143"/>
    <w:rsid w:val="00553A1E"/>
    <w:rsid w:val="0055614C"/>
    <w:rsid w:val="0056324D"/>
    <w:rsid w:val="00581800"/>
    <w:rsid w:val="00585FC9"/>
    <w:rsid w:val="00591DC4"/>
    <w:rsid w:val="005A3D53"/>
    <w:rsid w:val="005C156A"/>
    <w:rsid w:val="005D3E47"/>
    <w:rsid w:val="005E50A1"/>
    <w:rsid w:val="00607BA5"/>
    <w:rsid w:val="00624579"/>
    <w:rsid w:val="00626EB6"/>
    <w:rsid w:val="006337A1"/>
    <w:rsid w:val="006353A3"/>
    <w:rsid w:val="0065122B"/>
    <w:rsid w:val="0065413A"/>
    <w:rsid w:val="00655D03"/>
    <w:rsid w:val="0065716A"/>
    <w:rsid w:val="00667263"/>
    <w:rsid w:val="00683F84"/>
    <w:rsid w:val="006859C2"/>
    <w:rsid w:val="006A6A81"/>
    <w:rsid w:val="006B7BFF"/>
    <w:rsid w:val="006C4368"/>
    <w:rsid w:val="006D759C"/>
    <w:rsid w:val="006E26AF"/>
    <w:rsid w:val="006E4E54"/>
    <w:rsid w:val="006F21EE"/>
    <w:rsid w:val="006F33F4"/>
    <w:rsid w:val="006F7393"/>
    <w:rsid w:val="0070224F"/>
    <w:rsid w:val="007115F7"/>
    <w:rsid w:val="0071348F"/>
    <w:rsid w:val="00716334"/>
    <w:rsid w:val="00723020"/>
    <w:rsid w:val="00724A3B"/>
    <w:rsid w:val="00732C67"/>
    <w:rsid w:val="00747ACE"/>
    <w:rsid w:val="00753837"/>
    <w:rsid w:val="00766650"/>
    <w:rsid w:val="00771CF9"/>
    <w:rsid w:val="00774026"/>
    <w:rsid w:val="00776893"/>
    <w:rsid w:val="007842BF"/>
    <w:rsid w:val="00785689"/>
    <w:rsid w:val="007910BD"/>
    <w:rsid w:val="0079754B"/>
    <w:rsid w:val="007A1E6D"/>
    <w:rsid w:val="007A1F1E"/>
    <w:rsid w:val="007A543B"/>
    <w:rsid w:val="007A5DED"/>
    <w:rsid w:val="007B09F2"/>
    <w:rsid w:val="007C419D"/>
    <w:rsid w:val="007D2D20"/>
    <w:rsid w:val="007E1418"/>
    <w:rsid w:val="007F3CE4"/>
    <w:rsid w:val="007F610E"/>
    <w:rsid w:val="00803BDE"/>
    <w:rsid w:val="00811393"/>
    <w:rsid w:val="0081307E"/>
    <w:rsid w:val="00822CE0"/>
    <w:rsid w:val="00837C62"/>
    <w:rsid w:val="00841AB1"/>
    <w:rsid w:val="008429C9"/>
    <w:rsid w:val="00845D86"/>
    <w:rsid w:val="00857665"/>
    <w:rsid w:val="00860687"/>
    <w:rsid w:val="0086248F"/>
    <w:rsid w:val="00866682"/>
    <w:rsid w:val="00872486"/>
    <w:rsid w:val="00876BD1"/>
    <w:rsid w:val="00881A59"/>
    <w:rsid w:val="00886BE4"/>
    <w:rsid w:val="008904DC"/>
    <w:rsid w:val="00890507"/>
    <w:rsid w:val="00897AB9"/>
    <w:rsid w:val="008A61BB"/>
    <w:rsid w:val="008B36FD"/>
    <w:rsid w:val="008B57AF"/>
    <w:rsid w:val="008C22FD"/>
    <w:rsid w:val="008C744D"/>
    <w:rsid w:val="008D162A"/>
    <w:rsid w:val="008E1D11"/>
    <w:rsid w:val="008E3FF9"/>
    <w:rsid w:val="00900778"/>
    <w:rsid w:val="00910F12"/>
    <w:rsid w:val="00920DFE"/>
    <w:rsid w:val="00926503"/>
    <w:rsid w:val="00930ECF"/>
    <w:rsid w:val="00941440"/>
    <w:rsid w:val="0094684F"/>
    <w:rsid w:val="0094705D"/>
    <w:rsid w:val="0094791D"/>
    <w:rsid w:val="009532AB"/>
    <w:rsid w:val="0095798B"/>
    <w:rsid w:val="0096617C"/>
    <w:rsid w:val="00974DE8"/>
    <w:rsid w:val="009838BC"/>
    <w:rsid w:val="00992083"/>
    <w:rsid w:val="009B1AD1"/>
    <w:rsid w:val="009C2736"/>
    <w:rsid w:val="009D3627"/>
    <w:rsid w:val="009D435E"/>
    <w:rsid w:val="009D5C8B"/>
    <w:rsid w:val="00A17995"/>
    <w:rsid w:val="00A21461"/>
    <w:rsid w:val="00A418D9"/>
    <w:rsid w:val="00A439D3"/>
    <w:rsid w:val="00A45586"/>
    <w:rsid w:val="00A45F4F"/>
    <w:rsid w:val="00A47291"/>
    <w:rsid w:val="00A600A9"/>
    <w:rsid w:val="00A63BE2"/>
    <w:rsid w:val="00A716FD"/>
    <w:rsid w:val="00A778D2"/>
    <w:rsid w:val="00A819BB"/>
    <w:rsid w:val="00A866AC"/>
    <w:rsid w:val="00A91147"/>
    <w:rsid w:val="00A94EB7"/>
    <w:rsid w:val="00A9671E"/>
    <w:rsid w:val="00AA55B7"/>
    <w:rsid w:val="00AA5B9E"/>
    <w:rsid w:val="00AB1EC5"/>
    <w:rsid w:val="00AB2407"/>
    <w:rsid w:val="00AB53DF"/>
    <w:rsid w:val="00AD6755"/>
    <w:rsid w:val="00B01ED4"/>
    <w:rsid w:val="00B07E5C"/>
    <w:rsid w:val="00B131C6"/>
    <w:rsid w:val="00B133E7"/>
    <w:rsid w:val="00B175AF"/>
    <w:rsid w:val="00B20363"/>
    <w:rsid w:val="00B27E51"/>
    <w:rsid w:val="00B326E3"/>
    <w:rsid w:val="00B441DB"/>
    <w:rsid w:val="00B4613E"/>
    <w:rsid w:val="00B47F41"/>
    <w:rsid w:val="00B67854"/>
    <w:rsid w:val="00B769DB"/>
    <w:rsid w:val="00B77D5C"/>
    <w:rsid w:val="00B811F7"/>
    <w:rsid w:val="00BA2A00"/>
    <w:rsid w:val="00BA5DC6"/>
    <w:rsid w:val="00BA6196"/>
    <w:rsid w:val="00BB3989"/>
    <w:rsid w:val="00BC38C2"/>
    <w:rsid w:val="00BC6D8C"/>
    <w:rsid w:val="00BD0A3A"/>
    <w:rsid w:val="00BD26AF"/>
    <w:rsid w:val="00BD49C2"/>
    <w:rsid w:val="00BE275D"/>
    <w:rsid w:val="00BE314D"/>
    <w:rsid w:val="00BF35F9"/>
    <w:rsid w:val="00C0671A"/>
    <w:rsid w:val="00C16AF2"/>
    <w:rsid w:val="00C25AA1"/>
    <w:rsid w:val="00C34006"/>
    <w:rsid w:val="00C426B1"/>
    <w:rsid w:val="00C53EDE"/>
    <w:rsid w:val="00C6699A"/>
    <w:rsid w:val="00C677C8"/>
    <w:rsid w:val="00C82912"/>
    <w:rsid w:val="00C82B6B"/>
    <w:rsid w:val="00C90D6A"/>
    <w:rsid w:val="00CA1467"/>
    <w:rsid w:val="00CA28E0"/>
    <w:rsid w:val="00CA682E"/>
    <w:rsid w:val="00CC6B5B"/>
    <w:rsid w:val="00CC72B6"/>
    <w:rsid w:val="00CD7BBB"/>
    <w:rsid w:val="00CE0A81"/>
    <w:rsid w:val="00CF1F55"/>
    <w:rsid w:val="00D0218D"/>
    <w:rsid w:val="00D05222"/>
    <w:rsid w:val="00D07A7D"/>
    <w:rsid w:val="00D1450B"/>
    <w:rsid w:val="00D216CD"/>
    <w:rsid w:val="00D53AF9"/>
    <w:rsid w:val="00D55D39"/>
    <w:rsid w:val="00D65A95"/>
    <w:rsid w:val="00D77C42"/>
    <w:rsid w:val="00DA2529"/>
    <w:rsid w:val="00DB130A"/>
    <w:rsid w:val="00DB4892"/>
    <w:rsid w:val="00DC10A1"/>
    <w:rsid w:val="00DC367F"/>
    <w:rsid w:val="00DC655F"/>
    <w:rsid w:val="00DD09C4"/>
    <w:rsid w:val="00DD6E56"/>
    <w:rsid w:val="00DD7EBD"/>
    <w:rsid w:val="00DF62B6"/>
    <w:rsid w:val="00E02E4C"/>
    <w:rsid w:val="00E07225"/>
    <w:rsid w:val="00E14A93"/>
    <w:rsid w:val="00E155B7"/>
    <w:rsid w:val="00E21E39"/>
    <w:rsid w:val="00E259D2"/>
    <w:rsid w:val="00E32634"/>
    <w:rsid w:val="00E33982"/>
    <w:rsid w:val="00E40D9F"/>
    <w:rsid w:val="00E41DE2"/>
    <w:rsid w:val="00E5289A"/>
    <w:rsid w:val="00E54086"/>
    <w:rsid w:val="00E5409F"/>
    <w:rsid w:val="00E616C8"/>
    <w:rsid w:val="00E634E0"/>
    <w:rsid w:val="00E8667D"/>
    <w:rsid w:val="00E97E5B"/>
    <w:rsid w:val="00EB02C2"/>
    <w:rsid w:val="00EB5617"/>
    <w:rsid w:val="00EC0185"/>
    <w:rsid w:val="00EC4C76"/>
    <w:rsid w:val="00EE66FA"/>
    <w:rsid w:val="00EF0C76"/>
    <w:rsid w:val="00F021FA"/>
    <w:rsid w:val="00F114D5"/>
    <w:rsid w:val="00F1348B"/>
    <w:rsid w:val="00F2699F"/>
    <w:rsid w:val="00F27C68"/>
    <w:rsid w:val="00F33023"/>
    <w:rsid w:val="00F33CA6"/>
    <w:rsid w:val="00F360CE"/>
    <w:rsid w:val="00F37ECD"/>
    <w:rsid w:val="00F477E2"/>
    <w:rsid w:val="00F54697"/>
    <w:rsid w:val="00F574EC"/>
    <w:rsid w:val="00F57ACA"/>
    <w:rsid w:val="00F611A9"/>
    <w:rsid w:val="00F62E97"/>
    <w:rsid w:val="00F6330C"/>
    <w:rsid w:val="00F64209"/>
    <w:rsid w:val="00F85721"/>
    <w:rsid w:val="00F87C84"/>
    <w:rsid w:val="00F93BF5"/>
    <w:rsid w:val="00F96F63"/>
    <w:rsid w:val="00F97A52"/>
    <w:rsid w:val="00FA35F6"/>
    <w:rsid w:val="00FB0888"/>
    <w:rsid w:val="00FC068A"/>
    <w:rsid w:val="00FC1934"/>
    <w:rsid w:val="00FD143B"/>
    <w:rsid w:val="00FF321D"/>
    <w:rsid w:val="00FF4D4C"/>
    <w:rsid w:val="00FF5C56"/>
    <w:rsid w:val="00FF60D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00"/>
    <w:pPr>
      <w:widowControl w:val="0"/>
    </w:pPr>
    <w:rPr>
      <w:snapToGrid w:val="0"/>
      <w:kern w:val="28"/>
      <w:sz w:val="22"/>
    </w:rPr>
  </w:style>
  <w:style w:type="paragraph" w:styleId="Heading1">
    <w:name w:val="heading 1"/>
    <w:basedOn w:val="Normal"/>
    <w:next w:val="ParaNum"/>
    <w:qFormat/>
    <w:rsid w:val="00BA2A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2A00"/>
    <w:pPr>
      <w:keepNext/>
      <w:numPr>
        <w:ilvl w:val="1"/>
        <w:numId w:val="3"/>
      </w:numPr>
      <w:spacing w:after="120"/>
      <w:outlineLvl w:val="1"/>
    </w:pPr>
    <w:rPr>
      <w:b/>
    </w:rPr>
  </w:style>
  <w:style w:type="paragraph" w:styleId="Heading3">
    <w:name w:val="heading 3"/>
    <w:basedOn w:val="Normal"/>
    <w:next w:val="ParaNum"/>
    <w:qFormat/>
    <w:rsid w:val="00BA2A00"/>
    <w:pPr>
      <w:keepNext/>
      <w:numPr>
        <w:ilvl w:val="2"/>
        <w:numId w:val="3"/>
      </w:numPr>
      <w:tabs>
        <w:tab w:val="left" w:pos="2160"/>
      </w:tabs>
      <w:spacing w:after="120"/>
      <w:outlineLvl w:val="2"/>
    </w:pPr>
    <w:rPr>
      <w:b/>
    </w:rPr>
  </w:style>
  <w:style w:type="paragraph" w:styleId="Heading4">
    <w:name w:val="heading 4"/>
    <w:basedOn w:val="Normal"/>
    <w:next w:val="ParaNum"/>
    <w:qFormat/>
    <w:rsid w:val="00BA2A00"/>
    <w:pPr>
      <w:keepNext/>
      <w:numPr>
        <w:ilvl w:val="3"/>
        <w:numId w:val="3"/>
      </w:numPr>
      <w:tabs>
        <w:tab w:val="left" w:pos="2880"/>
      </w:tabs>
      <w:spacing w:after="120"/>
      <w:outlineLvl w:val="3"/>
    </w:pPr>
    <w:rPr>
      <w:b/>
    </w:rPr>
  </w:style>
  <w:style w:type="paragraph" w:styleId="Heading5">
    <w:name w:val="heading 5"/>
    <w:basedOn w:val="Normal"/>
    <w:next w:val="ParaNum"/>
    <w:qFormat/>
    <w:rsid w:val="00BA2A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2A00"/>
    <w:pPr>
      <w:numPr>
        <w:ilvl w:val="5"/>
        <w:numId w:val="3"/>
      </w:numPr>
      <w:tabs>
        <w:tab w:val="left" w:pos="4320"/>
      </w:tabs>
      <w:spacing w:after="120"/>
      <w:outlineLvl w:val="5"/>
    </w:pPr>
    <w:rPr>
      <w:b/>
    </w:rPr>
  </w:style>
  <w:style w:type="paragraph" w:styleId="Heading7">
    <w:name w:val="heading 7"/>
    <w:basedOn w:val="Normal"/>
    <w:next w:val="ParaNum"/>
    <w:qFormat/>
    <w:rsid w:val="00BA2A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2A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2A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A2A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A2A00"/>
  </w:style>
  <w:style w:type="paragraph" w:customStyle="1" w:styleId="ParaNum">
    <w:name w:val="ParaNum"/>
    <w:basedOn w:val="Normal"/>
    <w:link w:val="ParaNumChar2"/>
    <w:rsid w:val="00BA2A00"/>
    <w:pPr>
      <w:numPr>
        <w:numId w:val="2"/>
      </w:numPr>
      <w:tabs>
        <w:tab w:val="clear" w:pos="1080"/>
        <w:tab w:val="num" w:pos="1440"/>
      </w:tabs>
      <w:spacing w:after="120"/>
    </w:pPr>
  </w:style>
  <w:style w:type="paragraph" w:styleId="EndnoteText">
    <w:name w:val="endnote text"/>
    <w:basedOn w:val="Normal"/>
    <w:semiHidden/>
    <w:rsid w:val="00BA2A00"/>
    <w:rPr>
      <w:sz w:val="20"/>
    </w:rPr>
  </w:style>
  <w:style w:type="character" w:styleId="EndnoteReference">
    <w:name w:val="endnote reference"/>
    <w:semiHidden/>
    <w:rsid w:val="00BA2A00"/>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BA2A00"/>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BA2A00"/>
    <w:rPr>
      <w:rFonts w:ascii="Times New Roman" w:hAnsi="Times New Roman"/>
      <w:dstrike w:val="0"/>
      <w:color w:val="auto"/>
      <w:sz w:val="22"/>
      <w:vertAlign w:val="superscript"/>
    </w:rPr>
  </w:style>
  <w:style w:type="paragraph" w:styleId="TOC1">
    <w:name w:val="toc 1"/>
    <w:basedOn w:val="Normal"/>
    <w:next w:val="Normal"/>
    <w:uiPriority w:val="39"/>
    <w:rsid w:val="00BA2A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2A00"/>
    <w:pPr>
      <w:tabs>
        <w:tab w:val="left" w:pos="720"/>
        <w:tab w:val="right" w:leader="dot" w:pos="9360"/>
      </w:tabs>
      <w:suppressAutoHyphens/>
      <w:ind w:left="720" w:right="720" w:hanging="360"/>
    </w:pPr>
    <w:rPr>
      <w:noProof/>
    </w:rPr>
  </w:style>
  <w:style w:type="paragraph" w:styleId="TOC3">
    <w:name w:val="toc 3"/>
    <w:basedOn w:val="Normal"/>
    <w:next w:val="Normal"/>
    <w:semiHidden/>
    <w:rsid w:val="00BA2A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2A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2A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2A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2A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2A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2A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2A00"/>
    <w:pPr>
      <w:tabs>
        <w:tab w:val="right" w:pos="9360"/>
      </w:tabs>
      <w:suppressAutoHyphens/>
    </w:pPr>
  </w:style>
  <w:style w:type="character" w:customStyle="1" w:styleId="EquationCaption">
    <w:name w:val="_Equation Caption"/>
    <w:rsid w:val="00BA2A00"/>
  </w:style>
  <w:style w:type="paragraph" w:styleId="Header">
    <w:name w:val="header"/>
    <w:basedOn w:val="Normal"/>
    <w:autoRedefine/>
    <w:rsid w:val="00BA2A0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A2A00"/>
    <w:pPr>
      <w:tabs>
        <w:tab w:val="center" w:pos="4320"/>
        <w:tab w:val="right" w:pos="8640"/>
      </w:tabs>
    </w:pPr>
  </w:style>
  <w:style w:type="character" w:styleId="PageNumber">
    <w:name w:val="page number"/>
    <w:basedOn w:val="DefaultParagraphFont"/>
    <w:rsid w:val="00BA2A00"/>
  </w:style>
  <w:style w:type="paragraph" w:styleId="BlockText">
    <w:name w:val="Block Text"/>
    <w:basedOn w:val="Normal"/>
    <w:rsid w:val="00BA2A00"/>
    <w:pPr>
      <w:spacing w:after="240"/>
      <w:ind w:left="1440" w:right="1440"/>
    </w:pPr>
  </w:style>
  <w:style w:type="paragraph" w:customStyle="1" w:styleId="Paratitle">
    <w:name w:val="Para title"/>
    <w:basedOn w:val="Normal"/>
    <w:rsid w:val="00BA2A00"/>
    <w:pPr>
      <w:tabs>
        <w:tab w:val="center" w:pos="9270"/>
      </w:tabs>
      <w:spacing w:after="240"/>
    </w:pPr>
    <w:rPr>
      <w:spacing w:val="-2"/>
    </w:rPr>
  </w:style>
  <w:style w:type="paragraph" w:customStyle="1" w:styleId="Bullet">
    <w:name w:val="Bullet"/>
    <w:basedOn w:val="Normal"/>
    <w:rsid w:val="00BA2A00"/>
    <w:pPr>
      <w:numPr>
        <w:numId w:val="1"/>
      </w:numPr>
      <w:tabs>
        <w:tab w:val="clear" w:pos="360"/>
        <w:tab w:val="left" w:pos="2160"/>
      </w:tabs>
      <w:spacing w:after="220"/>
      <w:ind w:left="2160" w:hanging="720"/>
    </w:pPr>
  </w:style>
  <w:style w:type="paragraph" w:customStyle="1" w:styleId="TableFormat">
    <w:name w:val="TableFormat"/>
    <w:basedOn w:val="Bullet"/>
    <w:rsid w:val="00BA2A00"/>
    <w:pPr>
      <w:numPr>
        <w:numId w:val="0"/>
      </w:numPr>
      <w:tabs>
        <w:tab w:val="clear" w:pos="2160"/>
        <w:tab w:val="left" w:pos="5040"/>
      </w:tabs>
      <w:ind w:left="5040" w:hanging="3600"/>
    </w:pPr>
  </w:style>
  <w:style w:type="paragraph" w:customStyle="1" w:styleId="TOCTitle">
    <w:name w:val="TOC Title"/>
    <w:basedOn w:val="Normal"/>
    <w:rsid w:val="00BA2A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2A00"/>
    <w:pPr>
      <w:jc w:val="center"/>
    </w:pPr>
    <w:rPr>
      <w:rFonts w:ascii="Times New Roman Bold" w:hAnsi="Times New Roman Bold"/>
      <w:b/>
      <w:bCs/>
      <w:caps/>
      <w:szCs w:val="22"/>
    </w:rPr>
  </w:style>
  <w:style w:type="character" w:styleId="Hyperlink">
    <w:name w:val="Hyperlink"/>
    <w:rsid w:val="00BA2A00"/>
    <w:rPr>
      <w:color w:val="0000FF"/>
      <w:u w:val="single"/>
    </w:rPr>
  </w:style>
  <w:style w:type="character" w:customStyle="1" w:styleId="FooterChar">
    <w:name w:val="Footer Char"/>
    <w:link w:val="Footer"/>
    <w:uiPriority w:val="99"/>
    <w:rsid w:val="00BA2A00"/>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5C156A"/>
  </w:style>
  <w:style w:type="character" w:customStyle="1" w:styleId="UnresolvedMention1">
    <w:name w:val="Unresolved Mention1"/>
    <w:basedOn w:val="DefaultParagraphFont"/>
    <w:uiPriority w:val="99"/>
    <w:semiHidden/>
    <w:unhideWhenUsed/>
    <w:rsid w:val="006F33F4"/>
    <w:rPr>
      <w:color w:val="808080"/>
      <w:shd w:val="clear" w:color="auto" w:fill="E6E6E6"/>
    </w:rPr>
  </w:style>
  <w:style w:type="character" w:styleId="FollowedHyperlink">
    <w:name w:val="FollowedHyperlink"/>
    <w:basedOn w:val="DefaultParagraphFont"/>
    <w:uiPriority w:val="99"/>
    <w:semiHidden/>
    <w:unhideWhenUsed/>
    <w:rsid w:val="006F33F4"/>
    <w:rPr>
      <w:color w:val="954F72" w:themeColor="followedHyperlink"/>
      <w:u w:val="single"/>
    </w:rPr>
  </w:style>
  <w:style w:type="character" w:styleId="CommentReference">
    <w:name w:val="annotation reference"/>
    <w:basedOn w:val="DefaultParagraphFont"/>
    <w:semiHidden/>
    <w:unhideWhenUsed/>
    <w:rsid w:val="00264BDA"/>
    <w:rPr>
      <w:sz w:val="16"/>
      <w:szCs w:val="16"/>
    </w:rPr>
  </w:style>
  <w:style w:type="paragraph" w:styleId="CommentText">
    <w:name w:val="annotation text"/>
    <w:basedOn w:val="Normal"/>
    <w:link w:val="CommentTextChar"/>
    <w:semiHidden/>
    <w:unhideWhenUsed/>
    <w:rsid w:val="00264BDA"/>
    <w:rPr>
      <w:sz w:val="20"/>
    </w:rPr>
  </w:style>
  <w:style w:type="character" w:customStyle="1" w:styleId="CommentTextChar">
    <w:name w:val="Comment Text Char"/>
    <w:basedOn w:val="DefaultParagraphFont"/>
    <w:link w:val="CommentText"/>
    <w:uiPriority w:val="99"/>
    <w:semiHidden/>
    <w:rsid w:val="00264BDA"/>
    <w:rPr>
      <w:snapToGrid w:val="0"/>
      <w:kern w:val="28"/>
    </w:rPr>
  </w:style>
  <w:style w:type="paragraph" w:styleId="CommentSubject">
    <w:name w:val="annotation subject"/>
    <w:basedOn w:val="CommentText"/>
    <w:next w:val="CommentText"/>
    <w:link w:val="CommentSubjectChar"/>
    <w:uiPriority w:val="99"/>
    <w:semiHidden/>
    <w:unhideWhenUsed/>
    <w:rsid w:val="00264BDA"/>
    <w:rPr>
      <w:b/>
      <w:bCs/>
    </w:rPr>
  </w:style>
  <w:style w:type="character" w:customStyle="1" w:styleId="CommentSubjectChar">
    <w:name w:val="Comment Subject Char"/>
    <w:basedOn w:val="CommentTextChar"/>
    <w:link w:val="CommentSubject"/>
    <w:uiPriority w:val="99"/>
    <w:semiHidden/>
    <w:rsid w:val="00264BDA"/>
    <w:rPr>
      <w:b/>
      <w:bCs/>
      <w:snapToGrid w:val="0"/>
      <w:kern w:val="28"/>
    </w:rPr>
  </w:style>
  <w:style w:type="paragraph" w:styleId="BalloonText">
    <w:name w:val="Balloon Text"/>
    <w:basedOn w:val="Normal"/>
    <w:link w:val="BalloonTextChar"/>
    <w:uiPriority w:val="99"/>
    <w:semiHidden/>
    <w:unhideWhenUsed/>
    <w:rsid w:val="0026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DA"/>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1D057E"/>
    <w:rPr>
      <w:color w:val="605E5C"/>
      <w:shd w:val="clear" w:color="auto" w:fill="E1DFDD"/>
    </w:rPr>
  </w:style>
  <w:style w:type="paragraph" w:styleId="Revision">
    <w:name w:val="Revision"/>
    <w:hidden/>
    <w:uiPriority w:val="99"/>
    <w:semiHidden/>
    <w:rsid w:val="002929AC"/>
    <w:rPr>
      <w:snapToGrid w:val="0"/>
      <w:kern w:val="28"/>
      <w:sz w:val="22"/>
    </w:rPr>
  </w:style>
  <w:style w:type="character" w:customStyle="1" w:styleId="ParaNumChar2">
    <w:name w:val="ParaNum Char2"/>
    <w:link w:val="ParaNum"/>
    <w:rsid w:val="00B678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acey.Ashton@fcc.gov" TargetMode="External" /><Relationship Id="rId6" Type="http://schemas.openxmlformats.org/officeDocument/2006/relationships/hyperlink" Target="mailto:David.Krech@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