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35BD6"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sidRPr="006B29E2">
        <w:rPr>
          <w:szCs w:val="22"/>
        </w:rPr>
        <w:t xml:space="preserve">   </w:t>
      </w:r>
    </w:p>
    <w:p w:rsidR="00135BD6" w:rsidRPr="006B29E2" w:rsidP="00135BD6">
      <w:pPr>
        <w:jc w:val="right"/>
        <w:rPr>
          <w:b/>
          <w:szCs w:val="22"/>
        </w:rPr>
      </w:pPr>
      <w:r w:rsidRPr="006B29E2">
        <w:rPr>
          <w:b/>
          <w:szCs w:val="22"/>
        </w:rPr>
        <w:t>DA 18-</w:t>
      </w:r>
      <w:r w:rsidR="001C68BB">
        <w:rPr>
          <w:b/>
          <w:szCs w:val="22"/>
        </w:rPr>
        <w:t>1307</w:t>
      </w:r>
    </w:p>
    <w:p w:rsidR="00135BD6" w:rsidRPr="006B29E2" w:rsidP="00135BD6">
      <w:pPr>
        <w:spacing w:before="60"/>
        <w:jc w:val="right"/>
        <w:rPr>
          <w:b/>
          <w:szCs w:val="22"/>
        </w:rPr>
      </w:pPr>
      <w:r>
        <w:rPr>
          <w:b/>
          <w:szCs w:val="22"/>
        </w:rPr>
        <w:t xml:space="preserve">December </w:t>
      </w:r>
      <w:r w:rsidR="00D56C49">
        <w:rPr>
          <w:b/>
          <w:szCs w:val="22"/>
        </w:rPr>
        <w:t>28</w:t>
      </w:r>
      <w:r w:rsidRPr="006B29E2" w:rsidR="00D23EE6">
        <w:rPr>
          <w:b/>
          <w:szCs w:val="22"/>
        </w:rPr>
        <w:t>, 2018</w:t>
      </w:r>
    </w:p>
    <w:p w:rsidR="00135BD6" w:rsidRPr="006B29E2" w:rsidP="00135BD6">
      <w:pPr>
        <w:tabs>
          <w:tab w:val="left" w:pos="5900"/>
        </w:tabs>
        <w:rPr>
          <w:szCs w:val="22"/>
        </w:rPr>
      </w:pPr>
      <w:r w:rsidRPr="006B29E2">
        <w:rPr>
          <w:szCs w:val="22"/>
        </w:rPr>
        <w:tab/>
      </w:r>
    </w:p>
    <w:p w:rsidR="005B5A5A" w:rsidP="00135BD6">
      <w:pPr>
        <w:autoSpaceDE w:val="0"/>
        <w:autoSpaceDN w:val="0"/>
        <w:adjustRightInd w:val="0"/>
        <w:jc w:val="center"/>
        <w:rPr>
          <w:b/>
          <w:bCs/>
          <w:szCs w:val="22"/>
        </w:rPr>
      </w:pPr>
      <w:bookmarkStart w:id="2" w:name="_Hlk502044717"/>
      <w:bookmarkStart w:id="3" w:name="_Hlk516578398"/>
      <w:bookmarkStart w:id="4" w:name="_Hlk519509475"/>
      <w:r w:rsidRPr="006B29E2">
        <w:rPr>
          <w:b/>
          <w:bCs/>
          <w:szCs w:val="22"/>
        </w:rPr>
        <w:t xml:space="preserve">DOMESTIC SECTION 214 APPLICATION FILED FOR THE </w:t>
      </w:r>
      <w:r>
        <w:rPr>
          <w:b/>
          <w:bCs/>
          <w:szCs w:val="22"/>
        </w:rPr>
        <w:t xml:space="preserve">TRANSFER OF CONTROL OF </w:t>
      </w:r>
      <w:bookmarkStart w:id="5" w:name="_Hlk526249209"/>
      <w:r w:rsidR="00A74F95">
        <w:rPr>
          <w:b/>
          <w:bCs/>
          <w:szCs w:val="22"/>
        </w:rPr>
        <w:t>DATACONNEX</w:t>
      </w:r>
      <w:r w:rsidR="004A6DE9">
        <w:rPr>
          <w:b/>
          <w:bCs/>
          <w:szCs w:val="22"/>
        </w:rPr>
        <w:t>, LLC, DEBTOR-IN-POSSESSION,</w:t>
      </w:r>
      <w:r>
        <w:rPr>
          <w:b/>
          <w:bCs/>
          <w:szCs w:val="22"/>
        </w:rPr>
        <w:t xml:space="preserve"> TO </w:t>
      </w:r>
    </w:p>
    <w:p w:rsidR="00135BD6" w:rsidP="00135BD6">
      <w:pPr>
        <w:autoSpaceDE w:val="0"/>
        <w:autoSpaceDN w:val="0"/>
        <w:adjustRightInd w:val="0"/>
        <w:jc w:val="center"/>
        <w:rPr>
          <w:b/>
          <w:bCs/>
          <w:szCs w:val="22"/>
        </w:rPr>
      </w:pPr>
      <w:r>
        <w:rPr>
          <w:b/>
          <w:bCs/>
          <w:szCs w:val="22"/>
        </w:rPr>
        <w:t>CHARGER ACCESS, LLC</w:t>
      </w:r>
      <w:bookmarkEnd w:id="2"/>
      <w:bookmarkEnd w:id="3"/>
      <w:bookmarkEnd w:id="5"/>
    </w:p>
    <w:bookmarkEnd w:id="4"/>
    <w:p w:rsidR="00135BD6" w:rsidRPr="006B29E2" w:rsidP="00135BD6">
      <w:pPr>
        <w:autoSpaceDE w:val="0"/>
        <w:autoSpaceDN w:val="0"/>
        <w:adjustRightInd w:val="0"/>
        <w:rPr>
          <w:b/>
          <w:bCs/>
          <w:szCs w:val="22"/>
        </w:rPr>
      </w:pPr>
    </w:p>
    <w:p w:rsidR="00135BD6" w:rsidRPr="006B29E2" w:rsidP="00135BD6">
      <w:pPr>
        <w:jc w:val="center"/>
        <w:rPr>
          <w:b/>
          <w:szCs w:val="22"/>
        </w:rPr>
      </w:pPr>
      <w:r>
        <w:rPr>
          <w:b/>
          <w:bCs/>
          <w:szCs w:val="22"/>
        </w:rPr>
        <w:t>NON-</w:t>
      </w:r>
      <w:r w:rsidRPr="006B29E2">
        <w:rPr>
          <w:b/>
          <w:bCs/>
          <w:szCs w:val="22"/>
        </w:rPr>
        <w:t>STREA</w:t>
      </w:r>
      <w:r w:rsidRPr="006B29E2">
        <w:rPr>
          <w:b/>
          <w:szCs w:val="22"/>
        </w:rPr>
        <w:t>MLINED PLEADING CYCLE ESTABLISHED</w:t>
      </w:r>
    </w:p>
    <w:p w:rsidR="00135BD6" w:rsidRPr="006B29E2" w:rsidP="00135BD6">
      <w:pPr>
        <w:jc w:val="center"/>
        <w:rPr>
          <w:b/>
          <w:szCs w:val="22"/>
        </w:rPr>
      </w:pPr>
    </w:p>
    <w:p w:rsidR="00135BD6" w:rsidRPr="006B29E2" w:rsidP="00135BD6">
      <w:pPr>
        <w:jc w:val="center"/>
        <w:rPr>
          <w:b/>
          <w:szCs w:val="22"/>
        </w:rPr>
      </w:pPr>
      <w:r>
        <w:rPr>
          <w:b/>
          <w:szCs w:val="22"/>
        </w:rPr>
        <w:t xml:space="preserve"> WC Docket No. 18-</w:t>
      </w:r>
      <w:r w:rsidR="002205FA">
        <w:rPr>
          <w:b/>
          <w:szCs w:val="22"/>
        </w:rPr>
        <w:t>398</w:t>
      </w:r>
    </w:p>
    <w:p w:rsidR="00135BD6" w:rsidRPr="006B29E2" w:rsidP="00135BD6">
      <w:pPr>
        <w:jc w:val="center"/>
        <w:rPr>
          <w:szCs w:val="22"/>
        </w:rPr>
      </w:pPr>
    </w:p>
    <w:p w:rsidR="00135BD6" w:rsidRPr="006B29E2" w:rsidP="00135BD6">
      <w:pPr>
        <w:pStyle w:val="NoSpacing"/>
        <w:rPr>
          <w:b/>
          <w:szCs w:val="22"/>
        </w:rPr>
      </w:pPr>
      <w:r>
        <w:rPr>
          <w:b/>
          <w:szCs w:val="22"/>
        </w:rPr>
        <w:t xml:space="preserve">Comments Due:  </w:t>
      </w:r>
      <w:r w:rsidR="004A6DE9">
        <w:rPr>
          <w:b/>
          <w:szCs w:val="22"/>
        </w:rPr>
        <w:t xml:space="preserve">January </w:t>
      </w:r>
      <w:r w:rsidR="00973C9F">
        <w:rPr>
          <w:b/>
          <w:szCs w:val="22"/>
        </w:rPr>
        <w:t>11</w:t>
      </w:r>
      <w:r w:rsidRPr="006B29E2">
        <w:rPr>
          <w:b/>
          <w:szCs w:val="22"/>
        </w:rPr>
        <w:t>, 201</w:t>
      </w:r>
      <w:r w:rsidR="004A6DE9">
        <w:rPr>
          <w:b/>
          <w:szCs w:val="22"/>
        </w:rPr>
        <w:t>9</w:t>
      </w:r>
    </w:p>
    <w:p w:rsidR="00135BD6" w:rsidRPr="006B29E2" w:rsidP="00135BD6">
      <w:pPr>
        <w:pStyle w:val="NoSpacing"/>
        <w:rPr>
          <w:b/>
          <w:szCs w:val="22"/>
        </w:rPr>
      </w:pPr>
      <w:r w:rsidRPr="006B29E2">
        <w:rPr>
          <w:b/>
          <w:szCs w:val="22"/>
        </w:rPr>
        <w:t xml:space="preserve">Reply Comments Due:  </w:t>
      </w:r>
      <w:r w:rsidR="004A6DE9">
        <w:rPr>
          <w:b/>
          <w:szCs w:val="22"/>
        </w:rPr>
        <w:t xml:space="preserve">January </w:t>
      </w:r>
      <w:r w:rsidR="0064715B">
        <w:rPr>
          <w:b/>
          <w:szCs w:val="22"/>
        </w:rPr>
        <w:t>18</w:t>
      </w:r>
      <w:r w:rsidRPr="006B29E2">
        <w:rPr>
          <w:b/>
          <w:szCs w:val="22"/>
        </w:rPr>
        <w:t>, 201</w:t>
      </w:r>
      <w:r w:rsidR="004A6DE9">
        <w:rPr>
          <w:b/>
          <w:szCs w:val="22"/>
        </w:rPr>
        <w:t>9</w:t>
      </w:r>
    </w:p>
    <w:p w:rsidR="00135BD6" w:rsidRPr="006B29E2" w:rsidP="00135BD6">
      <w:pPr>
        <w:autoSpaceDE w:val="0"/>
        <w:autoSpaceDN w:val="0"/>
        <w:adjustRightInd w:val="0"/>
        <w:rPr>
          <w:rFonts w:ascii="TimesNewRomanPSMT" w:hAnsi="TimesNewRomanPSMT" w:cs="TimesNewRomanPSMT"/>
          <w:szCs w:val="22"/>
        </w:rPr>
      </w:pPr>
    </w:p>
    <w:p w:rsidR="00135BD6" w:rsidRPr="00183BC5" w:rsidP="00135BD6">
      <w:pPr>
        <w:autoSpaceDE w:val="0"/>
        <w:autoSpaceDN w:val="0"/>
        <w:adjustRightInd w:val="0"/>
        <w:ind w:firstLine="720"/>
        <w:rPr>
          <w:szCs w:val="22"/>
        </w:rPr>
      </w:pPr>
      <w:r w:rsidRPr="008C49B6">
        <w:rPr>
          <w:szCs w:val="22"/>
        </w:rPr>
        <w:t xml:space="preserve">By this Public Notice, the Wireline Competition Bureau </w:t>
      </w:r>
      <w:r>
        <w:rPr>
          <w:szCs w:val="22"/>
        </w:rPr>
        <w:t xml:space="preserve">(Bureau) </w:t>
      </w:r>
      <w:r w:rsidRPr="008C49B6">
        <w:rPr>
          <w:szCs w:val="22"/>
        </w:rPr>
        <w:t xml:space="preserve">seeks comment from interested parties on an application filed by </w:t>
      </w:r>
      <w:r w:rsidR="00A74F95">
        <w:rPr>
          <w:szCs w:val="22"/>
        </w:rPr>
        <w:t>DataConnex</w:t>
      </w:r>
      <w:r w:rsidR="004A6DE9">
        <w:rPr>
          <w:szCs w:val="22"/>
        </w:rPr>
        <w:t>, LLC, Debtor-in-Possession (</w:t>
      </w:r>
      <w:r w:rsidR="00A74F95">
        <w:rPr>
          <w:szCs w:val="22"/>
        </w:rPr>
        <w:t>DataConnex</w:t>
      </w:r>
      <w:r w:rsidR="004A6DE9">
        <w:rPr>
          <w:szCs w:val="22"/>
        </w:rPr>
        <w:t xml:space="preserve">), and Charger Access, LLC (Charger) </w:t>
      </w:r>
      <w:r w:rsidRPr="008C49B6">
        <w:rPr>
          <w:szCs w:val="22"/>
        </w:rPr>
        <w:t>(</w:t>
      </w:r>
      <w:r w:rsidR="004A6DE9">
        <w:rPr>
          <w:szCs w:val="22"/>
        </w:rPr>
        <w:t>together</w:t>
      </w:r>
      <w:r w:rsidRPr="008C49B6">
        <w:rPr>
          <w:szCs w:val="22"/>
        </w:rPr>
        <w:t xml:space="preserve">, Applicants), pursuant to section 214 of the Communications Act of 1934, as amended, and sections 63.03-04 of the </w:t>
      </w:r>
      <w:r w:rsidR="00F67051">
        <w:rPr>
          <w:szCs w:val="22"/>
        </w:rPr>
        <w:t xml:space="preserve">Federal Communication </w:t>
      </w:r>
      <w:r w:rsidRPr="008C49B6">
        <w:rPr>
          <w:szCs w:val="22"/>
        </w:rPr>
        <w:t xml:space="preserve">Commission’s </w:t>
      </w:r>
      <w:r w:rsidR="00F67051">
        <w:rPr>
          <w:szCs w:val="22"/>
        </w:rPr>
        <w:t xml:space="preserve">(Commission) </w:t>
      </w:r>
      <w:r w:rsidRPr="008C49B6">
        <w:rPr>
          <w:szCs w:val="22"/>
        </w:rPr>
        <w:t xml:space="preserve">rules, </w:t>
      </w:r>
      <w:r w:rsidRPr="00703752">
        <w:rPr>
          <w:szCs w:val="22"/>
        </w:rPr>
        <w:t xml:space="preserve">requesting approval to transfer control of </w:t>
      </w:r>
      <w:r w:rsidR="00A74F95">
        <w:rPr>
          <w:szCs w:val="22"/>
        </w:rPr>
        <w:t>DataConnex</w:t>
      </w:r>
      <w:r>
        <w:rPr>
          <w:szCs w:val="22"/>
        </w:rPr>
        <w:t xml:space="preserve"> to </w:t>
      </w:r>
      <w:r w:rsidR="004A6DE9">
        <w:rPr>
          <w:szCs w:val="22"/>
        </w:rPr>
        <w:t>Charger</w:t>
      </w:r>
      <w:r>
        <w:rPr>
          <w:szCs w:val="22"/>
        </w:rPr>
        <w:t>.</w:t>
      </w:r>
      <w:r>
        <w:rPr>
          <w:szCs w:val="22"/>
          <w:vertAlign w:val="superscript"/>
        </w:rPr>
        <w:footnoteReference w:id="3"/>
      </w:r>
      <w:r w:rsidRPr="00183BC5">
        <w:rPr>
          <w:rFonts w:ascii="TimesNewRomanPSMT" w:hAnsi="TimesNewRomanPSMT" w:cs="TimesNewRomanPSMT"/>
          <w:szCs w:val="22"/>
        </w:rPr>
        <w:t xml:space="preserve"> </w:t>
      </w:r>
    </w:p>
    <w:p w:rsidR="00135BD6" w:rsidRPr="00183BC5" w:rsidP="00135BD6">
      <w:pPr>
        <w:autoSpaceDE w:val="0"/>
        <w:autoSpaceDN w:val="0"/>
        <w:adjustRightInd w:val="0"/>
        <w:ind w:firstLine="720"/>
        <w:rPr>
          <w:rFonts w:ascii="TimesNewRomanPSMT" w:hAnsi="TimesNewRomanPSMT" w:cs="TimesNewRomanPSMT"/>
          <w:szCs w:val="22"/>
        </w:rPr>
      </w:pPr>
    </w:p>
    <w:p w:rsidR="00175E75" w:rsidP="00175E75">
      <w:pPr>
        <w:autoSpaceDE w:val="0"/>
        <w:autoSpaceDN w:val="0"/>
        <w:adjustRightInd w:val="0"/>
        <w:ind w:firstLine="720"/>
        <w:rPr>
          <w:szCs w:val="22"/>
        </w:rPr>
      </w:pPr>
      <w:r>
        <w:rPr>
          <w:szCs w:val="22"/>
        </w:rPr>
        <w:t>DataConnex</w:t>
      </w:r>
      <w:r w:rsidR="004A6DE9">
        <w:rPr>
          <w:szCs w:val="22"/>
        </w:rPr>
        <w:t xml:space="preserve">, a Florida limited liability company, provides facilities-based </w:t>
      </w:r>
      <w:r w:rsidR="00F67051">
        <w:rPr>
          <w:szCs w:val="22"/>
        </w:rPr>
        <w:t xml:space="preserve">and </w:t>
      </w:r>
      <w:r w:rsidR="004A6DE9">
        <w:rPr>
          <w:szCs w:val="22"/>
        </w:rPr>
        <w:t>resold telecommunications services primarily to Rural Health Care P</w:t>
      </w:r>
      <w:r w:rsidR="00F67051">
        <w:rPr>
          <w:szCs w:val="22"/>
        </w:rPr>
        <w:t>rogram healthcare providers in Alabama, Florida, Louisiana, Mississippi, Kentucky, Ohio, Georgia, Texas, South Carolina, Virginia, Arkansas, Missouri, and Tennessee.</w:t>
      </w:r>
      <w:r>
        <w:rPr>
          <w:rStyle w:val="FootnoteReference"/>
          <w:szCs w:val="22"/>
        </w:rPr>
        <w:footnoteReference w:id="4"/>
      </w:r>
      <w:r w:rsidR="00F67051">
        <w:rPr>
          <w:szCs w:val="22"/>
        </w:rPr>
        <w:t xml:space="preserve"> </w:t>
      </w:r>
      <w:r w:rsidR="00D23EE6">
        <w:rPr>
          <w:szCs w:val="22"/>
        </w:rPr>
        <w:t xml:space="preserve"> </w:t>
      </w:r>
      <w:r w:rsidR="0064715B">
        <w:rPr>
          <w:szCs w:val="22"/>
        </w:rPr>
        <w:t xml:space="preserve">Applicants state that </w:t>
      </w:r>
      <w:r>
        <w:rPr>
          <w:szCs w:val="22"/>
        </w:rPr>
        <w:t>DataConnex</w:t>
      </w:r>
      <w:r>
        <w:rPr>
          <w:szCs w:val="22"/>
        </w:rPr>
        <w:t xml:space="preserve"> is managed and controlled by Partner Management Group, LLC, a Delaware limited liability company, which holds an 80 percent equity interest.  Jason Cucullu and Justin McMasters, both U.S. citizens, hold 50 percent membership interests in Partner Management Group, LLC.</w:t>
      </w:r>
      <w:r w:rsidR="0064715B">
        <w:rPr>
          <w:szCs w:val="22"/>
        </w:rPr>
        <w:t xml:space="preserve">  They further state that DDT Property &amp; Development, LLC, a Florida limited liability company, is a passive investor</w:t>
      </w:r>
      <w:r>
        <w:rPr>
          <w:szCs w:val="22"/>
        </w:rPr>
        <w:t xml:space="preserve"> </w:t>
      </w:r>
      <w:r w:rsidR="009A593C">
        <w:rPr>
          <w:szCs w:val="22"/>
        </w:rPr>
        <w:t>in DataConnex and holds the remaining 20 percent equity interest in DataConnex.</w:t>
      </w:r>
      <w:r>
        <w:rPr>
          <w:szCs w:val="22"/>
        </w:rPr>
        <w:t xml:space="preserve">  </w:t>
      </w:r>
    </w:p>
    <w:p w:rsidR="00175E75" w:rsidP="00B55F25">
      <w:pPr>
        <w:autoSpaceDE w:val="0"/>
        <w:autoSpaceDN w:val="0"/>
        <w:adjustRightInd w:val="0"/>
        <w:ind w:firstLine="720"/>
        <w:rPr>
          <w:szCs w:val="22"/>
        </w:rPr>
      </w:pPr>
    </w:p>
    <w:p w:rsidR="00B55F25" w:rsidP="00B55F25">
      <w:pPr>
        <w:autoSpaceDE w:val="0"/>
        <w:autoSpaceDN w:val="0"/>
        <w:adjustRightInd w:val="0"/>
        <w:ind w:firstLine="720"/>
        <w:rPr>
          <w:b/>
          <w:szCs w:val="22"/>
        </w:rPr>
      </w:pPr>
      <w:r>
        <w:rPr>
          <w:szCs w:val="22"/>
        </w:rPr>
        <w:t>Charger</w:t>
      </w:r>
      <w:r w:rsidR="00175E75">
        <w:rPr>
          <w:szCs w:val="22"/>
        </w:rPr>
        <w:t xml:space="preserve"> is a Tennessee limited liability company</w:t>
      </w:r>
      <w:r w:rsidR="00214677">
        <w:rPr>
          <w:szCs w:val="22"/>
        </w:rPr>
        <w:t xml:space="preserve"> that does not currently provide telecommunications services</w:t>
      </w:r>
      <w:r w:rsidR="00175E75">
        <w:rPr>
          <w:szCs w:val="22"/>
        </w:rPr>
        <w:t>.  Its two members are Charger Investment, LLC (70 percent equity interest), which is in turn wholly owned by Rusty Hagenbuch, a U.S. citizen, and Trustpointe Communications LLC (Trustpointe, 30 percent equity interest)</w:t>
      </w:r>
      <w:r w:rsidR="00176B28">
        <w:rPr>
          <w:szCs w:val="22"/>
        </w:rPr>
        <w:t>.  Trustpointe</w:t>
      </w:r>
      <w:r w:rsidR="002205FA">
        <w:rPr>
          <w:szCs w:val="22"/>
        </w:rPr>
        <w:t xml:space="preserve">, a Florida limited liability company, </w:t>
      </w:r>
      <w:r w:rsidR="00176B28">
        <w:rPr>
          <w:szCs w:val="22"/>
        </w:rPr>
        <w:t>is</w:t>
      </w:r>
      <w:r w:rsidR="00175E75">
        <w:rPr>
          <w:szCs w:val="22"/>
        </w:rPr>
        <w:t xml:space="preserve"> owned by David Patrick Parker, Anthony J. Morgan, and Darren Martin, all U.S. citizens, and all holding a 33.33 percent equity interest in Trustpointe</w:t>
      </w:r>
      <w:r w:rsidR="002205FA">
        <w:rPr>
          <w:szCs w:val="22"/>
        </w:rPr>
        <w:t xml:space="preserve">.  </w:t>
      </w:r>
    </w:p>
    <w:p w:rsidR="00175E75" w:rsidP="00B55F25">
      <w:pPr>
        <w:autoSpaceDE w:val="0"/>
        <w:autoSpaceDN w:val="0"/>
        <w:adjustRightInd w:val="0"/>
        <w:ind w:firstLine="720"/>
        <w:rPr>
          <w:b/>
          <w:szCs w:val="22"/>
        </w:rPr>
      </w:pPr>
    </w:p>
    <w:p w:rsidR="00761B87" w:rsidP="00B55F25">
      <w:pPr>
        <w:autoSpaceDE w:val="0"/>
        <w:autoSpaceDN w:val="0"/>
        <w:adjustRightInd w:val="0"/>
        <w:ind w:firstLine="720"/>
        <w:rPr>
          <w:szCs w:val="22"/>
        </w:rPr>
      </w:pPr>
      <w:r>
        <w:rPr>
          <w:szCs w:val="22"/>
        </w:rPr>
        <w:t xml:space="preserve">On December 19, 2018, the United States Bankruptcy Court for the Middle District of Florida, Tampa Division, approved the sale of substantially all of </w:t>
      </w:r>
      <w:r w:rsidR="00A74F95">
        <w:rPr>
          <w:szCs w:val="22"/>
        </w:rPr>
        <w:t>DataConnex</w:t>
      </w:r>
      <w:r>
        <w:rPr>
          <w:szCs w:val="22"/>
        </w:rPr>
        <w:t xml:space="preserve">’s assets, including its contracts for service to customers, to Charger. </w:t>
      </w:r>
      <w:r>
        <w:rPr>
          <w:rStyle w:val="FootnoteReference"/>
          <w:szCs w:val="22"/>
        </w:rPr>
        <w:footnoteReference w:id="5"/>
      </w:r>
      <w:r>
        <w:rPr>
          <w:szCs w:val="22"/>
        </w:rPr>
        <w:t xml:space="preserve"> The court stated that no sale or transfer shall take place prior to regulatory approval by the Commission.</w:t>
      </w:r>
      <w:r>
        <w:rPr>
          <w:rStyle w:val="FootnoteReference"/>
          <w:szCs w:val="22"/>
        </w:rPr>
        <w:footnoteReference w:id="6"/>
      </w:r>
    </w:p>
    <w:p w:rsidR="00E326B0" w:rsidP="009E27AD">
      <w:pPr>
        <w:autoSpaceDE w:val="0"/>
        <w:autoSpaceDN w:val="0"/>
        <w:adjustRightInd w:val="0"/>
        <w:rPr>
          <w:szCs w:val="22"/>
        </w:rPr>
      </w:pPr>
    </w:p>
    <w:p w:rsidR="00F55292" w:rsidRPr="00F55292" w:rsidP="00F55292">
      <w:pPr>
        <w:autoSpaceDE w:val="0"/>
        <w:autoSpaceDN w:val="0"/>
        <w:adjustRightInd w:val="0"/>
        <w:ind w:firstLine="720"/>
        <w:rPr>
          <w:szCs w:val="22"/>
        </w:rPr>
      </w:pPr>
      <w:r w:rsidRPr="00F55292">
        <w:rPr>
          <w:szCs w:val="22"/>
        </w:rPr>
        <w:t xml:space="preserve">Applicants assert </w:t>
      </w:r>
      <w:r>
        <w:rPr>
          <w:szCs w:val="22"/>
        </w:rPr>
        <w:t>that a grant of the application</w:t>
      </w:r>
      <w:r w:rsidRPr="00F55292">
        <w:rPr>
          <w:szCs w:val="22"/>
        </w:rPr>
        <w:t xml:space="preserve"> will serve the public interest, convenience, and necessity.  Because the proposed transaction is more complex than usual and in order to analyze whether it would serve the p</w:t>
      </w:r>
      <w:r>
        <w:rPr>
          <w:szCs w:val="22"/>
        </w:rPr>
        <w:t>ublic interest, the application</w:t>
      </w:r>
      <w:r w:rsidRPr="00F55292">
        <w:rPr>
          <w:szCs w:val="22"/>
        </w:rPr>
        <w:t xml:space="preserve"> will not be streamlined.</w:t>
      </w:r>
      <w:r>
        <w:rPr>
          <w:szCs w:val="22"/>
          <w:vertAlign w:val="superscript"/>
        </w:rPr>
        <w:footnoteReference w:id="7"/>
      </w:r>
    </w:p>
    <w:p w:rsidR="00135BD6" w:rsidRPr="00A6163F" w:rsidP="00135BD6">
      <w:pPr>
        <w:autoSpaceDE w:val="0"/>
        <w:autoSpaceDN w:val="0"/>
        <w:adjustRightInd w:val="0"/>
        <w:rPr>
          <w:szCs w:val="22"/>
        </w:rPr>
      </w:pPr>
    </w:p>
    <w:p w:rsidR="00DC693E" w:rsidP="000D3AAA">
      <w:pPr>
        <w:autoSpaceDE w:val="0"/>
        <w:autoSpaceDN w:val="0"/>
        <w:adjustRightInd w:val="0"/>
        <w:ind w:left="720"/>
        <w:rPr>
          <w:bCs/>
          <w:szCs w:val="22"/>
        </w:rPr>
      </w:pPr>
      <w:bookmarkStart w:id="6"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F55292" w:rsidP="00E73BCD">
      <w:pPr>
        <w:autoSpaceDE w:val="0"/>
        <w:autoSpaceDN w:val="0"/>
        <w:adjustRightInd w:val="0"/>
        <w:ind w:left="720"/>
        <w:rPr>
          <w:bCs/>
          <w:szCs w:val="22"/>
        </w:rPr>
      </w:pPr>
      <w:r>
        <w:rPr>
          <w:bCs/>
          <w:szCs w:val="22"/>
        </w:rPr>
        <w:t>DataConnex, LLC, D</w:t>
      </w:r>
      <w:r w:rsidR="00176B28">
        <w:rPr>
          <w:bCs/>
          <w:szCs w:val="22"/>
        </w:rPr>
        <w:t>ebtor-in-Possession, to Charger Access, LLC</w:t>
      </w:r>
      <w:r w:rsidR="00D23EE6">
        <w:rPr>
          <w:bCs/>
          <w:szCs w:val="22"/>
        </w:rPr>
        <w:t xml:space="preserve">, </w:t>
      </w:r>
    </w:p>
    <w:p w:rsidR="00135BD6" w:rsidRPr="00307CA1" w:rsidP="00E73BCD">
      <w:pPr>
        <w:autoSpaceDE w:val="0"/>
        <w:autoSpaceDN w:val="0"/>
        <w:adjustRightInd w:val="0"/>
        <w:ind w:left="720"/>
        <w:rPr>
          <w:bCs/>
          <w:szCs w:val="22"/>
        </w:rPr>
      </w:pPr>
      <w:r w:rsidRPr="00A6163F">
        <w:rPr>
          <w:szCs w:val="22"/>
        </w:rPr>
        <w:t>W</w:t>
      </w:r>
      <w:r>
        <w:rPr>
          <w:szCs w:val="22"/>
        </w:rPr>
        <w:t>C Docket No. 18-</w:t>
      </w:r>
      <w:r w:rsidR="002205FA">
        <w:rPr>
          <w:szCs w:val="22"/>
        </w:rPr>
        <w:t>398</w:t>
      </w:r>
      <w:r w:rsidRPr="00A6163F">
        <w:rPr>
          <w:szCs w:val="22"/>
        </w:rPr>
        <w:t xml:space="preserve"> </w:t>
      </w:r>
      <w:r>
        <w:rPr>
          <w:szCs w:val="22"/>
        </w:rPr>
        <w:t>(filed Dec. 21</w:t>
      </w:r>
      <w:r w:rsidRPr="00A6163F">
        <w:rPr>
          <w:szCs w:val="22"/>
        </w:rPr>
        <w:t>, 2018).</w:t>
      </w:r>
      <w:r>
        <w:rPr>
          <w:szCs w:val="22"/>
        </w:rPr>
        <w:t xml:space="preserve">  </w:t>
      </w:r>
    </w:p>
    <w:bookmarkEnd w:id="6"/>
    <w:p w:rsidR="00135BD6" w:rsidRPr="00DC693E" w:rsidP="00DC693E">
      <w:pPr>
        <w:autoSpaceDE w:val="0"/>
        <w:autoSpaceDN w:val="0"/>
        <w:adjustRightInd w:val="0"/>
        <w:rPr>
          <w:b/>
          <w:bCs/>
          <w:szCs w:val="22"/>
        </w:rPr>
      </w:pPr>
    </w:p>
    <w:p w:rsidR="00135BD6" w:rsidP="00135BD6">
      <w:pPr>
        <w:autoSpaceDE w:val="0"/>
        <w:autoSpaceDN w:val="0"/>
        <w:adjustRightInd w:val="0"/>
        <w:rPr>
          <w:szCs w:val="22"/>
        </w:rPr>
      </w:pPr>
      <w:r>
        <w:rPr>
          <w:b/>
          <w:szCs w:val="22"/>
          <w:u w:val="single"/>
        </w:rPr>
        <w:t>GENERAL INFORMATION</w:t>
      </w:r>
    </w:p>
    <w:p w:rsidR="00135BD6" w:rsidP="00135BD6">
      <w:pPr>
        <w:autoSpaceDE w:val="0"/>
        <w:autoSpaceDN w:val="0"/>
        <w:adjustRightInd w:val="0"/>
        <w:rPr>
          <w:szCs w:val="22"/>
        </w:rPr>
      </w:pPr>
    </w:p>
    <w:p w:rsidR="00CC7382" w:rsidRPr="00CC7382" w:rsidP="00CC7382">
      <w:pPr>
        <w:autoSpaceDE w:val="0"/>
        <w:autoSpaceDN w:val="0"/>
        <w:adjustRightInd w:val="0"/>
        <w:ind w:firstLine="720"/>
        <w:rPr>
          <w:szCs w:val="22"/>
        </w:rPr>
      </w:pPr>
      <w:bookmarkStart w:id="7" w:name="_Hlk510519956"/>
      <w:r>
        <w:rPr>
          <w:szCs w:val="22"/>
        </w:rPr>
        <w:t>The application</w:t>
      </w:r>
      <w:r w:rsidRPr="00CC7382">
        <w:rPr>
          <w:szCs w:val="22"/>
        </w:rPr>
        <w:t xml:space="preserve"> identified herein have been found, upon initial review, to be acceptable for filing.  The Commission reserves the right to return any application if, upon further examination, it is determined to be defective and not in conformance with the Commission’s rules and policies.  </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r w:rsidRPr="00CC7382">
        <w:rPr>
          <w:szCs w:val="22"/>
        </w:rPr>
        <w:t xml:space="preserve">Interested parties may file comments and petitions </w:t>
      </w:r>
      <w:r w:rsidRPr="00CC7382">
        <w:rPr>
          <w:b/>
          <w:szCs w:val="22"/>
        </w:rPr>
        <w:t>on or</w:t>
      </w:r>
      <w:r w:rsidRPr="00CC7382">
        <w:rPr>
          <w:szCs w:val="22"/>
        </w:rPr>
        <w:t xml:space="preserve"> </w:t>
      </w:r>
      <w:r>
        <w:rPr>
          <w:b/>
          <w:szCs w:val="22"/>
        </w:rPr>
        <w:t xml:space="preserve">before </w:t>
      </w:r>
      <w:r w:rsidR="00176B28">
        <w:rPr>
          <w:b/>
          <w:szCs w:val="22"/>
        </w:rPr>
        <w:t xml:space="preserve">January </w:t>
      </w:r>
      <w:r w:rsidR="002205FA">
        <w:rPr>
          <w:b/>
          <w:szCs w:val="22"/>
        </w:rPr>
        <w:t>11</w:t>
      </w:r>
      <w:r w:rsidRPr="00CC7382">
        <w:rPr>
          <w:b/>
          <w:szCs w:val="22"/>
        </w:rPr>
        <w:t>, 201</w:t>
      </w:r>
      <w:r w:rsidR="00176B28">
        <w:rPr>
          <w:b/>
          <w:szCs w:val="22"/>
        </w:rPr>
        <w:t>9</w:t>
      </w:r>
      <w:r w:rsidRPr="00CC7382">
        <w:rPr>
          <w:b/>
          <w:szCs w:val="22"/>
        </w:rPr>
        <w:t>,</w:t>
      </w:r>
      <w:r w:rsidRPr="00CC7382">
        <w:rPr>
          <w:szCs w:val="22"/>
        </w:rPr>
        <w:t xml:space="preserve"> and reply comments or oppositions to petitions </w:t>
      </w:r>
      <w:r>
        <w:rPr>
          <w:b/>
          <w:szCs w:val="22"/>
        </w:rPr>
        <w:t xml:space="preserve">on or before </w:t>
      </w:r>
      <w:r w:rsidR="00176B28">
        <w:rPr>
          <w:b/>
          <w:szCs w:val="22"/>
        </w:rPr>
        <w:t xml:space="preserve">January </w:t>
      </w:r>
      <w:r w:rsidR="002205FA">
        <w:rPr>
          <w:b/>
          <w:szCs w:val="22"/>
        </w:rPr>
        <w:t>18</w:t>
      </w:r>
      <w:r w:rsidRPr="00CC7382">
        <w:rPr>
          <w:b/>
          <w:szCs w:val="22"/>
        </w:rPr>
        <w:t>, 201</w:t>
      </w:r>
      <w:r w:rsidR="00176B28">
        <w:rPr>
          <w:b/>
          <w:szCs w:val="22"/>
        </w:rPr>
        <w:t>9</w:t>
      </w:r>
      <w:r w:rsidRPr="00CC7382">
        <w:rPr>
          <w:szCs w:val="22"/>
        </w:rPr>
        <w:t>.  Comments may be filed using the Commission’s Electronic Comment Filing System (ECFS) or by paper.  All filings must be addressed to the Commission’s Secretary, Office of the Secretary, Federal Communications Commission.</w:t>
      </w:r>
    </w:p>
    <w:p w:rsidR="00CC7382" w:rsidRPr="00CC7382" w:rsidP="00CC7382">
      <w:pPr>
        <w:autoSpaceDE w:val="0"/>
        <w:autoSpaceDN w:val="0"/>
        <w:adjustRightInd w:val="0"/>
        <w:ind w:firstLine="720"/>
        <w:rPr>
          <w:szCs w:val="22"/>
        </w:rPr>
      </w:pPr>
      <w:r w:rsidRPr="00CC7382">
        <w:rPr>
          <w:szCs w:val="22"/>
        </w:rPr>
        <w:t> </w:t>
      </w:r>
    </w:p>
    <w:p w:rsidR="00CC7382" w:rsidRPr="00CC7382" w:rsidP="00CC7382">
      <w:pPr>
        <w:numPr>
          <w:ilvl w:val="0"/>
          <w:numId w:val="20"/>
        </w:numPr>
        <w:autoSpaceDE w:val="0"/>
        <w:autoSpaceDN w:val="0"/>
        <w:adjustRightInd w:val="0"/>
        <w:rPr>
          <w:szCs w:val="22"/>
        </w:rPr>
      </w:pPr>
      <w:r w:rsidRPr="00CC7382">
        <w:rPr>
          <w:szCs w:val="22"/>
        </w:rPr>
        <w:t>Electronic Filers:  Comments may be filed electronically by accessing ECFS at </w:t>
      </w:r>
      <w:hyperlink r:id="rId11" w:history="1">
        <w:r w:rsidRPr="00CC7382">
          <w:rPr>
            <w:rStyle w:val="Hyperlink"/>
            <w:szCs w:val="22"/>
          </w:rPr>
          <w:t>http://apps.fcc.gov/ecfs/</w:t>
        </w:r>
      </w:hyperlink>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21"/>
        </w:numPr>
        <w:autoSpaceDE w:val="0"/>
        <w:autoSpaceDN w:val="0"/>
        <w:adjustRightInd w:val="0"/>
        <w:rPr>
          <w:szCs w:val="22"/>
        </w:rPr>
      </w:pPr>
      <w:r w:rsidRPr="00CC7382">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CC7382" w:rsidRPr="00CC7382" w:rsidP="00CC7382">
      <w:pPr>
        <w:autoSpaceDE w:val="0"/>
        <w:autoSpaceDN w:val="0"/>
        <w:adjustRightInd w:val="0"/>
        <w:ind w:firstLine="720"/>
        <w:rPr>
          <w:szCs w:val="22"/>
        </w:rPr>
      </w:pPr>
    </w:p>
    <w:p w:rsidR="00CC7382" w:rsidRPr="00CC7382" w:rsidP="00CC7382">
      <w:pPr>
        <w:numPr>
          <w:ilvl w:val="1"/>
          <w:numId w:val="21"/>
        </w:numPr>
        <w:autoSpaceDE w:val="0"/>
        <w:autoSpaceDN w:val="0"/>
        <w:adjustRightInd w:val="0"/>
        <w:rPr>
          <w:szCs w:val="22"/>
        </w:rPr>
      </w:pPr>
      <w:r w:rsidRPr="00CC7382">
        <w:rPr>
          <w:szCs w:val="22"/>
        </w:rPr>
        <w:t>All hand-delivered or messenger-delivered paper filings for the Commission’s Secretary must be delivered to FCC Headquarters at 445 12</w:t>
      </w:r>
      <w:r w:rsidRPr="00CC7382">
        <w:rPr>
          <w:szCs w:val="22"/>
          <w:vertAlign w:val="superscript"/>
        </w:rPr>
        <w:t>th</w:t>
      </w:r>
      <w:r w:rsidRPr="00CC7382">
        <w:rPr>
          <w:szCs w:val="22"/>
        </w:rPr>
        <w:t xml:space="preserve"> St., SW, Room TW-A325, Washington, DC, 20554.  The filing hours are 8:00 a.m. to 7:00 p.m.  All </w:t>
      </w:r>
      <w:r w:rsidRPr="00CC7382">
        <w:rPr>
          <w:szCs w:val="22"/>
        </w:rPr>
        <w:t>hand deliveries must be held together with rubber bands or fasteners.  All envelopes and boxes must be disposed of before entering the building. </w:t>
      </w:r>
    </w:p>
    <w:p w:rsidR="00CC7382" w:rsidRPr="00CC7382" w:rsidP="00CC7382">
      <w:pPr>
        <w:autoSpaceDE w:val="0"/>
        <w:autoSpaceDN w:val="0"/>
        <w:adjustRightInd w:val="0"/>
        <w:ind w:firstLine="720"/>
        <w:rPr>
          <w:szCs w:val="22"/>
        </w:rPr>
      </w:pPr>
    </w:p>
    <w:p w:rsidR="00CC7382" w:rsidRPr="00CC7382" w:rsidP="00CC7382">
      <w:pPr>
        <w:numPr>
          <w:ilvl w:val="1"/>
          <w:numId w:val="21"/>
        </w:numPr>
        <w:autoSpaceDE w:val="0"/>
        <w:autoSpaceDN w:val="0"/>
        <w:adjustRightInd w:val="0"/>
        <w:rPr>
          <w:szCs w:val="22"/>
        </w:rPr>
      </w:pPr>
      <w:r w:rsidRPr="00CC7382">
        <w:rPr>
          <w:szCs w:val="22"/>
        </w:rPr>
        <w:t>Commercial overnight mail (other than U.S. Postal Service Express Mail and Priority Mail) must be sent to 9050 Junction Drive, Annapolis Junction, MD, 20701.</w:t>
      </w:r>
    </w:p>
    <w:p w:rsidR="00CC7382" w:rsidRPr="00CC7382" w:rsidP="00CC7382">
      <w:pPr>
        <w:autoSpaceDE w:val="0"/>
        <w:autoSpaceDN w:val="0"/>
        <w:adjustRightInd w:val="0"/>
        <w:ind w:firstLine="720"/>
        <w:rPr>
          <w:szCs w:val="22"/>
        </w:rPr>
      </w:pPr>
    </w:p>
    <w:p w:rsidR="00CC7382" w:rsidRPr="00CC7382" w:rsidP="00CC7382">
      <w:pPr>
        <w:numPr>
          <w:ilvl w:val="1"/>
          <w:numId w:val="21"/>
        </w:numPr>
        <w:autoSpaceDE w:val="0"/>
        <w:autoSpaceDN w:val="0"/>
        <w:adjustRightInd w:val="0"/>
        <w:rPr>
          <w:szCs w:val="22"/>
        </w:rPr>
      </w:pPr>
      <w:r w:rsidRPr="00CC7382">
        <w:rPr>
          <w:szCs w:val="22"/>
        </w:rPr>
        <w:t>U.S. Postal Service first-class, Express, and Priority mail must be addressed to 445 12</w:t>
      </w:r>
      <w:r w:rsidRPr="00CC7382">
        <w:rPr>
          <w:szCs w:val="22"/>
          <w:vertAlign w:val="superscript"/>
        </w:rPr>
        <w:t>th</w:t>
      </w:r>
      <w:r w:rsidRPr="00CC7382">
        <w:rPr>
          <w:szCs w:val="22"/>
        </w:rPr>
        <w:t> Street, SW, Washington DC, 20554.</w:t>
      </w:r>
    </w:p>
    <w:p w:rsidR="00CC7382" w:rsidRPr="00CC7382" w:rsidP="00CC7382">
      <w:pPr>
        <w:autoSpaceDE w:val="0"/>
        <w:autoSpaceDN w:val="0"/>
        <w:adjustRightInd w:val="0"/>
        <w:ind w:firstLine="720"/>
        <w:rPr>
          <w:szCs w:val="22"/>
        </w:rPr>
      </w:pPr>
      <w:r w:rsidRPr="00CC7382">
        <w:rPr>
          <w:szCs w:val="22"/>
        </w:rPr>
        <w:t> </w:t>
      </w:r>
    </w:p>
    <w:p w:rsidR="00CC7382" w:rsidRPr="00CC7382" w:rsidP="00CC7382">
      <w:pPr>
        <w:autoSpaceDE w:val="0"/>
        <w:autoSpaceDN w:val="0"/>
        <w:adjustRightInd w:val="0"/>
        <w:ind w:firstLine="720"/>
        <w:rPr>
          <w:szCs w:val="22"/>
        </w:rPr>
      </w:pPr>
      <w:r w:rsidRPr="00CC7382">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CC7382" w:rsidRPr="00CC7382" w:rsidP="00CC7382">
      <w:pPr>
        <w:autoSpaceDE w:val="0"/>
        <w:autoSpaceDN w:val="0"/>
        <w:adjustRightInd w:val="0"/>
        <w:ind w:firstLine="720"/>
        <w:rPr>
          <w:b/>
          <w:szCs w:val="22"/>
        </w:rPr>
      </w:pPr>
    </w:p>
    <w:p w:rsidR="00CC7382" w:rsidRPr="00CC7382" w:rsidP="00CC7382">
      <w:pPr>
        <w:autoSpaceDE w:val="0"/>
        <w:autoSpaceDN w:val="0"/>
        <w:adjustRightInd w:val="0"/>
        <w:ind w:firstLine="720"/>
        <w:rPr>
          <w:szCs w:val="22"/>
        </w:rPr>
      </w:pPr>
      <w:r w:rsidRPr="00CC7382">
        <w:rPr>
          <w:b/>
          <w:szCs w:val="22"/>
        </w:rPr>
        <w:t>In addition, please provide one copy of each pleading to each of the following</w:t>
      </w:r>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sidRPr="00CC7382">
        <w:rPr>
          <w:szCs w:val="22"/>
        </w:rPr>
        <w:t xml:space="preserve">Jim Bird, Office of General Counsel, </w:t>
      </w:r>
      <w:hyperlink r:id="rId12" w:history="1">
        <w:r w:rsidRPr="00CC7382">
          <w:rPr>
            <w:rStyle w:val="Hyperlink"/>
            <w:szCs w:val="22"/>
          </w:rPr>
          <w:t>transactionteam@fcc.gov</w:t>
        </w:r>
      </w:hyperlink>
      <w:r w:rsidRPr="00CC7382">
        <w:rPr>
          <w:szCs w:val="22"/>
        </w:rPr>
        <w:t>;</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Pr>
          <w:szCs w:val="22"/>
        </w:rPr>
        <w:t>Dennis Johnson</w:t>
      </w:r>
      <w:r w:rsidRPr="00CC7382" w:rsidR="00D23EE6">
        <w:rPr>
          <w:szCs w:val="22"/>
        </w:rPr>
        <w:t xml:space="preserve">, Wireline Competition Bureau, </w:t>
      </w:r>
      <w:r>
        <w:rPr>
          <w:szCs w:val="22"/>
        </w:rPr>
        <w:t>dennis.johnson@fcc.gov;</w:t>
      </w:r>
    </w:p>
    <w:p w:rsidR="00CC7382" w:rsidRPr="00CC7382" w:rsidP="00CC7382">
      <w:pPr>
        <w:autoSpaceDE w:val="0"/>
        <w:autoSpaceDN w:val="0"/>
        <w:adjustRightInd w:val="0"/>
        <w:ind w:firstLine="720"/>
        <w:rPr>
          <w:szCs w:val="22"/>
        </w:rPr>
      </w:pPr>
    </w:p>
    <w:p w:rsidR="00CC7382" w:rsidRPr="00CC7382" w:rsidP="00CC7382">
      <w:pPr>
        <w:numPr>
          <w:ilvl w:val="0"/>
          <w:numId w:val="14"/>
        </w:numPr>
        <w:autoSpaceDE w:val="0"/>
        <w:autoSpaceDN w:val="0"/>
        <w:adjustRightInd w:val="0"/>
        <w:rPr>
          <w:szCs w:val="22"/>
        </w:rPr>
      </w:pPr>
      <w:r w:rsidRPr="00CC7382">
        <w:rPr>
          <w:szCs w:val="22"/>
        </w:rPr>
        <w:t xml:space="preserve">Tracey Wilson, Wireline Competition Bureau, </w:t>
      </w:r>
      <w:hyperlink r:id="rId13" w:history="1">
        <w:r w:rsidRPr="001F62F4" w:rsidR="003614D4">
          <w:rPr>
            <w:rStyle w:val="Hyperlink"/>
            <w:szCs w:val="22"/>
          </w:rPr>
          <w:t>tracey.wilson@fcc.gov</w:t>
        </w:r>
      </w:hyperlink>
      <w:r w:rsidRPr="00CC7382">
        <w:rPr>
          <w:szCs w:val="22"/>
        </w:rPr>
        <w:t>;</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bookmarkStart w:id="8" w:name="SR;3162"/>
      <w:bookmarkEnd w:id="8"/>
      <w:r w:rsidRPr="00CC7382">
        <w:rPr>
          <w:szCs w:val="22"/>
        </w:rPr>
        <w:t xml:space="preserve">The proceeding in this Notice shall be treated as a permit-but-disclose proceeding in accordance with the Commission’s </w:t>
      </w:r>
      <w:r w:rsidRPr="00CC7382">
        <w:rPr>
          <w:i/>
          <w:iCs/>
          <w:szCs w:val="22"/>
        </w:rPr>
        <w:t xml:space="preserve">ex parte </w:t>
      </w:r>
      <w:r w:rsidRPr="00CC7382">
        <w:rPr>
          <w:szCs w:val="22"/>
        </w:rPr>
        <w:t>rules.</w:t>
      </w:r>
      <w:r>
        <w:rPr>
          <w:szCs w:val="22"/>
          <w:vertAlign w:val="superscript"/>
        </w:rPr>
        <w:footnoteReference w:id="8"/>
      </w:r>
      <w:r w:rsidRPr="00CC7382">
        <w:rPr>
          <w:szCs w:val="22"/>
        </w:rPr>
        <w:t xml:space="preserve">  Persons making </w:t>
      </w:r>
      <w:r w:rsidRPr="00CC7382">
        <w:rPr>
          <w:i/>
          <w:szCs w:val="22"/>
        </w:rPr>
        <w:t xml:space="preserve">ex parte </w:t>
      </w:r>
      <w:r w:rsidRPr="00CC738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C7382">
        <w:rPr>
          <w:i/>
          <w:iCs/>
          <w:szCs w:val="22"/>
        </w:rPr>
        <w:t xml:space="preserve">ex parte </w:t>
      </w:r>
      <w:r w:rsidRPr="00CC7382">
        <w:rPr>
          <w:szCs w:val="22"/>
        </w:rPr>
        <w:t xml:space="preserve">presentations are reminded that memoranda summarizing the presentation must (1) list all persons attending or otherwise participating in the meeting at which the </w:t>
      </w:r>
      <w:r w:rsidRPr="00CC7382">
        <w:rPr>
          <w:i/>
          <w:iCs/>
          <w:szCs w:val="22"/>
        </w:rPr>
        <w:t xml:space="preserve">ex parte </w:t>
      </w:r>
      <w:r w:rsidRPr="00CC7382">
        <w:rPr>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C7382">
        <w:rPr>
          <w:i/>
          <w:iCs/>
          <w:szCs w:val="22"/>
        </w:rPr>
        <w:t xml:space="preserve">ex parte </w:t>
      </w:r>
      <w:r w:rsidRPr="00CC7382">
        <w:rPr>
          <w:szCs w:val="22"/>
        </w:rPr>
        <w:t xml:space="preserve">meetings are deemed to be written </w:t>
      </w:r>
      <w:r w:rsidRPr="00CC7382">
        <w:rPr>
          <w:i/>
          <w:iCs/>
          <w:szCs w:val="22"/>
        </w:rPr>
        <w:t>ex parte</w:t>
      </w:r>
      <w:r w:rsidRPr="00CC7382">
        <w:rPr>
          <w:szCs w:val="22"/>
        </w:rPr>
        <w:t xml:space="preserve"> presentations and must be filed consistent with rule 1.1206(b), 47 CFR § 1.1206(b).  Participants in this proceeding should familiarize themselves with the Commission’s </w:t>
      </w:r>
      <w:r w:rsidRPr="00CC7382">
        <w:rPr>
          <w:i/>
          <w:iCs/>
          <w:szCs w:val="22"/>
        </w:rPr>
        <w:t xml:space="preserve">ex parte </w:t>
      </w:r>
      <w:r w:rsidRPr="00CC7382">
        <w:rPr>
          <w:szCs w:val="22"/>
        </w:rPr>
        <w:t>rules.</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r w:rsidRPr="00CC7382">
        <w:rPr>
          <w:szCs w:val="22"/>
        </w:rPr>
        <w:t>To allow the Commission to consider fully all substantive i</w:t>
      </w:r>
      <w:r>
        <w:rPr>
          <w:szCs w:val="22"/>
        </w:rPr>
        <w:t>ssues regarding the application</w:t>
      </w:r>
      <w:r w:rsidRPr="00CC7382">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9"/>
      </w:r>
      <w:r w:rsidRPr="00CC7382">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C7382" w:rsidP="00CC7382">
      <w:pPr>
        <w:autoSpaceDE w:val="0"/>
        <w:autoSpaceDN w:val="0"/>
        <w:adjustRightInd w:val="0"/>
        <w:ind w:firstLine="720"/>
        <w:rPr>
          <w:szCs w:val="22"/>
        </w:rPr>
      </w:pPr>
    </w:p>
    <w:p w:rsidR="00CC7382" w:rsidRPr="00CC7382" w:rsidP="00CC7382">
      <w:pPr>
        <w:autoSpaceDE w:val="0"/>
        <w:autoSpaceDN w:val="0"/>
        <w:adjustRightInd w:val="0"/>
        <w:ind w:firstLine="720"/>
        <w:rPr>
          <w:szCs w:val="22"/>
        </w:rPr>
      </w:pPr>
      <w:r w:rsidRPr="00CC7382">
        <w:rPr>
          <w:szCs w:val="22"/>
        </w:rPr>
        <w:t xml:space="preserve">For further information, please contact Tracey Wilson at (202) 418-1394 or </w:t>
      </w:r>
      <w:r w:rsidR="003614D4">
        <w:rPr>
          <w:szCs w:val="22"/>
        </w:rPr>
        <w:t>Dennis Johnson</w:t>
      </w:r>
      <w:r w:rsidRPr="00CC7382">
        <w:rPr>
          <w:szCs w:val="22"/>
        </w:rPr>
        <w:t xml:space="preserve"> at (202) 418-</w:t>
      </w:r>
      <w:r w:rsidR="003614D4">
        <w:rPr>
          <w:szCs w:val="22"/>
        </w:rPr>
        <w:t>0809</w:t>
      </w:r>
      <w:r w:rsidRPr="00CC7382">
        <w:rPr>
          <w:szCs w:val="22"/>
        </w:rPr>
        <w:t>.</w:t>
      </w:r>
    </w:p>
    <w:p w:rsidR="00CC7382" w:rsidRPr="00CC7382" w:rsidP="00CC7382">
      <w:pPr>
        <w:autoSpaceDE w:val="0"/>
        <w:autoSpaceDN w:val="0"/>
        <w:adjustRightInd w:val="0"/>
        <w:ind w:firstLine="720"/>
        <w:rPr>
          <w:szCs w:val="22"/>
        </w:rPr>
      </w:pPr>
    </w:p>
    <w:p w:rsidR="00CC7382" w:rsidRPr="00CC7382" w:rsidP="00CC7382">
      <w:pPr>
        <w:autoSpaceDE w:val="0"/>
        <w:autoSpaceDN w:val="0"/>
        <w:adjustRightInd w:val="0"/>
        <w:ind w:firstLine="720"/>
        <w:jc w:val="center"/>
        <w:rPr>
          <w:b/>
          <w:szCs w:val="22"/>
        </w:rPr>
      </w:pPr>
      <w:r w:rsidRPr="00CC7382">
        <w:rPr>
          <w:b/>
          <w:szCs w:val="22"/>
        </w:rPr>
        <w:t>FCC</w:t>
      </w:r>
    </w:p>
    <w:bookmarkEnd w:id="7"/>
    <w:p w:rsidR="00761B87" w:rsidP="00135BD6">
      <w:pPr>
        <w:jc w:val="center"/>
        <w:rPr>
          <w:b/>
          <w:szCs w:val="22"/>
        </w:rPr>
      </w:pPr>
    </w:p>
    <w:sectPr w:rsidSect="00135BD6">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35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5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135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FBE">
      <w:r>
        <w:separator/>
      </w:r>
    </w:p>
  </w:footnote>
  <w:footnote w:type="continuationSeparator" w:id="1">
    <w:p w:rsidR="00AE1FBE">
      <w:r>
        <w:continuationSeparator/>
      </w:r>
    </w:p>
  </w:footnote>
  <w:footnote w:type="continuationNotice" w:id="2">
    <w:p w:rsidR="00AE1FBE"/>
  </w:footnote>
  <w:footnote w:id="3">
    <w:p w:rsidR="00135BD6" w:rsidRPr="00AE5A45" w:rsidP="00773E87">
      <w:pPr>
        <w:pStyle w:val="FootnoteText"/>
        <w:rPr>
          <w:bCs/>
          <w:sz w:val="20"/>
        </w:rPr>
      </w:pPr>
      <w:r w:rsidRPr="00CC4A75">
        <w:rPr>
          <w:rStyle w:val="FootnoteReference"/>
          <w:sz w:val="20"/>
        </w:rPr>
        <w:footnoteRef/>
      </w:r>
      <w:r w:rsidRPr="00CC4A75">
        <w:rPr>
          <w:sz w:val="20"/>
        </w:rPr>
        <w:t xml:space="preserve"> </w:t>
      </w:r>
      <w:r w:rsidRPr="00AE5A45">
        <w:rPr>
          <w:sz w:val="20"/>
        </w:rPr>
        <w:t>47 U.S.C. § 214; 47 CFR §§ 63.03-04.</w:t>
      </w:r>
      <w:r w:rsidR="00214677">
        <w:rPr>
          <w:sz w:val="20"/>
        </w:rPr>
        <w:t xml:space="preserve">  </w:t>
      </w:r>
      <w:r w:rsidR="00214677">
        <w:rPr>
          <w:i/>
          <w:sz w:val="20"/>
        </w:rPr>
        <w:t>See DataConnex, LLC, Debtor-in-Possession, and Charger Access, LLC Joint Application for Consent to Transfer Control of Domestic Section 214 Authority</w:t>
      </w:r>
      <w:r w:rsidR="00214677">
        <w:rPr>
          <w:sz w:val="20"/>
        </w:rPr>
        <w:t>, WC Docket No. 18-398 (filed Dec. 21, 2018) (Application).</w:t>
      </w:r>
      <w:r w:rsidR="00214677">
        <w:rPr>
          <w:i/>
          <w:sz w:val="20"/>
        </w:rPr>
        <w:t xml:space="preserve"> </w:t>
      </w:r>
      <w:r w:rsidRPr="00AE5A45">
        <w:rPr>
          <w:sz w:val="20"/>
        </w:rPr>
        <w:t xml:space="preserve">  </w:t>
      </w:r>
    </w:p>
  </w:footnote>
  <w:footnote w:id="4">
    <w:p w:rsidR="00D23EE6" w:rsidRPr="00176B28">
      <w:pPr>
        <w:pStyle w:val="FootnoteText"/>
        <w:rPr>
          <w:color w:val="000000" w:themeColor="text1"/>
          <w:sz w:val="20"/>
        </w:rPr>
      </w:pPr>
      <w:r>
        <w:rPr>
          <w:rStyle w:val="FootnoteReference"/>
        </w:rPr>
        <w:footnoteRef/>
      </w:r>
      <w:r>
        <w:t xml:space="preserve"> </w:t>
      </w:r>
      <w:r w:rsidRPr="00D23EE6">
        <w:rPr>
          <w:sz w:val="20"/>
        </w:rPr>
        <w:t>The</w:t>
      </w:r>
      <w:r w:rsidR="00176B28">
        <w:rPr>
          <w:sz w:val="20"/>
        </w:rPr>
        <w:t xml:space="preserve"> federal</w:t>
      </w:r>
      <w:r w:rsidRPr="00D23EE6">
        <w:rPr>
          <w:sz w:val="20"/>
        </w:rPr>
        <w:t xml:space="preserve"> Rural Health Care Program provides funding to eligible health care providers for telecommunications and broadband services necessary for the provision of health care. </w:t>
      </w:r>
      <w:r w:rsidR="00176B28">
        <w:rPr>
          <w:sz w:val="20"/>
        </w:rPr>
        <w:t xml:space="preserve"> </w:t>
      </w:r>
      <w:r w:rsidRPr="00176B28" w:rsidR="00176B28">
        <w:rPr>
          <w:i/>
          <w:iCs/>
          <w:color w:val="000000" w:themeColor="text1"/>
          <w:sz w:val="20"/>
        </w:rPr>
        <w:t>See</w:t>
      </w:r>
      <w:r w:rsidRPr="00176B28" w:rsidR="00176B28">
        <w:rPr>
          <w:color w:val="000000" w:themeColor="text1"/>
          <w:sz w:val="20"/>
        </w:rPr>
        <w:t> </w:t>
      </w:r>
      <w:hyperlink r:id="rId1" w:anchor="co_pp_a82e0000c1753" w:history="1">
        <w:r w:rsidRPr="00176B28" w:rsidR="00176B28">
          <w:rPr>
            <w:color w:val="000000" w:themeColor="text1"/>
            <w:sz w:val="20"/>
          </w:rPr>
          <w:t>47 U.S.C. §§ 254(h)(1)(A)</w:t>
        </w:r>
      </w:hyperlink>
      <w:r w:rsidRPr="00176B28" w:rsidR="00176B28">
        <w:rPr>
          <w:color w:val="000000" w:themeColor="text1"/>
          <w:sz w:val="20"/>
        </w:rPr>
        <w:t>, </w:t>
      </w:r>
      <w:hyperlink r:id="rId1" w:anchor="co_pp_9e510000d7a45" w:history="1">
        <w:r w:rsidRPr="00176B28" w:rsidR="00176B28">
          <w:rPr>
            <w:color w:val="000000" w:themeColor="text1"/>
            <w:sz w:val="20"/>
          </w:rPr>
          <w:t>(h)(2)(A)</w:t>
        </w:r>
      </w:hyperlink>
      <w:r w:rsidRPr="00176B28" w:rsidR="00176B28">
        <w:rPr>
          <w:color w:val="000000" w:themeColor="text1"/>
          <w:sz w:val="20"/>
        </w:rPr>
        <w:t xml:space="preserve">. </w:t>
      </w:r>
      <w:r w:rsidRPr="00176B28">
        <w:rPr>
          <w:color w:val="000000" w:themeColor="text1"/>
          <w:sz w:val="20"/>
        </w:rPr>
        <w:t xml:space="preserve"> </w:t>
      </w:r>
    </w:p>
  </w:footnote>
  <w:footnote w:id="5">
    <w:p w:rsidR="00A74F95" w:rsidRPr="00214677">
      <w:pPr>
        <w:pStyle w:val="FootnoteText"/>
        <w:rPr>
          <w:sz w:val="20"/>
        </w:rPr>
      </w:pPr>
      <w:r>
        <w:rPr>
          <w:rStyle w:val="FootnoteReference"/>
        </w:rPr>
        <w:footnoteRef/>
      </w:r>
      <w:r>
        <w:t xml:space="preserve"> </w:t>
      </w:r>
      <w:r w:rsidRPr="00214677" w:rsidR="00214677">
        <w:rPr>
          <w:sz w:val="20"/>
        </w:rPr>
        <w:t>Application, Exh. 1 (</w:t>
      </w:r>
      <w:r w:rsidRPr="00214677">
        <w:rPr>
          <w:sz w:val="20"/>
        </w:rPr>
        <w:t>DataConnex, LLC, Debtor, Order, Case No. 8:18-bk-01069-CPM (U.S. Bankr. Ct., M.D. Florida, Tampa. Div., Dec. 19. 2018)</w:t>
      </w:r>
      <w:r w:rsidRPr="00214677" w:rsidR="00214677">
        <w:rPr>
          <w:sz w:val="20"/>
        </w:rPr>
        <w:t>)</w:t>
      </w:r>
      <w:r w:rsidRPr="00214677">
        <w:rPr>
          <w:sz w:val="20"/>
        </w:rPr>
        <w:t>.</w:t>
      </w:r>
    </w:p>
  </w:footnote>
  <w:footnote w:id="6">
    <w:p w:rsidR="00A74F95" w:rsidRPr="002205FA">
      <w:pPr>
        <w:pStyle w:val="FootnoteText"/>
        <w:rPr>
          <w:sz w:val="20"/>
        </w:rPr>
      </w:pPr>
      <w:r w:rsidRPr="002205FA">
        <w:rPr>
          <w:rStyle w:val="FootnoteReference"/>
          <w:sz w:val="20"/>
        </w:rPr>
        <w:footnoteRef/>
      </w:r>
      <w:r w:rsidRPr="002205FA">
        <w:rPr>
          <w:sz w:val="20"/>
        </w:rPr>
        <w:t xml:space="preserve"> </w:t>
      </w:r>
      <w:r w:rsidRPr="002205FA">
        <w:rPr>
          <w:i/>
          <w:sz w:val="20"/>
        </w:rPr>
        <w:t>Id</w:t>
      </w:r>
      <w:r w:rsidRPr="002205FA">
        <w:rPr>
          <w:sz w:val="20"/>
        </w:rPr>
        <w:t>. at 6-7.</w:t>
      </w:r>
    </w:p>
  </w:footnote>
  <w:footnote w:id="7">
    <w:p w:rsidR="00F55292" w:rsidP="00F55292">
      <w:pPr>
        <w:pStyle w:val="FootnoteText"/>
      </w:pPr>
      <w:r>
        <w:rPr>
          <w:rStyle w:val="FootnoteReference"/>
        </w:rPr>
        <w:footnoteRef/>
      </w:r>
      <w:r>
        <w:t xml:space="preserve"> </w:t>
      </w:r>
      <w:r w:rsidRPr="00C05A17">
        <w:rPr>
          <w:sz w:val="20"/>
        </w:rPr>
        <w:t xml:space="preserve">47 CFR </w:t>
      </w:r>
      <w:r>
        <w:rPr>
          <w:sz w:val="20"/>
        </w:rPr>
        <w:t>§ 63.03(c</w:t>
      </w:r>
      <w:r w:rsidRPr="00C05A17">
        <w:rPr>
          <w:sz w:val="20"/>
        </w:rPr>
        <w:t>)</w:t>
      </w:r>
      <w:r>
        <w:rPr>
          <w:sz w:val="20"/>
        </w:rPr>
        <w:t>(1)(v)</w:t>
      </w:r>
      <w:r w:rsidRPr="00C05A17">
        <w:t>.</w:t>
      </w:r>
    </w:p>
  </w:footnote>
  <w:footnote w:id="8">
    <w:p w:rsidR="00CC7382" w:rsidRPr="00403B91" w:rsidP="00CC7382">
      <w:pPr>
        <w:pStyle w:val="FootnoteText"/>
        <w:tabs>
          <w:tab w:val="clear" w:pos="720"/>
        </w:tabs>
        <w:spacing w:after="120"/>
        <w:rPr>
          <w:i/>
          <w:iCs/>
          <w:sz w:val="20"/>
        </w:rPr>
      </w:pPr>
      <w:r w:rsidRPr="00403B91">
        <w:rPr>
          <w:rStyle w:val="FootnoteReference"/>
          <w:sz w:val="20"/>
        </w:rPr>
        <w:footnoteRef/>
      </w:r>
      <w:r w:rsidRPr="00403B91">
        <w:rPr>
          <w:sz w:val="20"/>
        </w:rPr>
        <w:t xml:space="preserve"> 47 CFR § 1.1200 </w:t>
      </w:r>
      <w:r w:rsidRPr="00403B91">
        <w:rPr>
          <w:i/>
          <w:iCs/>
          <w:sz w:val="20"/>
        </w:rPr>
        <w:t>et seq.</w:t>
      </w:r>
    </w:p>
  </w:footnote>
  <w:footnote w:id="9">
    <w:p w:rsidR="00CC7382" w:rsidRPr="00403B91" w:rsidP="00CC7382">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135BD6">
                <w:pPr>
                  <w:rPr>
                    <w:rFonts w:ascii="Arial" w:hAnsi="Arial"/>
                    <w:b/>
                  </w:rPr>
                </w:pPr>
                <w:r>
                  <w:rPr>
                    <w:rFonts w:ascii="Arial" w:hAnsi="Arial"/>
                    <w:b/>
                  </w:rPr>
                  <w:t>Federal Communications Commission</w:t>
                </w:r>
              </w:p>
              <w:p w:rsidR="00135BD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5BD6">
                <w:pPr>
                  <w:rPr>
                    <w:rFonts w:ascii="Arial" w:hAnsi="Arial"/>
                    <w:sz w:val="24"/>
                  </w:rPr>
                </w:pPr>
                <w:r>
                  <w:rPr>
                    <w:rFonts w:ascii="Arial" w:hAnsi="Arial"/>
                    <w:b/>
                  </w:rPr>
                  <w:t>Washington, D.C. 20554</w:t>
                </w:r>
              </w:p>
            </w:txbxContent>
          </v:textbox>
        </v:shape>
      </w:pict>
    </w:r>
    <w:r w:rsidR="00D23EE6">
      <w:rPr>
        <w:rFonts w:ascii="News Gothic MT" w:hAnsi="News Gothic MT"/>
        <w:b/>
        <w:kern w:val="28"/>
        <w:sz w:val="96"/>
      </w:rPr>
      <w:t>PUBLIC NOTICE</w:t>
    </w:r>
  </w:p>
  <w:p w:rsidR="00135BD6">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135BD6">
                <w:pPr>
                  <w:spacing w:before="40"/>
                  <w:jc w:val="right"/>
                  <w:rPr>
                    <w:rFonts w:ascii="Arial" w:hAnsi="Arial"/>
                    <w:b/>
                    <w:sz w:val="16"/>
                  </w:rPr>
                </w:pPr>
                <w:r>
                  <w:rPr>
                    <w:rFonts w:ascii="Arial" w:hAnsi="Arial"/>
                    <w:b/>
                    <w:sz w:val="16"/>
                  </w:rPr>
                  <w:t>News Media Information 202 / 418-0500</w:t>
                </w:r>
              </w:p>
              <w:p w:rsidR="00135BD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35BD6">
                <w:pPr>
                  <w:jc w:val="right"/>
                  <w:rPr>
                    <w:rFonts w:ascii="Arial" w:hAnsi="Arial"/>
                    <w:b/>
                    <w:sz w:val="16"/>
                  </w:rPr>
                </w:pPr>
                <w:r>
                  <w:rPr>
                    <w:rFonts w:ascii="Arial" w:hAnsi="Arial"/>
                    <w:b/>
                    <w:sz w:val="16"/>
                  </w:rPr>
                  <w:t>TTY: 1-888-835-5322</w:t>
                </w:r>
              </w:p>
              <w:p w:rsidR="00135BD6">
                <w:pPr>
                  <w:jc w:val="right"/>
                </w:pPr>
              </w:p>
            </w:txbxContent>
          </v:textbox>
        </v:shape>
      </w:pict>
    </w:r>
  </w:p>
  <w:p w:rsidR="00135BD6">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BD6">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F00BD2"/>
    <w:multiLevelType w:val="hybridMultilevel"/>
    <w:tmpl w:val="0E4264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5"/>
  </w:num>
  <w:num w:numId="17">
    <w:abstractNumId w:val="5"/>
  </w:num>
  <w:num w:numId="18">
    <w:abstractNumId w:val="13"/>
  </w:num>
  <w:num w:numId="19">
    <w:abstractNumId w:val="4"/>
  </w:num>
  <w:num w:numId="20">
    <w:abstractNumId w:val="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A6DE9"/>
    <w:rsid w:val="000021D9"/>
    <w:rsid w:val="000D3AAA"/>
    <w:rsid w:val="00135BD6"/>
    <w:rsid w:val="00175E75"/>
    <w:rsid w:val="00176B28"/>
    <w:rsid w:val="00183BC5"/>
    <w:rsid w:val="001C68BB"/>
    <w:rsid w:val="001F62F4"/>
    <w:rsid w:val="00214677"/>
    <w:rsid w:val="002205FA"/>
    <w:rsid w:val="00307CA1"/>
    <w:rsid w:val="003614D4"/>
    <w:rsid w:val="00403B91"/>
    <w:rsid w:val="004A25D3"/>
    <w:rsid w:val="004A6DE9"/>
    <w:rsid w:val="005B5A5A"/>
    <w:rsid w:val="0064715B"/>
    <w:rsid w:val="006B29E2"/>
    <w:rsid w:val="00703752"/>
    <w:rsid w:val="00761B87"/>
    <w:rsid w:val="00773E87"/>
    <w:rsid w:val="007C1EA0"/>
    <w:rsid w:val="008C49B6"/>
    <w:rsid w:val="00973C9F"/>
    <w:rsid w:val="009A593C"/>
    <w:rsid w:val="009B2A0D"/>
    <w:rsid w:val="009E27AD"/>
    <w:rsid w:val="00A6163F"/>
    <w:rsid w:val="00A74F95"/>
    <w:rsid w:val="00AE5A45"/>
    <w:rsid w:val="00B55F25"/>
    <w:rsid w:val="00C05A17"/>
    <w:rsid w:val="00CC4A75"/>
    <w:rsid w:val="00CC7382"/>
    <w:rsid w:val="00D23EE6"/>
    <w:rsid w:val="00D56C49"/>
    <w:rsid w:val="00DB5A74"/>
    <w:rsid w:val="00DC693E"/>
    <w:rsid w:val="00E326B0"/>
    <w:rsid w:val="00E73BCD"/>
    <w:rsid w:val="00F55292"/>
    <w:rsid w:val="00F670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
    <w:name w:val="Unresolved Mention"/>
    <w:basedOn w:val="DefaultParagraphFont"/>
    <w:rsid w:val="003614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nsactionteam@fcc.gov" TargetMode="External" /><Relationship Id="rId13" Type="http://schemas.openxmlformats.org/officeDocument/2006/relationships/hyperlink" Target="mailto:tracey.wilson@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254&amp;originatingDoc=Id27ebd9608d411e894bae40cad3637b1&amp;refType=RB&amp;originationContext=document&amp;transitionType=DocumentItem&amp;contextData=(sc.Search)"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