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21FE2" w:rsidRPr="00063B69" w14:paraId="44DFC791" w14:textId="77777777">
      <w:pPr>
        <w:jc w:val="center"/>
        <w:rPr>
          <w:b/>
          <w:color w:val="000000" w:themeColor="text1"/>
          <w:szCs w:val="22"/>
        </w:rPr>
      </w:pPr>
      <w:r w:rsidRPr="00063B69">
        <w:rPr>
          <w:b/>
          <w:color w:val="000000" w:themeColor="text1"/>
          <w:szCs w:val="22"/>
        </w:rPr>
        <w:t>Before the</w:t>
      </w:r>
    </w:p>
    <w:p w:rsidR="00B21FE2" w:rsidRPr="00063B69" w14:paraId="57F7E2BC" w14:textId="77777777">
      <w:pPr>
        <w:jc w:val="center"/>
        <w:rPr>
          <w:b/>
          <w:color w:val="000000" w:themeColor="text1"/>
          <w:szCs w:val="22"/>
        </w:rPr>
      </w:pPr>
      <w:r w:rsidRPr="00063B69">
        <w:rPr>
          <w:b/>
          <w:color w:val="000000" w:themeColor="text1"/>
          <w:szCs w:val="22"/>
        </w:rPr>
        <w:t>Federal Communications Commission</w:t>
      </w:r>
    </w:p>
    <w:p w:rsidR="00B21FE2" w:rsidRPr="00063B69" w14:paraId="5BC23710" w14:textId="77777777">
      <w:pPr>
        <w:jc w:val="center"/>
        <w:rPr>
          <w:b/>
          <w:color w:val="000000" w:themeColor="text1"/>
          <w:szCs w:val="22"/>
        </w:rPr>
      </w:pPr>
      <w:r w:rsidRPr="00063B69">
        <w:rPr>
          <w:b/>
          <w:color w:val="000000" w:themeColor="text1"/>
          <w:szCs w:val="22"/>
        </w:rPr>
        <w:t>Washington, D.C. 20554</w:t>
      </w:r>
    </w:p>
    <w:p w:rsidR="00B21FE2" w:rsidRPr="00063B69" w14:paraId="44C748D0" w14:textId="77777777">
      <w:pPr>
        <w:rPr>
          <w:color w:val="000000" w:themeColor="text1"/>
          <w:szCs w:val="22"/>
        </w:rPr>
      </w:pPr>
    </w:p>
    <w:p w:rsidR="00B21FE2" w:rsidRPr="00063B69" w14:paraId="2C4131E6" w14:textId="77777777">
      <w:pPr>
        <w:rPr>
          <w:color w:val="000000" w:themeColor="text1"/>
          <w:szCs w:val="22"/>
        </w:rPr>
      </w:pPr>
    </w:p>
    <w:tbl>
      <w:tblPr>
        <w:tblW w:w="0" w:type="auto"/>
        <w:tblLayout w:type="fixed"/>
        <w:tblLook w:val="0000"/>
      </w:tblPr>
      <w:tblGrid>
        <w:gridCol w:w="4698"/>
        <w:gridCol w:w="720"/>
        <w:gridCol w:w="4230"/>
      </w:tblGrid>
      <w:tr w14:paraId="53AAE1B4" w14:textId="77777777">
        <w:tblPrEx>
          <w:tblW w:w="0" w:type="auto"/>
          <w:tblLayout w:type="fixed"/>
          <w:tblLook w:val="0000"/>
        </w:tblPrEx>
        <w:tc>
          <w:tcPr>
            <w:tcW w:w="4698" w:type="dxa"/>
          </w:tcPr>
          <w:p w:rsidR="00B21FE2" w:rsidRPr="00063B69" w14:paraId="5C241254" w14:textId="77777777">
            <w:pPr>
              <w:ind w:right="-18"/>
              <w:rPr>
                <w:color w:val="000000" w:themeColor="text1"/>
                <w:szCs w:val="22"/>
              </w:rPr>
            </w:pPr>
            <w:r w:rsidRPr="00063B69">
              <w:rPr>
                <w:color w:val="000000" w:themeColor="text1"/>
                <w:szCs w:val="22"/>
              </w:rPr>
              <w:t xml:space="preserve">In the </w:t>
            </w:r>
            <w:r w:rsidR="00695158">
              <w:rPr>
                <w:color w:val="000000" w:themeColor="text1"/>
                <w:szCs w:val="22"/>
              </w:rPr>
              <w:t>M</w:t>
            </w:r>
            <w:r w:rsidRPr="00063B69">
              <w:rPr>
                <w:color w:val="000000" w:themeColor="text1"/>
                <w:szCs w:val="22"/>
              </w:rPr>
              <w:t>atter of</w:t>
            </w:r>
            <w:r w:rsidRPr="00063B69" w:rsidR="00491269">
              <w:rPr>
                <w:color w:val="000000" w:themeColor="text1"/>
                <w:szCs w:val="22"/>
              </w:rPr>
              <w:t xml:space="preserve"> </w:t>
            </w:r>
            <w:r w:rsidRPr="00063B69" w:rsidR="008757B8">
              <w:rPr>
                <w:color w:val="000000" w:themeColor="text1"/>
                <w:szCs w:val="22"/>
              </w:rPr>
              <w:t>Google</w:t>
            </w:r>
            <w:r w:rsidRPr="00063B69">
              <w:rPr>
                <w:color w:val="000000" w:themeColor="text1"/>
                <w:szCs w:val="22"/>
              </w:rPr>
              <w:t xml:space="preserve"> </w:t>
            </w:r>
            <w:r w:rsidRPr="00063B69" w:rsidR="009F590F">
              <w:rPr>
                <w:color w:val="000000" w:themeColor="text1"/>
                <w:szCs w:val="22"/>
              </w:rPr>
              <w:t>LLC</w:t>
            </w:r>
          </w:p>
          <w:p w:rsidR="00491269" w:rsidRPr="00063B69" w:rsidP="00491269" w14:paraId="6EE00F2F" w14:textId="77777777">
            <w:pPr>
              <w:rPr>
                <w:b/>
                <w:color w:val="000000" w:themeColor="text1"/>
                <w:szCs w:val="22"/>
              </w:rPr>
            </w:pPr>
            <w:r w:rsidRPr="00063B69">
              <w:rPr>
                <w:color w:val="000000" w:themeColor="text1"/>
                <w:szCs w:val="22"/>
              </w:rPr>
              <w:t xml:space="preserve">Request for Waiver of </w:t>
            </w:r>
            <w:r w:rsidRPr="00063B69" w:rsidR="00E141F1">
              <w:rPr>
                <w:color w:val="000000" w:themeColor="text1"/>
                <w:szCs w:val="22"/>
              </w:rPr>
              <w:t>Section 15.255(</w:t>
            </w:r>
            <w:r w:rsidR="0020763B">
              <w:rPr>
                <w:color w:val="000000" w:themeColor="text1"/>
                <w:szCs w:val="22"/>
              </w:rPr>
              <w:t>c</w:t>
            </w:r>
            <w:r w:rsidRPr="00063B69" w:rsidR="00E141F1">
              <w:rPr>
                <w:color w:val="000000" w:themeColor="text1"/>
                <w:szCs w:val="22"/>
              </w:rPr>
              <w:t>)(</w:t>
            </w:r>
            <w:r w:rsidR="0020763B">
              <w:rPr>
                <w:color w:val="000000" w:themeColor="text1"/>
                <w:szCs w:val="22"/>
              </w:rPr>
              <w:t>3</w:t>
            </w:r>
            <w:r w:rsidRPr="00063B69" w:rsidR="00E141F1">
              <w:rPr>
                <w:color w:val="000000" w:themeColor="text1"/>
                <w:szCs w:val="22"/>
              </w:rPr>
              <w:t>)</w:t>
            </w:r>
            <w:r w:rsidRPr="00063B69" w:rsidR="009F590F">
              <w:rPr>
                <w:color w:val="000000" w:themeColor="text1"/>
                <w:szCs w:val="22"/>
              </w:rPr>
              <w:t xml:space="preserve"> </w:t>
            </w:r>
            <w:r w:rsidRPr="00063B69">
              <w:rPr>
                <w:color w:val="000000" w:themeColor="text1"/>
                <w:szCs w:val="22"/>
              </w:rPr>
              <w:t xml:space="preserve">of the Commission’s Rules Applicable to </w:t>
            </w:r>
            <w:r w:rsidRPr="00063B69">
              <w:rPr>
                <w:color w:val="000000" w:themeColor="text1"/>
                <w:szCs w:val="22"/>
              </w:rPr>
              <w:t xml:space="preserve">Radars used for </w:t>
            </w:r>
            <w:r w:rsidRPr="00063B69" w:rsidR="00D3178F">
              <w:rPr>
                <w:color w:val="000000" w:themeColor="text1"/>
                <w:szCs w:val="22"/>
              </w:rPr>
              <w:t>Short</w:t>
            </w:r>
            <w:r w:rsidRPr="00063B69" w:rsidR="00D3178F">
              <w:rPr>
                <w:color w:val="000000" w:themeColor="text1"/>
                <w:szCs w:val="22"/>
              </w:rPr>
              <w:noBreakHyphen/>
              <w:t>Range</w:t>
            </w:r>
            <w:r w:rsidRPr="00063B69">
              <w:rPr>
                <w:color w:val="000000" w:themeColor="text1"/>
                <w:szCs w:val="22"/>
              </w:rPr>
              <w:t xml:space="preserve"> </w:t>
            </w:r>
            <w:r w:rsidRPr="00063B69" w:rsidR="00D3178F">
              <w:rPr>
                <w:color w:val="000000" w:themeColor="text1"/>
                <w:szCs w:val="22"/>
              </w:rPr>
              <w:t>In</w:t>
            </w:r>
            <w:r w:rsidRPr="00063B69">
              <w:rPr>
                <w:color w:val="000000" w:themeColor="text1"/>
                <w:szCs w:val="22"/>
              </w:rPr>
              <w:t>teractive Motion Sensing in the 57</w:t>
            </w:r>
            <w:r w:rsidRPr="00063B69">
              <w:rPr>
                <w:color w:val="000000" w:themeColor="text1"/>
                <w:szCs w:val="22"/>
              </w:rPr>
              <w:noBreakHyphen/>
              <w:t>64 GHz Frequency Band</w:t>
            </w:r>
          </w:p>
          <w:p w:rsidR="00491269" w:rsidRPr="00063B69" w14:paraId="24B362C8" w14:textId="77777777">
            <w:pPr>
              <w:ind w:right="-18"/>
              <w:rPr>
                <w:color w:val="000000" w:themeColor="text1"/>
                <w:szCs w:val="22"/>
              </w:rPr>
            </w:pPr>
          </w:p>
        </w:tc>
        <w:tc>
          <w:tcPr>
            <w:tcW w:w="720" w:type="dxa"/>
          </w:tcPr>
          <w:p w:rsidR="00B21FE2" w:rsidRPr="00063B69" w14:paraId="10E14AEE" w14:textId="77777777">
            <w:pPr>
              <w:rPr>
                <w:b/>
                <w:color w:val="000000" w:themeColor="text1"/>
                <w:szCs w:val="22"/>
              </w:rPr>
            </w:pPr>
            <w:r w:rsidRPr="00063B69">
              <w:rPr>
                <w:b/>
                <w:color w:val="000000" w:themeColor="text1"/>
                <w:szCs w:val="22"/>
              </w:rPr>
              <w:t>)</w:t>
            </w:r>
          </w:p>
          <w:p w:rsidR="00126816" w:rsidRPr="00063B69" w14:paraId="2E044FBF" w14:textId="77777777">
            <w:pPr>
              <w:rPr>
                <w:b/>
                <w:color w:val="000000" w:themeColor="text1"/>
                <w:szCs w:val="22"/>
              </w:rPr>
            </w:pPr>
            <w:r w:rsidRPr="00063B69">
              <w:rPr>
                <w:b/>
                <w:color w:val="000000" w:themeColor="text1"/>
                <w:szCs w:val="22"/>
              </w:rPr>
              <w:t>)</w:t>
            </w:r>
          </w:p>
          <w:p w:rsidR="00126816" w:rsidRPr="00063B69" w14:paraId="76743092" w14:textId="77777777">
            <w:pPr>
              <w:rPr>
                <w:b/>
                <w:color w:val="000000" w:themeColor="text1"/>
                <w:szCs w:val="22"/>
              </w:rPr>
            </w:pPr>
            <w:r w:rsidRPr="00063B69">
              <w:rPr>
                <w:b/>
                <w:color w:val="000000" w:themeColor="text1"/>
                <w:szCs w:val="22"/>
              </w:rPr>
              <w:t>)</w:t>
            </w:r>
          </w:p>
          <w:p w:rsidR="00126816" w:rsidRPr="00063B69" w14:paraId="6278373D" w14:textId="77777777">
            <w:pPr>
              <w:rPr>
                <w:b/>
                <w:color w:val="000000" w:themeColor="text1"/>
                <w:szCs w:val="22"/>
              </w:rPr>
            </w:pPr>
            <w:r w:rsidRPr="00063B69">
              <w:rPr>
                <w:b/>
                <w:color w:val="000000" w:themeColor="text1"/>
                <w:szCs w:val="22"/>
              </w:rPr>
              <w:t>)</w:t>
            </w:r>
          </w:p>
          <w:p w:rsidR="00126816" w:rsidRPr="00063B69" w:rsidP="00491269" w14:paraId="38EC1612" w14:textId="77777777">
            <w:pPr>
              <w:rPr>
                <w:b/>
                <w:color w:val="000000" w:themeColor="text1"/>
                <w:szCs w:val="22"/>
              </w:rPr>
            </w:pPr>
            <w:r w:rsidRPr="00063B69">
              <w:rPr>
                <w:b/>
                <w:color w:val="000000" w:themeColor="text1"/>
                <w:szCs w:val="22"/>
              </w:rPr>
              <w:t>)</w:t>
            </w:r>
          </w:p>
        </w:tc>
        <w:tc>
          <w:tcPr>
            <w:tcW w:w="4230" w:type="dxa"/>
          </w:tcPr>
          <w:p w:rsidR="00B21FE2" w:rsidRPr="00063B69" w14:paraId="5417947E" w14:textId="77777777">
            <w:pPr>
              <w:rPr>
                <w:color w:val="000000" w:themeColor="text1"/>
                <w:szCs w:val="22"/>
              </w:rPr>
            </w:pPr>
          </w:p>
          <w:p w:rsidR="00B21FE2" w:rsidRPr="00063B69" w14:paraId="27A88B74" w14:textId="77777777">
            <w:pPr>
              <w:rPr>
                <w:color w:val="000000" w:themeColor="text1"/>
                <w:szCs w:val="22"/>
              </w:rPr>
            </w:pPr>
          </w:p>
          <w:p w:rsidR="003034B1" w:rsidRPr="00063B69" w:rsidP="003034B1" w14:paraId="07FAA747" w14:textId="77777777">
            <w:pPr>
              <w:rPr>
                <w:color w:val="000000" w:themeColor="text1"/>
                <w:szCs w:val="22"/>
              </w:rPr>
            </w:pPr>
            <w:r w:rsidRPr="00063B69">
              <w:rPr>
                <w:color w:val="000000" w:themeColor="text1"/>
                <w:szCs w:val="22"/>
              </w:rPr>
              <w:t>ET Docket No. 18</w:t>
            </w:r>
            <w:r w:rsidRPr="00063B69">
              <w:rPr>
                <w:color w:val="000000" w:themeColor="text1"/>
                <w:szCs w:val="22"/>
              </w:rPr>
              <w:noBreakHyphen/>
              <w:t>70</w:t>
            </w:r>
          </w:p>
          <w:p w:rsidR="00B21FE2" w:rsidRPr="00063B69" w:rsidP="009C1206" w14:paraId="35F002DE" w14:textId="77777777">
            <w:pPr>
              <w:rPr>
                <w:color w:val="000000" w:themeColor="text1"/>
                <w:szCs w:val="22"/>
              </w:rPr>
            </w:pPr>
          </w:p>
        </w:tc>
      </w:tr>
    </w:tbl>
    <w:p w:rsidR="00B21FE2" w:rsidRPr="00063B69" w14:paraId="5DA1952C" w14:textId="77777777">
      <w:pPr>
        <w:spacing w:before="120"/>
        <w:jc w:val="center"/>
        <w:rPr>
          <w:b/>
          <w:color w:val="000000" w:themeColor="text1"/>
          <w:szCs w:val="22"/>
        </w:rPr>
      </w:pPr>
      <w:r w:rsidRPr="00063B69">
        <w:rPr>
          <w:b/>
          <w:color w:val="000000" w:themeColor="text1"/>
          <w:spacing w:val="-2"/>
          <w:szCs w:val="22"/>
        </w:rPr>
        <w:t>ORDER</w:t>
      </w:r>
    </w:p>
    <w:p w:rsidR="00B21FE2" w:rsidRPr="00063B69" w14:paraId="1AE4B093" w14:textId="77777777">
      <w:pPr>
        <w:rPr>
          <w:color w:val="000000" w:themeColor="text1"/>
          <w:szCs w:val="22"/>
        </w:rPr>
      </w:pPr>
    </w:p>
    <w:p w:rsidR="00B21FE2" w:rsidRPr="00063B69" w14:paraId="5256A6FB" w14:textId="7CA5B50C">
      <w:pPr>
        <w:tabs>
          <w:tab w:val="left" w:pos="5760"/>
        </w:tabs>
        <w:rPr>
          <w:b/>
          <w:color w:val="000000" w:themeColor="text1"/>
          <w:szCs w:val="22"/>
        </w:rPr>
      </w:pPr>
      <w:r w:rsidRPr="00063B69">
        <w:rPr>
          <w:b/>
          <w:color w:val="000000" w:themeColor="text1"/>
          <w:szCs w:val="22"/>
        </w:rPr>
        <w:t xml:space="preserve">Adopted: </w:t>
      </w:r>
      <w:r w:rsidR="00B65385">
        <w:rPr>
          <w:b/>
          <w:color w:val="000000" w:themeColor="text1"/>
          <w:szCs w:val="22"/>
        </w:rPr>
        <w:t>December 31, 2018</w:t>
      </w:r>
      <w:r w:rsidRPr="00063B69" w:rsidR="00D360CF">
        <w:rPr>
          <w:b/>
          <w:color w:val="000000" w:themeColor="text1"/>
          <w:szCs w:val="22"/>
        </w:rPr>
        <w:tab/>
        <w:t xml:space="preserve">              Released: </w:t>
      </w:r>
      <w:r w:rsidR="00B65385">
        <w:rPr>
          <w:b/>
          <w:color w:val="000000" w:themeColor="text1"/>
          <w:szCs w:val="22"/>
        </w:rPr>
        <w:t>December 31, 2018</w:t>
      </w:r>
    </w:p>
    <w:p w:rsidR="00126816" w:rsidRPr="00063B69" w14:paraId="6150D222" w14:textId="77777777">
      <w:pPr>
        <w:tabs>
          <w:tab w:val="left" w:pos="5760"/>
        </w:tabs>
        <w:rPr>
          <w:color w:val="000000" w:themeColor="text1"/>
          <w:szCs w:val="22"/>
        </w:rPr>
      </w:pPr>
    </w:p>
    <w:p w:rsidR="00B21FE2" w:rsidRPr="00063B69" w14:paraId="749A5237" w14:textId="77777777">
      <w:pPr>
        <w:tabs>
          <w:tab w:val="left" w:pos="5760"/>
        </w:tabs>
        <w:rPr>
          <w:color w:val="000000" w:themeColor="text1"/>
          <w:spacing w:val="-2"/>
          <w:szCs w:val="22"/>
        </w:rPr>
      </w:pPr>
      <w:r w:rsidRPr="00063B69">
        <w:rPr>
          <w:color w:val="000000" w:themeColor="text1"/>
          <w:szCs w:val="22"/>
        </w:rPr>
        <w:t xml:space="preserve">By the </w:t>
      </w:r>
      <w:r w:rsidRPr="00063B69">
        <w:rPr>
          <w:color w:val="000000" w:themeColor="text1"/>
          <w:spacing w:val="-2"/>
          <w:szCs w:val="22"/>
        </w:rPr>
        <w:t>Chief, Office of Engineering and Technology:</w:t>
      </w:r>
      <w:bookmarkStart w:id="0" w:name="_GoBack"/>
      <w:bookmarkEnd w:id="0"/>
    </w:p>
    <w:p w:rsidR="00126816" w:rsidRPr="00063B69" w14:paraId="5F510F73" w14:textId="77777777">
      <w:pPr>
        <w:tabs>
          <w:tab w:val="left" w:pos="5760"/>
        </w:tabs>
        <w:rPr>
          <w:color w:val="000000" w:themeColor="text1"/>
          <w:spacing w:val="-2"/>
          <w:szCs w:val="22"/>
        </w:rPr>
      </w:pPr>
    </w:p>
    <w:p w:rsidR="00E322D5" w:rsidRPr="00063B69" w14:paraId="43CA9834" w14:textId="77777777">
      <w:pPr>
        <w:tabs>
          <w:tab w:val="left" w:pos="5760"/>
        </w:tabs>
        <w:rPr>
          <w:color w:val="000000" w:themeColor="text1"/>
          <w:spacing w:val="-2"/>
          <w:szCs w:val="22"/>
        </w:rPr>
      </w:pPr>
    </w:p>
    <w:p w:rsidR="00E322D5" w:rsidRPr="00063B69" w:rsidP="00E322D5" w14:paraId="4E3DCC2C" w14:textId="77777777">
      <w:pPr>
        <w:pStyle w:val="Heading1"/>
        <w:tabs>
          <w:tab w:val="num" w:pos="720"/>
        </w:tabs>
        <w:rPr>
          <w:rFonts w:ascii="Times New Roman" w:hAnsi="Times New Roman"/>
          <w:color w:val="000000" w:themeColor="text1"/>
          <w:szCs w:val="22"/>
        </w:rPr>
      </w:pPr>
      <w:r w:rsidRPr="00063B69">
        <w:rPr>
          <w:rFonts w:ascii="Times New Roman" w:hAnsi="Times New Roman"/>
          <w:color w:val="000000" w:themeColor="text1"/>
          <w:szCs w:val="22"/>
        </w:rPr>
        <w:t>INTRODUCTION</w:t>
      </w:r>
    </w:p>
    <w:p w:rsidR="00502423" w:rsidRPr="00063B69" w:rsidP="00502423" w14:paraId="33CE8030" w14:textId="69030FBB">
      <w:pPr>
        <w:pStyle w:val="ParaNum"/>
        <w:rPr>
          <w:color w:val="000000" w:themeColor="text1"/>
          <w:szCs w:val="22"/>
        </w:rPr>
      </w:pPr>
      <w:r w:rsidRPr="00063B69">
        <w:rPr>
          <w:color w:val="000000" w:themeColor="text1"/>
          <w:szCs w:val="22"/>
        </w:rPr>
        <w:t xml:space="preserve">By this Order, we grant a request by </w:t>
      </w:r>
      <w:r w:rsidRPr="00063B69" w:rsidR="00D027EC">
        <w:rPr>
          <w:color w:val="000000" w:themeColor="text1"/>
          <w:szCs w:val="22"/>
        </w:rPr>
        <w:t>Google, LLC</w:t>
      </w:r>
      <w:r w:rsidRPr="00063B69" w:rsidR="001501B5">
        <w:rPr>
          <w:color w:val="000000" w:themeColor="text1"/>
          <w:szCs w:val="22"/>
        </w:rPr>
        <w:t xml:space="preserve"> </w:t>
      </w:r>
      <w:r w:rsidRPr="00063B69" w:rsidR="009C1E3D">
        <w:rPr>
          <w:color w:val="000000" w:themeColor="text1"/>
          <w:szCs w:val="22"/>
        </w:rPr>
        <w:t>(</w:t>
      </w:r>
      <w:r w:rsidRPr="00063B69" w:rsidR="00D027EC">
        <w:rPr>
          <w:color w:val="000000" w:themeColor="text1"/>
          <w:szCs w:val="22"/>
        </w:rPr>
        <w:t>Google</w:t>
      </w:r>
      <w:r w:rsidRPr="00063B69" w:rsidR="00917014">
        <w:rPr>
          <w:color w:val="000000" w:themeColor="text1"/>
          <w:szCs w:val="22"/>
        </w:rPr>
        <w:t>)</w:t>
      </w:r>
      <w:bookmarkStart w:id="1" w:name="_Ref527707598"/>
      <w:r>
        <w:rPr>
          <w:rStyle w:val="FootnoteReference"/>
          <w:color w:val="000000" w:themeColor="text1"/>
          <w:sz w:val="22"/>
          <w:szCs w:val="22"/>
        </w:rPr>
        <w:footnoteReference w:id="3"/>
      </w:r>
      <w:bookmarkEnd w:id="1"/>
      <w:r w:rsidRPr="00063B69" w:rsidR="001501B5">
        <w:rPr>
          <w:color w:val="000000" w:themeColor="text1"/>
          <w:szCs w:val="22"/>
        </w:rPr>
        <w:t xml:space="preserve"> </w:t>
      </w:r>
      <w:r w:rsidRPr="00063B69" w:rsidR="003C611B">
        <w:rPr>
          <w:color w:val="000000" w:themeColor="text1"/>
          <w:szCs w:val="22"/>
        </w:rPr>
        <w:t xml:space="preserve">for </w:t>
      </w:r>
      <w:r w:rsidRPr="00063B69" w:rsidR="001501B5">
        <w:rPr>
          <w:color w:val="000000" w:themeColor="text1"/>
          <w:szCs w:val="22"/>
        </w:rPr>
        <w:t>waive</w:t>
      </w:r>
      <w:r w:rsidRPr="00063B69" w:rsidR="003C611B">
        <w:rPr>
          <w:color w:val="000000" w:themeColor="text1"/>
          <w:szCs w:val="22"/>
        </w:rPr>
        <w:t>r of</w:t>
      </w:r>
      <w:r w:rsidRPr="00063B69" w:rsidR="001501B5">
        <w:rPr>
          <w:color w:val="000000" w:themeColor="text1"/>
          <w:szCs w:val="22"/>
        </w:rPr>
        <w:t xml:space="preserve"> </w:t>
      </w:r>
      <w:r w:rsidRPr="00063B69" w:rsidR="006617E1">
        <w:rPr>
          <w:color w:val="000000" w:themeColor="text1"/>
          <w:szCs w:val="22"/>
        </w:rPr>
        <w:t xml:space="preserve">section </w:t>
      </w:r>
      <w:r w:rsidRPr="00063B69" w:rsidR="00027887">
        <w:rPr>
          <w:color w:val="000000" w:themeColor="text1"/>
          <w:szCs w:val="22"/>
        </w:rPr>
        <w:t>15.255(</w:t>
      </w:r>
      <w:r w:rsidR="0020763B">
        <w:rPr>
          <w:color w:val="000000" w:themeColor="text1"/>
          <w:szCs w:val="22"/>
        </w:rPr>
        <w:t>c</w:t>
      </w:r>
      <w:r w:rsidRPr="00063B69" w:rsidR="00027887">
        <w:rPr>
          <w:color w:val="000000" w:themeColor="text1"/>
          <w:szCs w:val="22"/>
        </w:rPr>
        <w:t>)(</w:t>
      </w:r>
      <w:r w:rsidR="0020763B">
        <w:rPr>
          <w:color w:val="000000" w:themeColor="text1"/>
          <w:szCs w:val="22"/>
        </w:rPr>
        <w:t>3</w:t>
      </w:r>
      <w:r w:rsidRPr="00063B69" w:rsidR="00027887">
        <w:rPr>
          <w:color w:val="000000" w:themeColor="text1"/>
          <w:szCs w:val="22"/>
        </w:rPr>
        <w:t>)</w:t>
      </w:r>
      <w:r>
        <w:rPr>
          <w:rStyle w:val="FootnoteReference"/>
          <w:color w:val="000000" w:themeColor="text1"/>
          <w:sz w:val="22"/>
          <w:szCs w:val="22"/>
        </w:rPr>
        <w:footnoteReference w:id="4"/>
      </w:r>
      <w:r w:rsidRPr="00063B69" w:rsidR="00027887">
        <w:rPr>
          <w:color w:val="000000" w:themeColor="text1"/>
          <w:szCs w:val="22"/>
        </w:rPr>
        <w:t xml:space="preserve"> of </w:t>
      </w:r>
      <w:r w:rsidRPr="00063B69" w:rsidR="00811498">
        <w:rPr>
          <w:color w:val="000000" w:themeColor="text1"/>
          <w:szCs w:val="22"/>
        </w:rPr>
        <w:t>the</w:t>
      </w:r>
      <w:r w:rsidRPr="00063B69" w:rsidR="001501B5">
        <w:rPr>
          <w:color w:val="000000" w:themeColor="text1"/>
          <w:szCs w:val="22"/>
        </w:rPr>
        <w:t xml:space="preserve"> </w:t>
      </w:r>
      <w:r w:rsidRPr="00063B69" w:rsidR="002E1B7B">
        <w:rPr>
          <w:color w:val="000000" w:themeColor="text1"/>
          <w:szCs w:val="22"/>
        </w:rPr>
        <w:t xml:space="preserve">rules </w:t>
      </w:r>
      <w:r w:rsidRPr="00063B69" w:rsidR="009C1206">
        <w:rPr>
          <w:color w:val="000000" w:themeColor="text1"/>
          <w:szCs w:val="22"/>
        </w:rPr>
        <w:t xml:space="preserve">governing </w:t>
      </w:r>
      <w:r w:rsidRPr="00063B69" w:rsidR="00027887">
        <w:rPr>
          <w:color w:val="000000" w:themeColor="text1"/>
          <w:szCs w:val="22"/>
        </w:rPr>
        <w:t>short</w:t>
      </w:r>
      <w:r w:rsidRPr="00063B69" w:rsidR="00027887">
        <w:rPr>
          <w:color w:val="000000" w:themeColor="text1"/>
          <w:szCs w:val="22"/>
        </w:rPr>
        <w:noBreakHyphen/>
        <w:t xml:space="preserve">range interactive motion sensing </w:t>
      </w:r>
      <w:r w:rsidRPr="00063B69" w:rsidR="00E74FAE">
        <w:rPr>
          <w:color w:val="000000" w:themeColor="text1"/>
          <w:szCs w:val="22"/>
        </w:rPr>
        <w:t>devices</w:t>
      </w:r>
      <w:r w:rsidR="00B15184">
        <w:rPr>
          <w:color w:val="000000" w:themeColor="text1"/>
          <w:szCs w:val="22"/>
        </w:rPr>
        <w:t xml:space="preserve">, </w:t>
      </w:r>
      <w:r w:rsidR="0061777F">
        <w:rPr>
          <w:color w:val="000000" w:themeColor="text1"/>
          <w:szCs w:val="22"/>
        </w:rPr>
        <w:t xml:space="preserve">consistent with the parameters set forth in </w:t>
      </w:r>
      <w:r w:rsidR="00B15184">
        <w:rPr>
          <w:color w:val="000000" w:themeColor="text1"/>
          <w:szCs w:val="22"/>
        </w:rPr>
        <w:t xml:space="preserve">the </w:t>
      </w:r>
      <w:r w:rsidRPr="00BB3358" w:rsidR="00B15184">
        <w:rPr>
          <w:i/>
          <w:color w:val="000000" w:themeColor="text1"/>
          <w:szCs w:val="22"/>
        </w:rPr>
        <w:t>Google</w:t>
      </w:r>
      <w:r w:rsidRPr="00BB3358" w:rsidR="0021112B">
        <w:rPr>
          <w:i/>
          <w:color w:val="000000" w:themeColor="text1"/>
          <w:szCs w:val="22"/>
        </w:rPr>
        <w:t>-Facebook</w:t>
      </w:r>
      <w:r w:rsidRPr="00BB3358" w:rsidR="00B15184">
        <w:rPr>
          <w:i/>
          <w:color w:val="000000" w:themeColor="text1"/>
          <w:szCs w:val="22"/>
        </w:rPr>
        <w:t xml:space="preserve"> Joint </w:t>
      </w:r>
      <w:r w:rsidRPr="00BB3358" w:rsidR="00ED480D">
        <w:rPr>
          <w:i/>
          <w:color w:val="000000" w:themeColor="text1"/>
          <w:szCs w:val="22"/>
        </w:rPr>
        <w:t>ex</w:t>
      </w:r>
      <w:r w:rsidR="005D7FBD">
        <w:rPr>
          <w:i/>
          <w:color w:val="000000" w:themeColor="text1"/>
          <w:szCs w:val="22"/>
        </w:rPr>
        <w:t xml:space="preserve"> </w:t>
      </w:r>
      <w:r w:rsidRPr="00BB3358" w:rsidR="00ED480D">
        <w:rPr>
          <w:i/>
          <w:color w:val="000000" w:themeColor="text1"/>
          <w:szCs w:val="22"/>
        </w:rPr>
        <w:t>parte</w:t>
      </w:r>
      <w:r w:rsidRPr="00BB3358" w:rsidR="00ED480D">
        <w:rPr>
          <w:i/>
          <w:color w:val="000000" w:themeColor="text1"/>
          <w:szCs w:val="22"/>
        </w:rPr>
        <w:t xml:space="preserve"> </w:t>
      </w:r>
      <w:r w:rsidRPr="00BB3358" w:rsidR="00B15184">
        <w:rPr>
          <w:i/>
          <w:color w:val="000000" w:themeColor="text1"/>
          <w:szCs w:val="22"/>
        </w:rPr>
        <w:t>Filing</w:t>
      </w:r>
      <w:r w:rsidR="00B15184">
        <w:rPr>
          <w:color w:val="000000" w:themeColor="text1"/>
          <w:szCs w:val="22"/>
        </w:rPr>
        <w:t>,</w:t>
      </w:r>
      <w:r w:rsidRPr="00063B69" w:rsidR="00E74FAE">
        <w:rPr>
          <w:color w:val="000000" w:themeColor="text1"/>
          <w:szCs w:val="22"/>
        </w:rPr>
        <w:t xml:space="preserve"> to</w:t>
      </w:r>
      <w:r w:rsidRPr="00063B69" w:rsidR="00311489">
        <w:rPr>
          <w:color w:val="000000" w:themeColor="text1"/>
          <w:szCs w:val="22"/>
        </w:rPr>
        <w:t xml:space="preserve"> permit the certification and marketing of </w:t>
      </w:r>
      <w:r w:rsidRPr="00063B69">
        <w:rPr>
          <w:color w:val="000000" w:themeColor="text1"/>
          <w:szCs w:val="22"/>
        </w:rPr>
        <w:t xml:space="preserve">its </w:t>
      </w:r>
      <w:r w:rsidRPr="00063B69" w:rsidR="00097D10">
        <w:rPr>
          <w:color w:val="000000" w:themeColor="text1"/>
          <w:szCs w:val="22"/>
        </w:rPr>
        <w:t>Project Soli</w:t>
      </w:r>
      <w:r w:rsidRPr="00063B69" w:rsidR="008F45A7">
        <w:rPr>
          <w:color w:val="000000" w:themeColor="text1"/>
          <w:szCs w:val="22"/>
        </w:rPr>
        <w:t xml:space="preserve"> </w:t>
      </w:r>
      <w:r w:rsidRPr="00063B69" w:rsidR="00626DE4">
        <w:rPr>
          <w:color w:val="000000" w:themeColor="text1"/>
          <w:szCs w:val="22"/>
        </w:rPr>
        <w:t>field disturbance sensor</w:t>
      </w:r>
      <w:r w:rsidRPr="00063B69" w:rsidR="00DA0715">
        <w:rPr>
          <w:color w:val="000000" w:themeColor="text1"/>
          <w:szCs w:val="22"/>
        </w:rPr>
        <w:t xml:space="preserve"> </w:t>
      </w:r>
      <w:r w:rsidR="00646C6D">
        <w:rPr>
          <w:color w:val="000000" w:themeColor="text1"/>
          <w:szCs w:val="22"/>
        </w:rPr>
        <w:t>(Soli sensor)</w:t>
      </w:r>
      <w:r w:rsidR="00F82DAE">
        <w:rPr>
          <w:color w:val="000000" w:themeColor="text1"/>
          <w:szCs w:val="22"/>
        </w:rPr>
        <w:t xml:space="preserve"> </w:t>
      </w:r>
      <w:r w:rsidRPr="00063B69" w:rsidR="00DA0715">
        <w:rPr>
          <w:color w:val="000000" w:themeColor="text1"/>
          <w:szCs w:val="22"/>
        </w:rPr>
        <w:t>to operate at higher power levels than currently allowed.</w:t>
      </w:r>
      <w:r w:rsidRPr="00063B69" w:rsidR="006A61A6">
        <w:rPr>
          <w:color w:val="000000" w:themeColor="text1"/>
          <w:szCs w:val="22"/>
        </w:rPr>
        <w:t xml:space="preserve"> </w:t>
      </w:r>
      <w:r w:rsidRPr="00063B69" w:rsidR="00DA0715">
        <w:rPr>
          <w:color w:val="000000" w:themeColor="text1"/>
          <w:szCs w:val="22"/>
        </w:rPr>
        <w:t xml:space="preserve"> </w:t>
      </w:r>
      <w:r w:rsidR="007660D4">
        <w:rPr>
          <w:color w:val="000000" w:themeColor="text1"/>
          <w:szCs w:val="22"/>
        </w:rPr>
        <w:t>In addition, we waive compliance with the provision of section 15.255(b)</w:t>
      </w:r>
      <w:r w:rsidR="009A3041">
        <w:rPr>
          <w:color w:val="000000" w:themeColor="text1"/>
          <w:szCs w:val="22"/>
        </w:rPr>
        <w:t>(2)</w:t>
      </w:r>
      <w:r w:rsidR="007660D4">
        <w:rPr>
          <w:color w:val="000000" w:themeColor="text1"/>
          <w:szCs w:val="22"/>
        </w:rPr>
        <w:t xml:space="preserve"> of the rules to allow </w:t>
      </w:r>
      <w:r w:rsidR="00DB5C9A">
        <w:rPr>
          <w:color w:val="000000" w:themeColor="text1"/>
          <w:szCs w:val="22"/>
        </w:rPr>
        <w:t>users to operate</w:t>
      </w:r>
      <w:r w:rsidR="007660D4">
        <w:rPr>
          <w:color w:val="000000" w:themeColor="text1"/>
          <w:szCs w:val="22"/>
        </w:rPr>
        <w:t xml:space="preserve"> Google Soli device</w:t>
      </w:r>
      <w:r w:rsidR="00DB5C9A">
        <w:rPr>
          <w:color w:val="000000" w:themeColor="text1"/>
          <w:szCs w:val="22"/>
        </w:rPr>
        <w:t>s</w:t>
      </w:r>
      <w:r w:rsidR="007660D4">
        <w:rPr>
          <w:color w:val="000000" w:themeColor="text1"/>
          <w:szCs w:val="22"/>
        </w:rPr>
        <w:t xml:space="preserve"> </w:t>
      </w:r>
      <w:r w:rsidR="00DB5C9A">
        <w:rPr>
          <w:color w:val="000000" w:themeColor="text1"/>
          <w:szCs w:val="22"/>
        </w:rPr>
        <w:t xml:space="preserve">while </w:t>
      </w:r>
      <w:r w:rsidR="00C42F80">
        <w:rPr>
          <w:color w:val="000000" w:themeColor="text1"/>
          <w:szCs w:val="22"/>
        </w:rPr>
        <w:t>a</w:t>
      </w:r>
      <w:r w:rsidR="007660D4">
        <w:rPr>
          <w:color w:val="000000" w:themeColor="text1"/>
          <w:szCs w:val="22"/>
        </w:rPr>
        <w:t>board aircraft.</w:t>
      </w:r>
      <w:r>
        <w:rPr>
          <w:rStyle w:val="FootnoteReference"/>
          <w:szCs w:val="22"/>
        </w:rPr>
        <w:footnoteReference w:id="5"/>
      </w:r>
      <w:r w:rsidR="007660D4">
        <w:rPr>
          <w:color w:val="000000" w:themeColor="text1"/>
          <w:szCs w:val="22"/>
        </w:rPr>
        <w:t xml:space="preserve">  </w:t>
      </w:r>
      <w:r w:rsidRPr="00063B69" w:rsidR="00DA0715">
        <w:rPr>
          <w:color w:val="000000" w:themeColor="text1"/>
          <w:szCs w:val="22"/>
        </w:rPr>
        <w:t>We</w:t>
      </w:r>
      <w:r w:rsidRPr="00063B69" w:rsidR="002E1B7B">
        <w:rPr>
          <w:color w:val="000000" w:themeColor="text1"/>
          <w:szCs w:val="22"/>
        </w:rPr>
        <w:t xml:space="preserve"> find that </w:t>
      </w:r>
      <w:r w:rsidR="003D6032">
        <w:rPr>
          <w:color w:val="000000" w:themeColor="text1"/>
          <w:szCs w:val="22"/>
        </w:rPr>
        <w:t xml:space="preserve">the </w:t>
      </w:r>
      <w:r w:rsidRPr="00063B69" w:rsidR="00297A3B">
        <w:rPr>
          <w:color w:val="000000" w:themeColor="text1"/>
          <w:szCs w:val="22"/>
        </w:rPr>
        <w:t>Soli</w:t>
      </w:r>
      <w:r w:rsidR="00136466">
        <w:rPr>
          <w:color w:val="000000" w:themeColor="text1"/>
          <w:szCs w:val="22"/>
        </w:rPr>
        <w:t xml:space="preserve"> sensors</w:t>
      </w:r>
      <w:r w:rsidR="003034B1">
        <w:rPr>
          <w:color w:val="000000" w:themeColor="text1"/>
          <w:szCs w:val="22"/>
        </w:rPr>
        <w:t>, when</w:t>
      </w:r>
      <w:r w:rsidRPr="00063B69" w:rsidR="002E1B7B">
        <w:rPr>
          <w:color w:val="000000" w:themeColor="text1"/>
          <w:szCs w:val="22"/>
        </w:rPr>
        <w:t xml:space="preserve"> </w:t>
      </w:r>
      <w:r w:rsidRPr="00063B69" w:rsidR="008D6B12">
        <w:rPr>
          <w:color w:val="000000" w:themeColor="text1"/>
          <w:szCs w:val="22"/>
        </w:rPr>
        <w:t xml:space="preserve">operating under the waiver conditions </w:t>
      </w:r>
      <w:r w:rsidRPr="00063B69" w:rsidR="00DA42E2">
        <w:rPr>
          <w:color w:val="000000" w:themeColor="text1"/>
          <w:szCs w:val="22"/>
        </w:rPr>
        <w:t xml:space="preserve">specified </w:t>
      </w:r>
      <w:r w:rsidRPr="00063B69" w:rsidR="007C4E1C">
        <w:rPr>
          <w:color w:val="000000" w:themeColor="text1"/>
          <w:szCs w:val="22"/>
        </w:rPr>
        <w:t>herein</w:t>
      </w:r>
      <w:r w:rsidR="003034B1">
        <w:rPr>
          <w:color w:val="000000" w:themeColor="text1"/>
          <w:szCs w:val="22"/>
        </w:rPr>
        <w:t>,</w:t>
      </w:r>
      <w:r w:rsidRPr="00063B69" w:rsidR="007C4E1C">
        <w:rPr>
          <w:color w:val="000000" w:themeColor="text1"/>
          <w:szCs w:val="22"/>
        </w:rPr>
        <w:t xml:space="preserve"> </w:t>
      </w:r>
      <w:r w:rsidRPr="00063B69" w:rsidR="002E1B7B">
        <w:rPr>
          <w:color w:val="000000" w:themeColor="text1"/>
          <w:szCs w:val="22"/>
        </w:rPr>
        <w:t xml:space="preserve">pose </w:t>
      </w:r>
      <w:r w:rsidR="00FB3B55">
        <w:rPr>
          <w:color w:val="000000" w:themeColor="text1"/>
          <w:szCs w:val="22"/>
        </w:rPr>
        <w:t xml:space="preserve">minimal </w:t>
      </w:r>
      <w:r w:rsidR="00485AD5">
        <w:rPr>
          <w:color w:val="000000" w:themeColor="text1"/>
          <w:szCs w:val="22"/>
        </w:rPr>
        <w:t>potential</w:t>
      </w:r>
      <w:r w:rsidR="00FB3B55">
        <w:rPr>
          <w:color w:val="000000" w:themeColor="text1"/>
          <w:szCs w:val="22"/>
        </w:rPr>
        <w:t xml:space="preserve"> </w:t>
      </w:r>
      <w:r w:rsidRPr="00063B69" w:rsidR="002E1B7B">
        <w:rPr>
          <w:color w:val="000000" w:themeColor="text1"/>
          <w:szCs w:val="22"/>
        </w:rPr>
        <w:t xml:space="preserve">of causing harmful interference to </w:t>
      </w:r>
      <w:r w:rsidR="00661A16">
        <w:rPr>
          <w:color w:val="000000" w:themeColor="text1"/>
          <w:szCs w:val="22"/>
        </w:rPr>
        <w:t>other spectrum users</w:t>
      </w:r>
      <w:r w:rsidRPr="00063B69" w:rsidR="002E1B7B">
        <w:rPr>
          <w:color w:val="000000" w:themeColor="text1"/>
          <w:szCs w:val="22"/>
        </w:rPr>
        <w:t xml:space="preserve"> </w:t>
      </w:r>
      <w:r w:rsidR="00F70BEB">
        <w:rPr>
          <w:color w:val="000000" w:themeColor="text1"/>
          <w:szCs w:val="22"/>
        </w:rPr>
        <w:t xml:space="preserve">and uses of </w:t>
      </w:r>
      <w:r w:rsidRPr="00063B69" w:rsidR="00C07B60">
        <w:rPr>
          <w:color w:val="000000" w:themeColor="text1"/>
          <w:szCs w:val="22"/>
        </w:rPr>
        <w:t>the 57</w:t>
      </w:r>
      <w:r w:rsidRPr="00063B69" w:rsidR="00C07B60">
        <w:rPr>
          <w:color w:val="000000" w:themeColor="text1"/>
          <w:szCs w:val="22"/>
        </w:rPr>
        <w:noBreakHyphen/>
        <w:t>64 GHz frequency band</w:t>
      </w:r>
      <w:r w:rsidR="007660D4">
        <w:rPr>
          <w:color w:val="000000" w:themeColor="text1"/>
          <w:szCs w:val="22"/>
        </w:rPr>
        <w:t xml:space="preserve">, including </w:t>
      </w:r>
      <w:r w:rsidR="00F70BEB">
        <w:rPr>
          <w:color w:val="000000" w:themeColor="text1"/>
          <w:szCs w:val="22"/>
        </w:rPr>
        <w:t xml:space="preserve">for the </w:t>
      </w:r>
      <w:r w:rsidR="007660D4">
        <w:rPr>
          <w:color w:val="000000" w:themeColor="text1"/>
          <w:szCs w:val="22"/>
        </w:rPr>
        <w:t xml:space="preserve">earth exploration satellite service (EESS) and </w:t>
      </w:r>
      <w:r w:rsidR="00F70BEB">
        <w:rPr>
          <w:color w:val="000000" w:themeColor="text1"/>
          <w:szCs w:val="22"/>
        </w:rPr>
        <w:t xml:space="preserve">the </w:t>
      </w:r>
      <w:r w:rsidR="007660D4">
        <w:rPr>
          <w:color w:val="000000" w:themeColor="text1"/>
          <w:szCs w:val="22"/>
        </w:rPr>
        <w:t>radio astronomy service (RAS).</w:t>
      </w:r>
      <w:r w:rsidRPr="00063B69" w:rsidR="003C611B">
        <w:rPr>
          <w:color w:val="000000" w:themeColor="text1"/>
          <w:szCs w:val="22"/>
        </w:rPr>
        <w:t xml:space="preserve"> </w:t>
      </w:r>
      <w:r w:rsidR="008E1E8B">
        <w:rPr>
          <w:color w:val="000000" w:themeColor="text1"/>
          <w:szCs w:val="22"/>
        </w:rPr>
        <w:t xml:space="preserve"> </w:t>
      </w:r>
      <w:r w:rsidR="007660D4">
        <w:rPr>
          <w:color w:val="000000" w:themeColor="text1"/>
          <w:szCs w:val="22"/>
        </w:rPr>
        <w:t xml:space="preserve">We further find </w:t>
      </w:r>
      <w:r w:rsidRPr="00063B69" w:rsidR="003C611B">
        <w:rPr>
          <w:color w:val="000000" w:themeColor="text1"/>
          <w:szCs w:val="22"/>
        </w:rPr>
        <w:t>that grant of the waiver will serve the public interest</w:t>
      </w:r>
      <w:r w:rsidR="003034B1">
        <w:rPr>
          <w:color w:val="000000" w:themeColor="text1"/>
          <w:szCs w:val="22"/>
        </w:rPr>
        <w:t xml:space="preserve"> by</w:t>
      </w:r>
      <w:r w:rsidRPr="00063B69" w:rsidR="00E322D5">
        <w:rPr>
          <w:color w:val="000000" w:themeColor="text1"/>
          <w:szCs w:val="22"/>
        </w:rPr>
        <w:t xml:space="preserve"> providing for innovative </w:t>
      </w:r>
      <w:r w:rsidR="005F07CE">
        <w:rPr>
          <w:color w:val="000000" w:themeColor="text1"/>
          <w:szCs w:val="22"/>
        </w:rPr>
        <w:t>device control features using</w:t>
      </w:r>
      <w:r w:rsidRPr="00063B69" w:rsidR="00E322D5">
        <w:rPr>
          <w:color w:val="000000" w:themeColor="text1"/>
          <w:szCs w:val="22"/>
        </w:rPr>
        <w:t xml:space="preserve"> touchless hand gesture technology</w:t>
      </w:r>
      <w:r w:rsidRPr="00063B69" w:rsidR="002E1B7B">
        <w:rPr>
          <w:color w:val="000000" w:themeColor="text1"/>
          <w:szCs w:val="22"/>
        </w:rPr>
        <w:t xml:space="preserve">.  </w:t>
      </w:r>
    </w:p>
    <w:p w:rsidR="00502423" w:rsidRPr="00063B69" w:rsidP="00502423" w14:paraId="141880DD" w14:textId="77777777">
      <w:pPr>
        <w:pStyle w:val="Heading1"/>
        <w:tabs>
          <w:tab w:val="num" w:pos="720"/>
        </w:tabs>
        <w:rPr>
          <w:rFonts w:ascii="Times New Roman" w:hAnsi="Times New Roman"/>
          <w:color w:val="000000" w:themeColor="text1"/>
          <w:szCs w:val="22"/>
        </w:rPr>
      </w:pPr>
      <w:r w:rsidRPr="00063B69">
        <w:rPr>
          <w:rFonts w:ascii="Times New Roman" w:hAnsi="Times New Roman"/>
          <w:color w:val="000000" w:themeColor="text1"/>
          <w:szCs w:val="22"/>
        </w:rPr>
        <w:t>BACKGROUND</w:t>
      </w:r>
    </w:p>
    <w:p w:rsidR="0021112B" w:rsidRPr="0040028C" w:rsidP="0092528E" w14:paraId="0B146672" w14:textId="36D186A9">
      <w:pPr>
        <w:pStyle w:val="ParaNum"/>
      </w:pPr>
      <w:r w:rsidRPr="00063B69">
        <w:t xml:space="preserve">Part 15 of the Commission's regulations permits </w:t>
      </w:r>
      <w:r w:rsidR="00D96E46">
        <w:t>unlicensed</w:t>
      </w:r>
      <w:r w:rsidRPr="00063B69" w:rsidR="00D96E46">
        <w:t xml:space="preserve"> </w:t>
      </w:r>
      <w:r w:rsidRPr="00063B69">
        <w:t>operation of radio frequency devices</w:t>
      </w:r>
      <w:r w:rsidR="00136466">
        <w:t>.  The rules are</w:t>
      </w:r>
      <w:r w:rsidRPr="00063B69" w:rsidR="00136466">
        <w:t xml:space="preserve"> </w:t>
      </w:r>
      <w:r w:rsidRPr="00063B69">
        <w:t xml:space="preserve">designed to ensure that </w:t>
      </w:r>
      <w:r w:rsidR="00136466">
        <w:t>unlicensed</w:t>
      </w:r>
      <w:r w:rsidRPr="00063B69" w:rsidR="00136466">
        <w:t xml:space="preserve"> devices</w:t>
      </w:r>
      <w:r w:rsidR="00136466">
        <w:t xml:space="preserve"> have</w:t>
      </w:r>
      <w:r w:rsidRPr="00063B69" w:rsidR="00136466">
        <w:t xml:space="preserve"> </w:t>
      </w:r>
      <w:r w:rsidRPr="00063B69">
        <w:t xml:space="preserve">a low probability </w:t>
      </w:r>
      <w:r w:rsidR="00136466">
        <w:t xml:space="preserve">of </w:t>
      </w:r>
      <w:r w:rsidRPr="00063B69">
        <w:t>caus</w:t>
      </w:r>
      <w:r w:rsidR="00136466">
        <w:t>ing</w:t>
      </w:r>
      <w:r w:rsidRPr="00063B69">
        <w:t xml:space="preserve"> harmful interference to other users of the radio spectrum</w:t>
      </w:r>
      <w:r w:rsidRPr="0040028C">
        <w:t>.</w:t>
      </w:r>
      <w:r>
        <w:rPr>
          <w:rStyle w:val="FootnoteReference"/>
          <w:color w:val="000000" w:themeColor="text1"/>
          <w:spacing w:val="-2"/>
          <w:sz w:val="22"/>
          <w:szCs w:val="22"/>
        </w:rPr>
        <w:footnoteReference w:id="6"/>
      </w:r>
      <w:r w:rsidRPr="0040028C">
        <w:t xml:space="preserve">  </w:t>
      </w:r>
      <w:r w:rsidRPr="00BB3358">
        <w:t xml:space="preserve">Section 15.255 of the rules </w:t>
      </w:r>
      <w:r w:rsidR="00485AD5">
        <w:t xml:space="preserve">stipulates </w:t>
      </w:r>
      <w:r w:rsidRPr="00BB3358" w:rsidR="002C0F7D">
        <w:t>operation</w:t>
      </w:r>
      <w:r w:rsidR="00485AD5">
        <w:t>al policies and technical parameter</w:t>
      </w:r>
      <w:r w:rsidRPr="00BB3358" w:rsidR="002C0F7D">
        <w:t xml:space="preserve">s </w:t>
      </w:r>
      <w:r w:rsidR="00485AD5">
        <w:t xml:space="preserve">for </w:t>
      </w:r>
      <w:r w:rsidRPr="00BB3358" w:rsidR="002C0F7D">
        <w:t>the 57-71 GHz band</w:t>
      </w:r>
      <w:r w:rsidR="00082E0D">
        <w:t xml:space="preserve">.  These rules </w:t>
      </w:r>
      <w:r w:rsidRPr="00BB3358" w:rsidR="002C0F7D">
        <w:t xml:space="preserve">allow for </w:t>
      </w:r>
      <w:r w:rsidRPr="00BB3358">
        <w:t xml:space="preserve">field disturbance sensors that </w:t>
      </w:r>
      <w:r w:rsidRPr="00BB3358" w:rsidR="002C0F7D">
        <w:t>are either fixed or used as short-range devices for interactive motion sensing</w:t>
      </w:r>
      <w:r w:rsidRPr="00BB3358">
        <w:t>.</w:t>
      </w:r>
      <w:r>
        <w:rPr>
          <w:rStyle w:val="FootnoteReference"/>
          <w:color w:val="000000" w:themeColor="text1"/>
          <w:sz w:val="22"/>
          <w:szCs w:val="22"/>
        </w:rPr>
        <w:footnoteReference w:id="7"/>
      </w:r>
      <w:r w:rsidRPr="00BB3358">
        <w:t xml:space="preserve"> </w:t>
      </w:r>
      <w:r w:rsidRPr="00BB3358" w:rsidR="002C0F7D">
        <w:t xml:space="preserve"> </w:t>
      </w:r>
      <w:r w:rsidRPr="00BB3358" w:rsidR="00C17350">
        <w:t>Specifically, section 15.255(c)(3) specifies tha</w:t>
      </w:r>
      <w:r w:rsidRPr="00BB3358" w:rsidR="005B4441">
        <w:t>t</w:t>
      </w:r>
      <w:r w:rsidRPr="00BB3358" w:rsidR="00C17350">
        <w:t xml:space="preserve"> the </w:t>
      </w:r>
      <w:r w:rsidRPr="00BB3358" w:rsidR="005B4441">
        <w:t xml:space="preserve">peak transmitter </w:t>
      </w:r>
      <w:r w:rsidRPr="00BB3358" w:rsidR="00C17350">
        <w:t xml:space="preserve">conducted </w:t>
      </w:r>
      <w:r w:rsidRPr="00BB3358" w:rsidR="005B4441">
        <w:t>output power shall not exceed -10</w:t>
      </w:r>
      <w:r w:rsidR="00082E0D">
        <w:t xml:space="preserve"> </w:t>
      </w:r>
      <w:r w:rsidRPr="00BB3358" w:rsidR="005B4441">
        <w:t>dBm and the peak EIRP level shall not exceed 10 dBm</w:t>
      </w:r>
      <w:r w:rsidR="00450520">
        <w:t>;</w:t>
      </w:r>
      <w:r>
        <w:rPr>
          <w:rStyle w:val="FootnoteReference"/>
        </w:rPr>
        <w:footnoteReference w:id="8"/>
      </w:r>
      <w:r w:rsidRPr="00BB3358" w:rsidR="00C17350">
        <w:t xml:space="preserve"> </w:t>
      </w:r>
      <w:r w:rsidR="00F70BEB">
        <w:t xml:space="preserve"> </w:t>
      </w:r>
      <w:r w:rsidR="00450520">
        <w:t xml:space="preserve">Section 15.255(b)(2) requires that </w:t>
      </w:r>
      <w:r w:rsidR="00F70BEB">
        <w:t>while</w:t>
      </w:r>
      <w:r w:rsidR="00E854C5">
        <w:t xml:space="preserve"> airborne</w:t>
      </w:r>
      <w:r w:rsidR="00F70BEB">
        <w:t>,</w:t>
      </w:r>
      <w:r w:rsidR="00E854C5">
        <w:t xml:space="preserve"> </w:t>
      </w:r>
      <w:r w:rsidR="00F70BEB">
        <w:t xml:space="preserve">devices may operate </w:t>
      </w:r>
      <w:r w:rsidR="00E854C5">
        <w:t xml:space="preserve">  “</w:t>
      </w:r>
      <w:r w:rsidR="00F70BEB">
        <w:t xml:space="preserve">only in </w:t>
      </w:r>
      <w:r w:rsidR="00E854C5">
        <w:t xml:space="preserve">closed </w:t>
      </w:r>
      <w:r w:rsidRPr="00724D7C" w:rsidR="00E854C5">
        <w:rPr>
          <w:snapToGrid/>
          <w:color w:val="000000"/>
          <w:kern w:val="0"/>
          <w:szCs w:val="22"/>
        </w:rPr>
        <w:t>exclusive on-board communication networks within the aircraft</w:t>
      </w:r>
      <w:r w:rsidR="00C42F80">
        <w:rPr>
          <w:snapToGrid/>
          <w:color w:val="000000"/>
          <w:kern w:val="0"/>
          <w:szCs w:val="22"/>
        </w:rPr>
        <w:t>.</w:t>
      </w:r>
      <w:r w:rsidR="00E854C5">
        <w:rPr>
          <w:snapToGrid/>
          <w:color w:val="000000"/>
          <w:kern w:val="0"/>
          <w:szCs w:val="22"/>
        </w:rPr>
        <w:t>”</w:t>
      </w:r>
      <w:r>
        <w:rPr>
          <w:rStyle w:val="FootnoteReference"/>
          <w:snapToGrid/>
          <w:kern w:val="0"/>
          <w:szCs w:val="22"/>
        </w:rPr>
        <w:footnoteReference w:id="9"/>
      </w:r>
    </w:p>
    <w:p w:rsidR="00ED480D" w:rsidP="000C16A4" w14:paraId="28AAD3D2" w14:textId="1F27DD8F">
      <w:pPr>
        <w:pStyle w:val="ParaNum"/>
      </w:pPr>
      <w:r>
        <w:t>Google</w:t>
      </w:r>
      <w:r w:rsidRPr="009D45FF" w:rsidR="009D45FF">
        <w:t xml:space="preserve"> </w:t>
      </w:r>
      <w:r w:rsidR="009D45FF">
        <w:t xml:space="preserve">developed </w:t>
      </w:r>
      <w:r w:rsidR="003D6032">
        <w:t xml:space="preserve">the Soli </w:t>
      </w:r>
      <w:r w:rsidR="009D45FF">
        <w:t>sensor</w:t>
      </w:r>
      <w:r w:rsidR="00136466">
        <w:t xml:space="preserve"> </w:t>
      </w:r>
      <w:r w:rsidRPr="003069CE" w:rsidR="0092528E">
        <w:rPr>
          <w:color w:val="000000" w:themeColor="text1"/>
          <w:szCs w:val="22"/>
        </w:rPr>
        <w:t xml:space="preserve">to </w:t>
      </w:r>
      <w:r w:rsidRPr="00930851" w:rsidR="0092528E">
        <w:rPr>
          <w:color w:val="000000" w:themeColor="text1"/>
          <w:szCs w:val="22"/>
        </w:rPr>
        <w:t xml:space="preserve">capture motion in a three-dimensional space </w:t>
      </w:r>
      <w:r w:rsidRPr="0020763B" w:rsidR="000C253C">
        <w:rPr>
          <w:color w:val="000000" w:themeColor="text1"/>
          <w:szCs w:val="22"/>
        </w:rPr>
        <w:t xml:space="preserve">using a radar beam </w:t>
      </w:r>
      <w:r w:rsidRPr="007029D5" w:rsidR="0092528E">
        <w:rPr>
          <w:color w:val="000000" w:themeColor="text1"/>
          <w:szCs w:val="22"/>
        </w:rPr>
        <w:t>to enable touchless control of device functions or features</w:t>
      </w:r>
      <w:r w:rsidRPr="007029D5" w:rsidR="00B15184">
        <w:rPr>
          <w:color w:val="000000" w:themeColor="text1"/>
          <w:szCs w:val="22"/>
        </w:rPr>
        <w:t>,</w:t>
      </w:r>
      <w:r w:rsidRPr="00B15184" w:rsidR="00B15184">
        <w:t xml:space="preserve"> </w:t>
      </w:r>
      <w:r w:rsidR="00B15184">
        <w:t>which can benefit users with mobilit</w:t>
      </w:r>
      <w:r w:rsidR="0050331B">
        <w:t>y</w:t>
      </w:r>
      <w:r w:rsidR="00B15184">
        <w:t>, speech and tactile impairments</w:t>
      </w:r>
      <w:r>
        <w:t>.</w:t>
      </w:r>
      <w:r>
        <w:rPr>
          <w:rStyle w:val="FootnoteReference"/>
        </w:rPr>
        <w:footnoteReference w:id="10"/>
      </w:r>
      <w:r w:rsidR="00A47254">
        <w:t xml:space="preserve"> </w:t>
      </w:r>
      <w:r w:rsidR="00136466">
        <w:t xml:space="preserve"> </w:t>
      </w:r>
      <w:bookmarkStart w:id="4" w:name="FN[FN17]"/>
      <w:bookmarkStart w:id="5" w:name="FN[FN18]"/>
      <w:bookmarkStart w:id="6" w:name="FN[FN19]"/>
      <w:bookmarkStart w:id="7" w:name="_Ref517093865"/>
      <w:bookmarkEnd w:id="4"/>
      <w:bookmarkEnd w:id="5"/>
      <w:bookmarkEnd w:id="6"/>
      <w:r w:rsidRPr="003069CE" w:rsidR="003034B1">
        <w:rPr>
          <w:color w:val="000000" w:themeColor="text1"/>
          <w:szCs w:val="22"/>
        </w:rPr>
        <w:t>In its</w:t>
      </w:r>
      <w:r w:rsidRPr="003069CE" w:rsidR="00CD2EE7">
        <w:rPr>
          <w:color w:val="000000" w:themeColor="text1"/>
          <w:szCs w:val="22"/>
        </w:rPr>
        <w:t xml:space="preserve"> </w:t>
      </w:r>
      <w:r w:rsidRPr="00930851" w:rsidR="000C16A4">
        <w:rPr>
          <w:color w:val="000000" w:themeColor="text1"/>
          <w:szCs w:val="22"/>
        </w:rPr>
        <w:t xml:space="preserve">original </w:t>
      </w:r>
      <w:r w:rsidRPr="00930851" w:rsidR="003034B1">
        <w:rPr>
          <w:color w:val="000000" w:themeColor="text1"/>
          <w:szCs w:val="22"/>
        </w:rPr>
        <w:t>w</w:t>
      </w:r>
      <w:r w:rsidRPr="00930851" w:rsidR="00CD2EE7">
        <w:rPr>
          <w:color w:val="000000" w:themeColor="text1"/>
          <w:szCs w:val="22"/>
        </w:rPr>
        <w:t>aiver</w:t>
      </w:r>
      <w:r w:rsidRPr="0020763B" w:rsidR="003034B1">
        <w:rPr>
          <w:color w:val="000000" w:themeColor="text1"/>
          <w:szCs w:val="22"/>
        </w:rPr>
        <w:t xml:space="preserve"> r</w:t>
      </w:r>
      <w:r w:rsidRPr="007029D5" w:rsidR="00CD2EE7">
        <w:rPr>
          <w:color w:val="000000" w:themeColor="text1"/>
          <w:szCs w:val="22"/>
        </w:rPr>
        <w:t>equest</w:t>
      </w:r>
      <w:r w:rsidRPr="007029D5" w:rsidR="003034B1">
        <w:rPr>
          <w:color w:val="000000" w:themeColor="text1"/>
          <w:szCs w:val="22"/>
        </w:rPr>
        <w:t xml:space="preserve">, Google </w:t>
      </w:r>
      <w:r w:rsidRPr="00F87F0F" w:rsidR="000C16A4">
        <w:rPr>
          <w:color w:val="000000" w:themeColor="text1"/>
          <w:szCs w:val="22"/>
        </w:rPr>
        <w:t xml:space="preserve">sought a </w:t>
      </w:r>
      <w:r w:rsidRPr="00F87F0F" w:rsidR="00726095">
        <w:rPr>
          <w:color w:val="000000" w:themeColor="text1"/>
          <w:szCs w:val="22"/>
        </w:rPr>
        <w:t>waive</w:t>
      </w:r>
      <w:r w:rsidRPr="00F87F0F" w:rsidR="000C16A4">
        <w:rPr>
          <w:color w:val="000000" w:themeColor="text1"/>
          <w:szCs w:val="22"/>
        </w:rPr>
        <w:t>r</w:t>
      </w:r>
      <w:r w:rsidRPr="00F87F0F" w:rsidR="00726095">
        <w:rPr>
          <w:color w:val="000000" w:themeColor="text1"/>
          <w:szCs w:val="22"/>
        </w:rPr>
        <w:t xml:space="preserve"> </w:t>
      </w:r>
      <w:r w:rsidRPr="00F87F0F" w:rsidR="000C16A4">
        <w:rPr>
          <w:color w:val="000000" w:themeColor="text1"/>
          <w:szCs w:val="22"/>
        </w:rPr>
        <w:t xml:space="preserve">of </w:t>
      </w:r>
      <w:r w:rsidR="006A4EC8">
        <w:rPr>
          <w:color w:val="000000" w:themeColor="text1"/>
          <w:szCs w:val="22"/>
        </w:rPr>
        <w:t xml:space="preserve">our rules </w:t>
      </w:r>
      <w:r w:rsidRPr="00F87F0F" w:rsidR="00726095">
        <w:rPr>
          <w:color w:val="000000" w:themeColor="text1"/>
          <w:szCs w:val="22"/>
        </w:rPr>
        <w:t xml:space="preserve">to </w:t>
      </w:r>
      <w:r w:rsidRPr="00F87F0F" w:rsidR="00B17F22">
        <w:rPr>
          <w:color w:val="000000" w:themeColor="text1"/>
          <w:szCs w:val="22"/>
        </w:rPr>
        <w:t xml:space="preserve">allow its </w:t>
      </w:r>
      <w:r w:rsidRPr="00F87F0F" w:rsidR="00CD2EE7">
        <w:rPr>
          <w:color w:val="000000" w:themeColor="text1"/>
          <w:szCs w:val="22"/>
        </w:rPr>
        <w:t>short</w:t>
      </w:r>
      <w:r w:rsidRPr="00F87F0F" w:rsidR="00CD2EE7">
        <w:rPr>
          <w:color w:val="000000" w:themeColor="text1"/>
          <w:szCs w:val="22"/>
        </w:rPr>
        <w:noBreakHyphen/>
        <w:t>range interactive motion sensing</w:t>
      </w:r>
      <w:r w:rsidRPr="00F87F0F" w:rsidR="003034B1">
        <w:rPr>
          <w:color w:val="000000" w:themeColor="text1"/>
          <w:szCs w:val="22"/>
        </w:rPr>
        <w:t xml:space="preserve"> Soli radar</w:t>
      </w:r>
      <w:r w:rsidRPr="00F87F0F" w:rsidR="00CD2EE7">
        <w:rPr>
          <w:color w:val="000000" w:themeColor="text1"/>
          <w:szCs w:val="22"/>
        </w:rPr>
        <w:t xml:space="preserve"> to </w:t>
      </w:r>
      <w:r w:rsidRPr="00F87F0F" w:rsidR="000C16A4">
        <w:rPr>
          <w:color w:val="000000" w:themeColor="text1"/>
          <w:szCs w:val="22"/>
        </w:rPr>
        <w:t xml:space="preserve">operate </w:t>
      </w:r>
      <w:r w:rsidRPr="00F87F0F" w:rsidR="00CD2EE7">
        <w:rPr>
          <w:color w:val="000000" w:themeColor="text1"/>
          <w:szCs w:val="22"/>
        </w:rPr>
        <w:t>in the 57</w:t>
      </w:r>
      <w:r w:rsidRPr="00F87F0F" w:rsidR="00CD2EE7">
        <w:rPr>
          <w:color w:val="000000" w:themeColor="text1"/>
          <w:szCs w:val="22"/>
        </w:rPr>
        <w:noBreakHyphen/>
        <w:t xml:space="preserve">64 GHz frequency band at power levels </w:t>
      </w:r>
      <w:r w:rsidRPr="00F87F0F" w:rsidR="00082E0D">
        <w:rPr>
          <w:color w:val="000000" w:themeColor="text1"/>
          <w:szCs w:val="22"/>
        </w:rPr>
        <w:t>consistent with European Telecommunications Standards Institute (ETSI) standard EN 305 550</w:t>
      </w:r>
      <w:r w:rsidR="00082E0D">
        <w:rPr>
          <w:color w:val="000000" w:themeColor="text1"/>
          <w:szCs w:val="22"/>
        </w:rPr>
        <w:t xml:space="preserve"> which are higher </w:t>
      </w:r>
      <w:r w:rsidRPr="00F87F0F" w:rsidR="00CD2EE7">
        <w:rPr>
          <w:color w:val="000000" w:themeColor="text1"/>
          <w:szCs w:val="22"/>
        </w:rPr>
        <w:t>than currently permitted</w:t>
      </w:r>
      <w:r w:rsidR="00082E0D">
        <w:rPr>
          <w:color w:val="000000" w:themeColor="text1"/>
          <w:szCs w:val="22"/>
        </w:rPr>
        <w:t xml:space="preserve"> under the Commission’s rules</w:t>
      </w:r>
      <w:r w:rsidRPr="00F87F0F" w:rsidR="00CD2EE7">
        <w:rPr>
          <w:color w:val="000000" w:themeColor="text1"/>
          <w:szCs w:val="22"/>
        </w:rPr>
        <w:t>.</w:t>
      </w:r>
      <w:bookmarkStart w:id="8" w:name="_Ref531256016"/>
      <w:r>
        <w:rPr>
          <w:rStyle w:val="FootnoteReference"/>
          <w:szCs w:val="22"/>
        </w:rPr>
        <w:footnoteReference w:id="11"/>
      </w:r>
      <w:bookmarkEnd w:id="8"/>
      <w:r w:rsidRPr="003069CE" w:rsidR="00CD2EE7">
        <w:rPr>
          <w:color w:val="000000" w:themeColor="text1"/>
          <w:szCs w:val="22"/>
        </w:rPr>
        <w:t xml:space="preserve">  </w:t>
      </w:r>
      <w:bookmarkStart w:id="9" w:name="_Ref517093832"/>
      <w:bookmarkEnd w:id="7"/>
      <w:r w:rsidRPr="003069CE" w:rsidR="008579EB">
        <w:rPr>
          <w:color w:val="000000" w:themeColor="text1"/>
          <w:szCs w:val="22"/>
        </w:rPr>
        <w:t xml:space="preserve">Google </w:t>
      </w:r>
      <w:r w:rsidRPr="00930851" w:rsidR="009B02AC">
        <w:rPr>
          <w:color w:val="000000" w:themeColor="text1"/>
          <w:szCs w:val="22"/>
        </w:rPr>
        <w:t>argue</w:t>
      </w:r>
      <w:r w:rsidR="006A4EC8">
        <w:rPr>
          <w:color w:val="000000" w:themeColor="text1"/>
          <w:szCs w:val="22"/>
        </w:rPr>
        <w:t>d</w:t>
      </w:r>
      <w:r w:rsidRPr="00930851" w:rsidR="009B02AC">
        <w:rPr>
          <w:color w:val="000000" w:themeColor="text1"/>
          <w:szCs w:val="22"/>
        </w:rPr>
        <w:t xml:space="preserve"> </w:t>
      </w:r>
      <w:r w:rsidRPr="00930851" w:rsidR="008579EB">
        <w:rPr>
          <w:color w:val="000000" w:themeColor="text1"/>
          <w:szCs w:val="22"/>
        </w:rPr>
        <w:t xml:space="preserve">that the </w:t>
      </w:r>
      <w:r w:rsidRPr="00DB07F5" w:rsidR="008579EB">
        <w:t xml:space="preserve">power levels in </w:t>
      </w:r>
      <w:r w:rsidRPr="00DB07F5" w:rsidR="00413A83">
        <w:t xml:space="preserve">existing </w:t>
      </w:r>
      <w:r w:rsidRPr="00DB07F5" w:rsidR="00186343">
        <w:t>Commission’s</w:t>
      </w:r>
      <w:r w:rsidRPr="008D71AD" w:rsidR="008579EB">
        <w:t xml:space="preserve"> rules are too restrictive to adequately enable Soli’s intended functions</w:t>
      </w:r>
      <w:r w:rsidR="009B02AC">
        <w:t xml:space="preserve"> – resulting in </w:t>
      </w:r>
      <w:r w:rsidRPr="008D71AD" w:rsidR="008579EB">
        <w:t>user dissatisfaction due to missed motions and fewer effective interactions.</w:t>
      </w:r>
      <w:r>
        <w:rPr>
          <w:rStyle w:val="FootnoteReference"/>
          <w:color w:val="000000" w:themeColor="text1"/>
          <w:sz w:val="22"/>
          <w:szCs w:val="22"/>
        </w:rPr>
        <w:footnoteReference w:id="12"/>
      </w:r>
      <w:r w:rsidRPr="00DB07F5" w:rsidR="008579EB">
        <w:t xml:space="preserve">  </w:t>
      </w:r>
    </w:p>
    <w:p w:rsidR="000C16A4" w:rsidRPr="00930851" w:rsidP="000C16A4" w14:paraId="3C8CDFCE" w14:textId="576B7A75">
      <w:pPr>
        <w:pStyle w:val="ParaNum"/>
      </w:pPr>
      <w:r w:rsidRPr="00063B69">
        <w:t xml:space="preserve">The Office of Engineering and Technology (OET) issued a Public Notice soliciting comments on </w:t>
      </w:r>
      <w:r>
        <w:t xml:space="preserve">the </w:t>
      </w:r>
      <w:r w:rsidRPr="00BB3358">
        <w:rPr>
          <w:i/>
        </w:rPr>
        <w:t>Google Waiver Request</w:t>
      </w:r>
      <w:r w:rsidRPr="00063B69">
        <w:t xml:space="preserve"> on March 12, 2018</w:t>
      </w:r>
      <w:r w:rsidR="009B02AC">
        <w:t>.</w:t>
      </w:r>
      <w:r>
        <w:rPr>
          <w:rStyle w:val="FootnoteReference"/>
          <w:color w:val="000000" w:themeColor="text1"/>
          <w:sz w:val="22"/>
          <w:szCs w:val="22"/>
        </w:rPr>
        <w:footnoteReference w:id="13"/>
      </w:r>
      <w:r w:rsidRPr="00063B69">
        <w:t xml:space="preserve"> </w:t>
      </w:r>
      <w:r w:rsidR="00530D4A">
        <w:t xml:space="preserve"> </w:t>
      </w:r>
      <w:r w:rsidR="009B02AC">
        <w:t xml:space="preserve">Five parties filed </w:t>
      </w:r>
      <w:r w:rsidRPr="00063B69">
        <w:t xml:space="preserve">comments and six </w:t>
      </w:r>
      <w:r w:rsidR="009B02AC">
        <w:t xml:space="preserve">parties filed </w:t>
      </w:r>
      <w:r w:rsidRPr="00063B69">
        <w:t>repl</w:t>
      </w:r>
      <w:r w:rsidR="009B02AC">
        <w:t>ies</w:t>
      </w:r>
      <w:r w:rsidRPr="00063B69">
        <w:t>.</w:t>
      </w:r>
      <w:r>
        <w:rPr>
          <w:rStyle w:val="FootnoteReference"/>
        </w:rPr>
        <w:footnoteReference w:id="14"/>
      </w:r>
      <w:r>
        <w:t xml:space="preserve"> </w:t>
      </w:r>
      <w:r w:rsidRPr="00063B69">
        <w:t xml:space="preserve"> </w:t>
      </w:r>
      <w:r>
        <w:t>While several parties supported Google’s request,</w:t>
      </w:r>
      <w:r w:rsidRPr="00063B69" w:rsidR="0068669E">
        <w:rPr>
          <w:rStyle w:val="FootnoteReference"/>
          <w:color w:val="000000" w:themeColor="text1"/>
          <w:sz w:val="22"/>
          <w:szCs w:val="22"/>
        </w:rPr>
        <w:t xml:space="preserve"> </w:t>
      </w:r>
      <w:r w:rsidRPr="00063B69">
        <w:t xml:space="preserve"> </w:t>
      </w:r>
      <w:r>
        <w:t>other</w:t>
      </w:r>
      <w:r w:rsidRPr="00063B69">
        <w:t xml:space="preserve"> commenters</w:t>
      </w:r>
      <w:r>
        <w:t xml:space="preserve"> sought </w:t>
      </w:r>
      <w:r w:rsidRPr="00063B69">
        <w:t>additional data</w:t>
      </w:r>
      <w:r>
        <w:t xml:space="preserve"> from Google,</w:t>
      </w:r>
      <w:r w:rsidRPr="00063B69">
        <w:t xml:space="preserve"> based on concerns regarding co-existence of Soli </w:t>
      </w:r>
      <w:r w:rsidR="003D6032">
        <w:t xml:space="preserve">sensors </w:t>
      </w:r>
      <w:r w:rsidRPr="00063B69">
        <w:t xml:space="preserve">with </w:t>
      </w:r>
      <w:r>
        <w:t xml:space="preserve">authorized services such as </w:t>
      </w:r>
      <w:r w:rsidRPr="00063B69">
        <w:t xml:space="preserve">passive sensors in the Earth Exploration Satellite Service (EESS) </w:t>
      </w:r>
      <w:r>
        <w:t xml:space="preserve">and the </w:t>
      </w:r>
      <w:r w:rsidRPr="00063B69">
        <w:t xml:space="preserve">radio astronomy service (RAS) </w:t>
      </w:r>
      <w:r>
        <w:t xml:space="preserve">(focused on airborne operation of </w:t>
      </w:r>
      <w:r w:rsidRPr="00063B69">
        <w:t>Soli devices</w:t>
      </w:r>
      <w:r>
        <w:t xml:space="preserve">) as well as with </w:t>
      </w:r>
      <w:r w:rsidRPr="00063B69">
        <w:t xml:space="preserve">other </w:t>
      </w:r>
      <w:r>
        <w:t xml:space="preserve">unlicensed devices </w:t>
      </w:r>
      <w:r w:rsidRPr="00063B69">
        <w:t>including 60 GHz Wi</w:t>
      </w:r>
      <w:r w:rsidRPr="00063B69">
        <w:noBreakHyphen/>
        <w:t>Fi (</w:t>
      </w:r>
      <w:r w:rsidRPr="00063B69">
        <w:t>WiGig</w:t>
      </w:r>
      <w:r w:rsidRPr="00063B69">
        <w:t>) operations</w:t>
      </w:r>
      <w:r>
        <w:t xml:space="preserve"> and </w:t>
      </w:r>
      <w:r w:rsidRPr="00063B69">
        <w:t>other 60 GHz point</w:t>
      </w:r>
      <w:r w:rsidRPr="00063B69">
        <w:noBreakHyphen/>
        <w:t>to</w:t>
      </w:r>
      <w:r w:rsidRPr="00063B69">
        <w:noBreakHyphen/>
        <w:t>point short</w:t>
      </w:r>
      <w:r w:rsidRPr="00063B69">
        <w:noBreakHyphen/>
        <w:t>range</w:t>
      </w:r>
      <w:r w:rsidR="00082E0D">
        <w:t xml:space="preserve"> </w:t>
      </w:r>
      <w:r w:rsidR="00082E0D">
        <w:t>devices</w:t>
      </w:r>
      <w:r>
        <w:t>.</w:t>
      </w:r>
      <w:r>
        <w:rPr>
          <w:rStyle w:val="FootnoteReference"/>
          <w:szCs w:val="22"/>
        </w:rPr>
        <w:footnoteReference w:id="15"/>
      </w:r>
      <w:r w:rsidRPr="00063B69">
        <w:t xml:space="preserve">  </w:t>
      </w:r>
      <w:r w:rsidR="00530D4A">
        <w:t>In response</w:t>
      </w:r>
      <w:r w:rsidRPr="003069CE" w:rsidR="00530D4A">
        <w:t xml:space="preserve">, </w:t>
      </w:r>
      <w:r w:rsidRPr="00BB3358" w:rsidR="00530D4A">
        <w:rPr>
          <w:color w:val="000000" w:themeColor="text1"/>
          <w:szCs w:val="22"/>
        </w:rPr>
        <w:t xml:space="preserve">Google submitted simulations and measurement studies for the Soli </w:t>
      </w:r>
      <w:r w:rsidR="003D6032">
        <w:rPr>
          <w:color w:val="000000" w:themeColor="text1"/>
          <w:szCs w:val="22"/>
        </w:rPr>
        <w:t xml:space="preserve">sensor </w:t>
      </w:r>
      <w:r w:rsidRPr="00BB3358" w:rsidR="00530D4A">
        <w:rPr>
          <w:color w:val="000000" w:themeColor="text1"/>
          <w:szCs w:val="22"/>
        </w:rPr>
        <w:t>with various assumed power levels and duty cycles.</w:t>
      </w:r>
      <w:r>
        <w:rPr>
          <w:rStyle w:val="FootnoteReference"/>
          <w:color w:val="000000" w:themeColor="text1"/>
          <w:sz w:val="22"/>
          <w:szCs w:val="22"/>
        </w:rPr>
        <w:footnoteReference w:id="16"/>
      </w:r>
      <w:r w:rsidRPr="003069CE" w:rsidR="00530D4A">
        <w:rPr>
          <w:color w:val="000000" w:themeColor="text1"/>
          <w:szCs w:val="22"/>
        </w:rPr>
        <w:t xml:space="preserve">  </w:t>
      </w:r>
    </w:p>
    <w:p w:rsidR="00CD2EE7" w:rsidRPr="008E3E25" w:rsidP="0082506F" w14:paraId="0372A460" w14:textId="52388281">
      <w:pPr>
        <w:pStyle w:val="ParaNum"/>
      </w:pPr>
      <w:r w:rsidRPr="00DB07F5">
        <w:t>Google</w:t>
      </w:r>
      <w:r w:rsidR="008E3E25">
        <w:t>,</w:t>
      </w:r>
      <w:r w:rsidRPr="008E3E25">
        <w:t xml:space="preserve"> </w:t>
      </w:r>
      <w:r w:rsidR="009B02AC">
        <w:t xml:space="preserve">following discussions </w:t>
      </w:r>
      <w:r w:rsidR="008E3E25">
        <w:t xml:space="preserve">with </w:t>
      </w:r>
      <w:r w:rsidR="009D74A5">
        <w:t xml:space="preserve">interested </w:t>
      </w:r>
      <w:r w:rsidR="008E3E25">
        <w:t xml:space="preserve">parties, </w:t>
      </w:r>
      <w:r w:rsidR="009E15D6">
        <w:t xml:space="preserve">indicated that it could </w:t>
      </w:r>
      <w:r w:rsidR="00C42F80">
        <w:t xml:space="preserve">operate Soli </w:t>
      </w:r>
      <w:r w:rsidR="00F51089">
        <w:t xml:space="preserve">sensors </w:t>
      </w:r>
      <w:r w:rsidR="00C42F80">
        <w:t>under</w:t>
      </w:r>
      <w:r w:rsidR="009E15D6">
        <w:t xml:space="preserve"> a</w:t>
      </w:r>
      <w:r w:rsidR="008E3E25">
        <w:t xml:space="preserve"> waiver </w:t>
      </w:r>
      <w:r w:rsidR="009E15D6">
        <w:t>incorporating a lesser</w:t>
      </w:r>
      <w:r w:rsidR="009D74A5">
        <w:t xml:space="preserve"> peak power limit </w:t>
      </w:r>
      <w:r w:rsidR="00C479DA">
        <w:t xml:space="preserve">than sought in its waiver request </w:t>
      </w:r>
      <w:r w:rsidR="009D74A5">
        <w:t xml:space="preserve">and </w:t>
      </w:r>
      <w:r w:rsidR="00C479DA">
        <w:t xml:space="preserve">while adhering to </w:t>
      </w:r>
      <w:r w:rsidR="009D74A5">
        <w:t>a maximum duty cycle requirement.</w:t>
      </w:r>
      <w:r>
        <w:rPr>
          <w:rStyle w:val="FootnoteReference"/>
          <w:szCs w:val="22"/>
        </w:rPr>
        <w:footnoteReference w:id="17"/>
      </w:r>
      <w:r w:rsidR="009D74A5">
        <w:t xml:space="preserve">  </w:t>
      </w:r>
      <w:r w:rsidR="00617778">
        <w:t xml:space="preserve">The current request </w:t>
      </w:r>
      <w:r w:rsidRPr="008E3E25" w:rsidR="008579EB">
        <w:t xml:space="preserve">indicates that </w:t>
      </w:r>
      <w:r w:rsidRPr="009D74A5" w:rsidR="008579EB">
        <w:t xml:space="preserve">an acceptable </w:t>
      </w:r>
      <w:r w:rsidRPr="009F67A7" w:rsidR="008E3E25">
        <w:t>performance</w:t>
      </w:r>
      <w:r w:rsidRPr="008E3E25" w:rsidR="008E3E25">
        <w:t xml:space="preserve"> </w:t>
      </w:r>
      <w:r w:rsidRPr="008E3E25" w:rsidR="008579EB">
        <w:t xml:space="preserve">level </w:t>
      </w:r>
      <w:r w:rsidR="008E3E25">
        <w:t xml:space="preserve">can be achieved </w:t>
      </w:r>
      <w:r w:rsidRPr="009D74A5" w:rsidR="008579EB">
        <w:t xml:space="preserve">if </w:t>
      </w:r>
      <w:r w:rsidRPr="009D74A5" w:rsidR="00C07B60">
        <w:t>Soli</w:t>
      </w:r>
      <w:r w:rsidRPr="009D74A5">
        <w:t xml:space="preserve"> </w:t>
      </w:r>
      <w:r w:rsidR="00C479DA">
        <w:t xml:space="preserve">is permitted to </w:t>
      </w:r>
      <w:r w:rsidRPr="008E3E25" w:rsidR="00C479DA">
        <w:t>operate</w:t>
      </w:r>
      <w:r w:rsidRPr="009D74A5" w:rsidR="00C479DA">
        <w:t xml:space="preserve"> </w:t>
      </w:r>
      <w:r w:rsidRPr="009D74A5">
        <w:t xml:space="preserve">at a </w:t>
      </w:r>
      <w:r w:rsidR="00617778">
        <w:t xml:space="preserve">peak </w:t>
      </w:r>
      <w:r w:rsidRPr="009D74A5">
        <w:t xml:space="preserve">transmitter conducted output power of +10 dBm (instead of </w:t>
      </w:r>
      <w:r w:rsidRPr="009D74A5">
        <w:noBreakHyphen/>
        <w:t>10 dBm as permitted in our rules), and at a</w:t>
      </w:r>
      <w:r w:rsidRPr="009D74A5" w:rsidR="00EB2CF9">
        <w:t xml:space="preserve"> </w:t>
      </w:r>
      <w:r w:rsidR="00617778">
        <w:t xml:space="preserve">peak </w:t>
      </w:r>
      <w:r w:rsidRPr="009D74A5" w:rsidR="00EB2CF9">
        <w:t>EIRP level of +13</w:t>
      </w:r>
      <w:r w:rsidRPr="009D74A5">
        <w:t xml:space="preserve"> dBm (instead of +10 dBm as permitted in our rules); as well as a </w:t>
      </w:r>
      <w:r w:rsidR="00617778">
        <w:t xml:space="preserve">peak </w:t>
      </w:r>
      <w:r w:rsidRPr="009D74A5">
        <w:t>power spectral density (PSD) level of +13 dBm/</w:t>
      </w:r>
      <w:r w:rsidRPr="009D74A5">
        <w:t>MHz.</w:t>
      </w:r>
      <w:r>
        <w:rPr>
          <w:rStyle w:val="FootnoteReference"/>
        </w:rPr>
        <w:footnoteReference w:id="18"/>
      </w:r>
      <w:r w:rsidRPr="008E3E25">
        <w:t xml:space="preserve">  </w:t>
      </w:r>
      <w:r w:rsidR="00617778">
        <w:t>Google also states that it will limit the transmit duty cycle to 10</w:t>
      </w:r>
      <w:r w:rsidR="0050331B">
        <w:t xml:space="preserve"> </w:t>
      </w:r>
      <w:r w:rsidR="00FF5920">
        <w:t>percent</w:t>
      </w:r>
      <w:r w:rsidR="00617778">
        <w:t xml:space="preserve"> in any 33 millisecond interval</w:t>
      </w:r>
      <w:r w:rsidR="007B7F90">
        <w:t>.</w:t>
      </w:r>
      <w:r>
        <w:rPr>
          <w:rStyle w:val="FootnoteReference"/>
          <w:szCs w:val="22"/>
        </w:rPr>
        <w:footnoteReference w:id="19"/>
      </w:r>
      <w:r w:rsidR="00617778">
        <w:t xml:space="preserve">  </w:t>
      </w:r>
      <w:bookmarkEnd w:id="9"/>
    </w:p>
    <w:p w:rsidR="00CD2EE7" w:rsidRPr="00063B69" w:rsidP="00CD2EE7" w14:paraId="6018B5BD" w14:textId="77777777">
      <w:pPr>
        <w:pStyle w:val="Heading1"/>
        <w:tabs>
          <w:tab w:val="num" w:pos="720"/>
        </w:tabs>
        <w:rPr>
          <w:rFonts w:ascii="Times New Roman" w:hAnsi="Times New Roman"/>
          <w:color w:val="000000" w:themeColor="text1"/>
          <w:szCs w:val="22"/>
        </w:rPr>
      </w:pPr>
      <w:r w:rsidRPr="00063B69">
        <w:rPr>
          <w:rFonts w:ascii="Times New Roman" w:hAnsi="Times New Roman"/>
          <w:color w:val="000000" w:themeColor="text1"/>
          <w:szCs w:val="22"/>
        </w:rPr>
        <w:t>discussion</w:t>
      </w:r>
    </w:p>
    <w:p w:rsidR="0031068F" w:rsidRPr="00063B69" w:rsidP="00CD2EE7" w14:paraId="2F00FCB6" w14:textId="5CF3681A">
      <w:pPr>
        <w:pStyle w:val="ParaNum"/>
        <w:widowControl/>
        <w:autoSpaceDE w:val="0"/>
        <w:autoSpaceDN w:val="0"/>
        <w:adjustRightInd w:val="0"/>
        <w:rPr>
          <w:rStyle w:val="documentbody1"/>
          <w:rFonts w:ascii="Times New Roman" w:hAnsi="Times New Roman"/>
          <w:color w:val="000000" w:themeColor="text1"/>
          <w:sz w:val="22"/>
          <w:szCs w:val="22"/>
        </w:rPr>
      </w:pPr>
      <w:r w:rsidRPr="00063B69">
        <w:rPr>
          <w:color w:val="000000" w:themeColor="text1"/>
          <w:szCs w:val="22"/>
        </w:rPr>
        <w:t xml:space="preserve">We are authorized to grant a waiver under </w:t>
      </w:r>
      <w:r w:rsidRPr="00063B69" w:rsidR="006617E1">
        <w:rPr>
          <w:color w:val="000000" w:themeColor="text1"/>
          <w:szCs w:val="22"/>
        </w:rPr>
        <w:t xml:space="preserve">section </w:t>
      </w:r>
      <w:r w:rsidRPr="00063B69">
        <w:rPr>
          <w:color w:val="000000" w:themeColor="text1"/>
          <w:szCs w:val="22"/>
        </w:rPr>
        <w:t>1.3 of the Commission</w:t>
      </w:r>
      <w:r w:rsidR="00C74F4C">
        <w:rPr>
          <w:color w:val="000000" w:themeColor="text1"/>
          <w:szCs w:val="22"/>
        </w:rPr>
        <w:t>’</w:t>
      </w:r>
      <w:r w:rsidRPr="00063B69">
        <w:rPr>
          <w:color w:val="000000" w:themeColor="text1"/>
          <w:szCs w:val="22"/>
        </w:rPr>
        <w:t>s rules if the petitioner demonstrates good cause for such action.</w:t>
      </w:r>
      <w:r>
        <w:rPr>
          <w:rStyle w:val="FootnoteReference"/>
          <w:color w:val="000000" w:themeColor="text1"/>
          <w:sz w:val="22"/>
          <w:szCs w:val="22"/>
        </w:rPr>
        <w:footnoteReference w:id="20"/>
      </w:r>
      <w:r w:rsidRPr="00063B69">
        <w:rPr>
          <w:color w:val="000000" w:themeColor="text1"/>
          <w:szCs w:val="22"/>
        </w:rPr>
        <w:t xml:space="preserve">  Good cause, in turn, may be found and a waiver granted “where particular facts would make strict compliance inconsistent with the public interest.”</w:t>
      </w:r>
      <w:r>
        <w:rPr>
          <w:rStyle w:val="FootnoteReference"/>
          <w:color w:val="000000" w:themeColor="text1"/>
          <w:sz w:val="22"/>
          <w:szCs w:val="22"/>
        </w:rPr>
        <w:footnoteReference w:id="21"/>
      </w:r>
      <w:r w:rsidRPr="00063B69">
        <w:rPr>
          <w:color w:val="000000" w:themeColor="text1"/>
          <w:szCs w:val="22"/>
        </w:rPr>
        <w:t xml:space="preserve">  To satisfy this public interest requirement, the waiver cannot undermine the purposes of the rule, and there must be a stronger public interest benefit in granting the waiver than in applying the rule.</w:t>
      </w:r>
      <w:r>
        <w:rPr>
          <w:rStyle w:val="FootnoteReference"/>
          <w:color w:val="000000" w:themeColor="text1"/>
          <w:sz w:val="22"/>
          <w:szCs w:val="22"/>
        </w:rPr>
        <w:footnoteReference w:id="22"/>
      </w:r>
      <w:r w:rsidRPr="00063B69">
        <w:rPr>
          <w:color w:val="000000" w:themeColor="text1"/>
          <w:szCs w:val="22"/>
        </w:rPr>
        <w:t xml:space="preserve">  </w:t>
      </w:r>
      <w:r w:rsidRPr="00063B69" w:rsidR="002B7F3A">
        <w:rPr>
          <w:color w:val="000000" w:themeColor="text1"/>
          <w:szCs w:val="22"/>
        </w:rPr>
        <w:t>We find that allowing Google Soli sensor</w:t>
      </w:r>
      <w:r w:rsidR="002B7F3A">
        <w:rPr>
          <w:color w:val="000000" w:themeColor="text1"/>
          <w:szCs w:val="22"/>
        </w:rPr>
        <w:t>s</w:t>
      </w:r>
      <w:r w:rsidRPr="00063B69" w:rsidR="002B7F3A">
        <w:rPr>
          <w:color w:val="000000" w:themeColor="text1"/>
          <w:szCs w:val="22"/>
        </w:rPr>
        <w:t xml:space="preserve"> to operate at </w:t>
      </w:r>
      <w:r w:rsidR="002B7F3A">
        <w:rPr>
          <w:color w:val="000000" w:themeColor="text1"/>
          <w:szCs w:val="22"/>
        </w:rPr>
        <w:t>the</w:t>
      </w:r>
      <w:r w:rsidRPr="00063B69" w:rsidR="002B7F3A">
        <w:rPr>
          <w:color w:val="000000" w:themeColor="text1"/>
          <w:szCs w:val="22"/>
        </w:rPr>
        <w:t xml:space="preserve"> </w:t>
      </w:r>
      <w:r w:rsidR="002B7F3A">
        <w:rPr>
          <w:color w:val="000000" w:themeColor="text1"/>
          <w:szCs w:val="22"/>
        </w:rPr>
        <w:t xml:space="preserve">requested </w:t>
      </w:r>
      <w:r w:rsidRPr="00063B69" w:rsidR="002B7F3A">
        <w:rPr>
          <w:color w:val="000000" w:themeColor="text1"/>
          <w:szCs w:val="22"/>
        </w:rPr>
        <w:t xml:space="preserve">power levels will not materially change the operating environment in </w:t>
      </w:r>
      <w:r w:rsidR="002B7F3A">
        <w:rPr>
          <w:color w:val="000000" w:themeColor="text1"/>
          <w:szCs w:val="22"/>
        </w:rPr>
        <w:t xml:space="preserve">the 57-64 GHz band </w:t>
      </w:r>
      <w:r w:rsidRPr="00063B69" w:rsidR="002B7F3A">
        <w:rPr>
          <w:color w:val="000000" w:themeColor="text1"/>
          <w:szCs w:val="22"/>
        </w:rPr>
        <w:t xml:space="preserve">such that there would be an increase in potential harmful interference to </w:t>
      </w:r>
      <w:r w:rsidR="002B7F3A">
        <w:rPr>
          <w:color w:val="000000" w:themeColor="text1"/>
          <w:szCs w:val="22"/>
        </w:rPr>
        <w:t>other users in the band</w:t>
      </w:r>
      <w:r w:rsidRPr="00063B69" w:rsidR="002B7F3A">
        <w:rPr>
          <w:color w:val="000000" w:themeColor="text1"/>
          <w:szCs w:val="22"/>
        </w:rPr>
        <w:t>, and that the higher power Google Soli device will be able to cooperatively share this spectrum</w:t>
      </w:r>
      <w:r w:rsidR="002B7F3A">
        <w:rPr>
          <w:color w:val="000000" w:themeColor="text1"/>
          <w:szCs w:val="22"/>
        </w:rPr>
        <w:t xml:space="preserve"> with all users.</w:t>
      </w:r>
      <w:r w:rsidRPr="00063B69" w:rsidR="002B7F3A">
        <w:rPr>
          <w:color w:val="000000" w:themeColor="text1"/>
          <w:szCs w:val="22"/>
        </w:rPr>
        <w:t xml:space="preserve">  </w:t>
      </w:r>
      <w:r w:rsidR="002B7F3A">
        <w:rPr>
          <w:color w:val="000000" w:themeColor="text1"/>
          <w:szCs w:val="22"/>
        </w:rPr>
        <w:t xml:space="preserve">Thus, </w:t>
      </w:r>
      <w:r w:rsidR="002B7F3A">
        <w:rPr>
          <w:rStyle w:val="documentbody1"/>
          <w:rFonts w:ascii="Times New Roman" w:hAnsi="Times New Roman"/>
          <w:color w:val="000000" w:themeColor="text1"/>
          <w:sz w:val="22"/>
          <w:szCs w:val="22"/>
        </w:rPr>
        <w:t>w</w:t>
      </w:r>
      <w:r w:rsidRPr="00063B69" w:rsidR="002B7F3A">
        <w:rPr>
          <w:rStyle w:val="documentbody1"/>
          <w:rFonts w:ascii="Times New Roman" w:hAnsi="Times New Roman"/>
          <w:color w:val="000000" w:themeColor="text1"/>
          <w:sz w:val="22"/>
          <w:szCs w:val="22"/>
        </w:rPr>
        <w:t xml:space="preserve">e </w:t>
      </w:r>
      <w:r w:rsidRPr="00063B69" w:rsidR="00D360CF">
        <w:rPr>
          <w:rStyle w:val="documentbody1"/>
          <w:rFonts w:ascii="Times New Roman" w:hAnsi="Times New Roman"/>
          <w:color w:val="000000" w:themeColor="text1"/>
          <w:sz w:val="22"/>
          <w:szCs w:val="22"/>
        </w:rPr>
        <w:t xml:space="preserve">find that </w:t>
      </w:r>
      <w:r w:rsidR="00720D38">
        <w:rPr>
          <w:rStyle w:val="documentbody1"/>
          <w:rFonts w:ascii="Times New Roman" w:hAnsi="Times New Roman"/>
          <w:color w:val="000000" w:themeColor="text1"/>
          <w:sz w:val="22"/>
          <w:szCs w:val="22"/>
        </w:rPr>
        <w:t xml:space="preserve">the waiver </w:t>
      </w:r>
      <w:r w:rsidRPr="00063B69" w:rsidR="00D360CF">
        <w:rPr>
          <w:rStyle w:val="documentbody1"/>
          <w:rFonts w:ascii="Times New Roman" w:hAnsi="Times New Roman"/>
          <w:color w:val="000000" w:themeColor="text1"/>
          <w:sz w:val="22"/>
          <w:szCs w:val="22"/>
        </w:rPr>
        <w:t>standard has been met.</w:t>
      </w:r>
    </w:p>
    <w:p w:rsidR="00D51FD6" w:rsidRPr="001716A5" w:rsidP="00EC7860" w14:paraId="53EB9EEB" w14:textId="33D1275C">
      <w:pPr>
        <w:pStyle w:val="ParaNum"/>
      </w:pPr>
      <w:r w:rsidRPr="00F87F0F">
        <w:rPr>
          <w:color w:val="000000" w:themeColor="text1"/>
          <w:szCs w:val="22"/>
        </w:rPr>
        <w:t>Commenters</w:t>
      </w:r>
      <w:r w:rsidR="007B7F90">
        <w:rPr>
          <w:color w:val="000000" w:themeColor="text1"/>
          <w:szCs w:val="22"/>
        </w:rPr>
        <w:t>’</w:t>
      </w:r>
      <w:r w:rsidRPr="00F87F0F">
        <w:rPr>
          <w:color w:val="000000" w:themeColor="text1"/>
          <w:szCs w:val="22"/>
        </w:rPr>
        <w:t xml:space="preserve"> concern regarding </w:t>
      </w:r>
      <w:r w:rsidRPr="00F87F0F" w:rsidR="000B7503">
        <w:rPr>
          <w:color w:val="000000" w:themeColor="text1"/>
          <w:szCs w:val="22"/>
        </w:rPr>
        <w:t xml:space="preserve">Soli’s originally proposed </w:t>
      </w:r>
      <w:r w:rsidRPr="00F87F0F" w:rsidR="00FD1408">
        <w:rPr>
          <w:color w:val="000000" w:themeColor="text1"/>
          <w:szCs w:val="22"/>
        </w:rPr>
        <w:t xml:space="preserve">operations </w:t>
      </w:r>
      <w:r w:rsidR="007B7F90">
        <w:rPr>
          <w:color w:val="000000" w:themeColor="text1"/>
          <w:szCs w:val="22"/>
        </w:rPr>
        <w:t xml:space="preserve">fall </w:t>
      </w:r>
      <w:r w:rsidRPr="00F87F0F">
        <w:rPr>
          <w:color w:val="000000" w:themeColor="text1"/>
          <w:szCs w:val="22"/>
        </w:rPr>
        <w:t xml:space="preserve">along </w:t>
      </w:r>
      <w:r w:rsidRPr="00F87F0F" w:rsidR="00FD1408">
        <w:rPr>
          <w:color w:val="000000" w:themeColor="text1"/>
          <w:szCs w:val="22"/>
        </w:rPr>
        <w:t xml:space="preserve">two broad categories:  the </w:t>
      </w:r>
      <w:r w:rsidRPr="00F87F0F" w:rsidR="006A4EC8">
        <w:rPr>
          <w:color w:val="000000" w:themeColor="text1"/>
          <w:szCs w:val="22"/>
        </w:rPr>
        <w:t xml:space="preserve">sensor’s </w:t>
      </w:r>
      <w:r w:rsidRPr="00F87F0F" w:rsidR="00FD1408">
        <w:rPr>
          <w:color w:val="000000" w:themeColor="text1"/>
          <w:szCs w:val="22"/>
        </w:rPr>
        <w:t xml:space="preserve">potential to affect passive service operations </w:t>
      </w:r>
      <w:r w:rsidRPr="00F87F0F" w:rsidR="001716A5">
        <w:rPr>
          <w:color w:val="000000" w:themeColor="text1"/>
          <w:szCs w:val="22"/>
        </w:rPr>
        <w:t>when operating on-board aircraft</w:t>
      </w:r>
      <w:r>
        <w:rPr>
          <w:rStyle w:val="FootnoteReference"/>
          <w:szCs w:val="22"/>
        </w:rPr>
        <w:footnoteReference w:id="23"/>
      </w:r>
      <w:r w:rsidRPr="007029D5" w:rsidR="001716A5">
        <w:rPr>
          <w:color w:val="000000" w:themeColor="text1"/>
          <w:szCs w:val="22"/>
        </w:rPr>
        <w:t xml:space="preserve"> </w:t>
      </w:r>
      <w:r w:rsidRPr="007029D5" w:rsidR="00FD1408">
        <w:rPr>
          <w:color w:val="000000" w:themeColor="text1"/>
          <w:szCs w:val="22"/>
        </w:rPr>
        <w:t xml:space="preserve">and </w:t>
      </w:r>
      <w:r w:rsidRPr="007029D5" w:rsidR="00E6405D">
        <w:rPr>
          <w:color w:val="000000" w:themeColor="text1"/>
          <w:szCs w:val="22"/>
        </w:rPr>
        <w:t>its ab</w:t>
      </w:r>
      <w:r w:rsidRPr="00F87F0F" w:rsidR="00E6405D">
        <w:rPr>
          <w:color w:val="000000" w:themeColor="text1"/>
          <w:szCs w:val="22"/>
        </w:rPr>
        <w:t xml:space="preserve">ility to </w:t>
      </w:r>
      <w:r w:rsidRPr="00F87F0F" w:rsidR="00FD1408">
        <w:rPr>
          <w:color w:val="000000" w:themeColor="text1"/>
          <w:szCs w:val="22"/>
        </w:rPr>
        <w:t>coexist with other unlicensed devices operating in the band.</w:t>
      </w:r>
      <w:r>
        <w:rPr>
          <w:rStyle w:val="FootnoteReference"/>
          <w:szCs w:val="22"/>
        </w:rPr>
        <w:footnoteReference w:id="24"/>
      </w:r>
      <w:r w:rsidRPr="007029D5" w:rsidR="00FD1408">
        <w:rPr>
          <w:color w:val="000000" w:themeColor="text1"/>
          <w:szCs w:val="22"/>
        </w:rPr>
        <w:t xml:space="preserve">  </w:t>
      </w:r>
      <w:bookmarkStart w:id="10" w:name="_Ref527707967"/>
      <w:bookmarkStart w:id="11" w:name="_Ref518547224"/>
      <w:r w:rsidRPr="00F87F0F" w:rsidR="00712313">
        <w:rPr>
          <w:snapToGrid/>
        </w:rPr>
        <w:t>Specifically</w:t>
      </w:r>
      <w:r w:rsidRPr="00F87F0F" w:rsidR="00530D4A">
        <w:rPr>
          <w:snapToGrid/>
        </w:rPr>
        <w:t>,</w:t>
      </w:r>
      <w:r w:rsidRPr="00F87F0F" w:rsidR="00712313">
        <w:rPr>
          <w:snapToGrid/>
        </w:rPr>
        <w:t xml:space="preserve"> </w:t>
      </w:r>
      <w:r w:rsidR="00712313">
        <w:t>t</w:t>
      </w:r>
      <w:r w:rsidRPr="00116970" w:rsidR="0050104B">
        <w:t>he National Academy of Sciences’ Committee on Radio Frequencies (</w:t>
      </w:r>
      <w:r w:rsidRPr="007029D5" w:rsidR="00CB0432">
        <w:rPr>
          <w:snapToGrid/>
        </w:rPr>
        <w:t>CORF</w:t>
      </w:r>
      <w:r w:rsidRPr="007029D5" w:rsidR="0050104B">
        <w:rPr>
          <w:snapToGrid/>
        </w:rPr>
        <w:t>)</w:t>
      </w:r>
      <w:r w:rsidRPr="007029D5" w:rsidR="00CB0432">
        <w:rPr>
          <w:snapToGrid/>
        </w:rPr>
        <w:t xml:space="preserve"> </w:t>
      </w:r>
      <w:r w:rsidRPr="00F87F0F" w:rsidR="00EC7860">
        <w:rPr>
          <w:snapToGrid/>
        </w:rPr>
        <w:t xml:space="preserve">urges the Commission to </w:t>
      </w:r>
      <w:r w:rsidRPr="00F87F0F" w:rsidR="00EC7860">
        <w:rPr>
          <w:bCs/>
          <w:snapToGrid/>
          <w:color w:val="000000" w:themeColor="text1"/>
          <w:kern w:val="0"/>
          <w:szCs w:val="22"/>
        </w:rPr>
        <w:t>prohibit waiver-based transmissions at 57-59.3 GHz</w:t>
      </w:r>
      <w:r w:rsidRPr="00F87F0F" w:rsidR="00530D4A">
        <w:rPr>
          <w:bCs/>
          <w:snapToGrid/>
          <w:color w:val="000000" w:themeColor="text1"/>
          <w:kern w:val="0"/>
          <w:szCs w:val="22"/>
        </w:rPr>
        <w:t xml:space="preserve"> band,</w:t>
      </w:r>
      <w:r w:rsidRPr="00F87F0F" w:rsidR="00EC7860">
        <w:rPr>
          <w:bCs/>
          <w:snapToGrid/>
          <w:color w:val="000000" w:themeColor="text1"/>
          <w:kern w:val="0"/>
          <w:szCs w:val="22"/>
        </w:rPr>
        <w:t xml:space="preserve"> </w:t>
      </w:r>
      <w:r w:rsidR="006A4EC8">
        <w:rPr>
          <w:bCs/>
          <w:snapToGrid/>
          <w:color w:val="000000" w:themeColor="text1"/>
          <w:kern w:val="0"/>
          <w:szCs w:val="22"/>
        </w:rPr>
        <w:t xml:space="preserve">because the band is used by </w:t>
      </w:r>
      <w:r w:rsidRPr="007029D5" w:rsidR="00930851">
        <w:rPr>
          <w:bCs/>
          <w:snapToGrid/>
          <w:color w:val="000000" w:themeColor="text1"/>
          <w:kern w:val="0"/>
          <w:szCs w:val="22"/>
        </w:rPr>
        <w:t xml:space="preserve">EESS </w:t>
      </w:r>
      <w:r w:rsidRPr="00F87F0F" w:rsidR="00EC7860">
        <w:rPr>
          <w:bCs/>
          <w:snapToGrid/>
          <w:color w:val="000000" w:themeColor="text1"/>
          <w:kern w:val="0"/>
          <w:szCs w:val="22"/>
        </w:rPr>
        <w:t>to gather atmospheric temperature data for weather forecasting.</w:t>
      </w:r>
      <w:r>
        <w:rPr>
          <w:rStyle w:val="FootnoteReference"/>
          <w:color w:val="000000" w:themeColor="text1"/>
          <w:sz w:val="22"/>
          <w:szCs w:val="22"/>
        </w:rPr>
        <w:footnoteReference w:id="25"/>
      </w:r>
      <w:r w:rsidRPr="007029D5" w:rsidR="00EC7860">
        <w:rPr>
          <w:bCs/>
          <w:snapToGrid/>
          <w:color w:val="000000" w:themeColor="text1"/>
          <w:kern w:val="0"/>
          <w:szCs w:val="22"/>
        </w:rPr>
        <w:t xml:space="preserve"> </w:t>
      </w:r>
      <w:r w:rsidRPr="007029D5" w:rsidR="00F00023">
        <w:rPr>
          <w:bCs/>
          <w:snapToGrid/>
          <w:color w:val="000000" w:themeColor="text1"/>
          <w:kern w:val="0"/>
          <w:szCs w:val="22"/>
        </w:rPr>
        <w:t xml:space="preserve"> CORF argues that the sharing studies conducted when the Commission previously allowed usage </w:t>
      </w:r>
      <w:r w:rsidRPr="00F87F0F" w:rsidR="00331F2F">
        <w:rPr>
          <w:bCs/>
          <w:snapToGrid/>
          <w:color w:val="000000" w:themeColor="text1"/>
          <w:kern w:val="0"/>
          <w:szCs w:val="22"/>
        </w:rPr>
        <w:t xml:space="preserve">of the 57-64 GHz band on aircraft </w:t>
      </w:r>
      <w:r w:rsidRPr="00F87F0F" w:rsidR="00F00023">
        <w:rPr>
          <w:bCs/>
          <w:snapToGrid/>
          <w:color w:val="000000" w:themeColor="text1"/>
          <w:kern w:val="0"/>
          <w:szCs w:val="22"/>
        </w:rPr>
        <w:t xml:space="preserve">contemplated the majority of transmissions </w:t>
      </w:r>
      <w:r w:rsidR="00C479DA">
        <w:rPr>
          <w:bCs/>
          <w:snapToGrid/>
          <w:color w:val="000000" w:themeColor="text1"/>
          <w:kern w:val="0"/>
          <w:szCs w:val="22"/>
        </w:rPr>
        <w:t xml:space="preserve">emanating </w:t>
      </w:r>
      <w:r w:rsidRPr="00F87F0F" w:rsidR="00F00023">
        <w:rPr>
          <w:bCs/>
          <w:snapToGrid/>
          <w:color w:val="000000" w:themeColor="text1"/>
          <w:kern w:val="0"/>
          <w:szCs w:val="22"/>
        </w:rPr>
        <w:t xml:space="preserve">from ceiling mounted access points which would limit </w:t>
      </w:r>
      <w:r w:rsidRPr="00F87F0F">
        <w:rPr>
          <w:bCs/>
          <w:snapToGrid/>
          <w:color w:val="000000" w:themeColor="text1"/>
          <w:kern w:val="0"/>
          <w:szCs w:val="22"/>
        </w:rPr>
        <w:t xml:space="preserve">transmissions through unshielded </w:t>
      </w:r>
      <w:r w:rsidR="00082E0D">
        <w:rPr>
          <w:bCs/>
          <w:snapToGrid/>
          <w:color w:val="000000" w:themeColor="text1"/>
          <w:kern w:val="0"/>
          <w:szCs w:val="22"/>
        </w:rPr>
        <w:t xml:space="preserve">aircraft </w:t>
      </w:r>
      <w:r w:rsidRPr="00F87F0F">
        <w:rPr>
          <w:bCs/>
          <w:snapToGrid/>
          <w:color w:val="000000" w:themeColor="text1"/>
          <w:kern w:val="0"/>
          <w:szCs w:val="22"/>
        </w:rPr>
        <w:t>windows</w:t>
      </w:r>
      <w:r w:rsidRPr="000A1333">
        <w:rPr>
          <w:bCs/>
          <w:snapToGrid/>
          <w:color w:val="000000" w:themeColor="text1"/>
          <w:kern w:val="0"/>
          <w:szCs w:val="22"/>
        </w:rPr>
        <w:t>.</w:t>
      </w:r>
      <w:r>
        <w:rPr>
          <w:rStyle w:val="FootnoteReference"/>
          <w:bCs/>
          <w:snapToGrid/>
          <w:kern w:val="0"/>
          <w:szCs w:val="22"/>
        </w:rPr>
        <w:footnoteReference w:id="26"/>
      </w:r>
      <w:r w:rsidRPr="000A1333">
        <w:rPr>
          <w:bCs/>
          <w:snapToGrid/>
          <w:color w:val="000000" w:themeColor="text1"/>
          <w:kern w:val="0"/>
          <w:szCs w:val="22"/>
        </w:rPr>
        <w:t xml:space="preserve"> </w:t>
      </w:r>
      <w:r w:rsidRPr="000A1333" w:rsidR="006A4EC8">
        <w:rPr>
          <w:bCs/>
          <w:snapToGrid/>
          <w:color w:val="000000" w:themeColor="text1"/>
          <w:kern w:val="0"/>
          <w:szCs w:val="22"/>
        </w:rPr>
        <w:t xml:space="preserve"> </w:t>
      </w:r>
      <w:r w:rsidRPr="00BB3358" w:rsidR="006A4EC8">
        <w:rPr>
          <w:bCs/>
          <w:snapToGrid/>
          <w:color w:val="000000" w:themeColor="text1"/>
          <w:kern w:val="0"/>
          <w:szCs w:val="22"/>
        </w:rPr>
        <w:t>F</w:t>
      </w:r>
      <w:r w:rsidRPr="000A1333">
        <w:rPr>
          <w:bCs/>
          <w:snapToGrid/>
          <w:color w:val="000000" w:themeColor="text1"/>
          <w:kern w:val="0"/>
          <w:szCs w:val="22"/>
        </w:rPr>
        <w:t>urther</w:t>
      </w:r>
      <w:r w:rsidRPr="00BB3358" w:rsidR="006A4EC8">
        <w:rPr>
          <w:bCs/>
          <w:snapToGrid/>
          <w:color w:val="000000" w:themeColor="text1"/>
          <w:kern w:val="0"/>
          <w:szCs w:val="22"/>
        </w:rPr>
        <w:t>,</w:t>
      </w:r>
      <w:r w:rsidRPr="000A1333">
        <w:rPr>
          <w:bCs/>
          <w:snapToGrid/>
          <w:color w:val="000000" w:themeColor="text1"/>
          <w:kern w:val="0"/>
          <w:szCs w:val="22"/>
        </w:rPr>
        <w:t xml:space="preserve"> </w:t>
      </w:r>
      <w:r w:rsidRPr="00BB3358" w:rsidR="006A4EC8">
        <w:rPr>
          <w:bCs/>
          <w:snapToGrid/>
          <w:color w:val="000000" w:themeColor="text1"/>
          <w:kern w:val="0"/>
          <w:szCs w:val="22"/>
        </w:rPr>
        <w:t>CORF argue</w:t>
      </w:r>
      <w:r w:rsidR="003D6032">
        <w:rPr>
          <w:bCs/>
          <w:snapToGrid/>
          <w:color w:val="000000" w:themeColor="text1"/>
          <w:kern w:val="0"/>
          <w:szCs w:val="22"/>
        </w:rPr>
        <w:t>s</w:t>
      </w:r>
      <w:r w:rsidRPr="00BB3358" w:rsidR="006A4EC8">
        <w:rPr>
          <w:bCs/>
          <w:snapToGrid/>
          <w:color w:val="000000" w:themeColor="text1"/>
          <w:kern w:val="0"/>
          <w:szCs w:val="22"/>
        </w:rPr>
        <w:t xml:space="preserve"> </w:t>
      </w:r>
      <w:r w:rsidRPr="000A1333">
        <w:rPr>
          <w:bCs/>
          <w:snapToGrid/>
          <w:color w:val="000000" w:themeColor="text1"/>
          <w:kern w:val="0"/>
          <w:szCs w:val="22"/>
        </w:rPr>
        <w:t xml:space="preserve">that this situation is even more critical given Google’s </w:t>
      </w:r>
      <w:r w:rsidRPr="00BB3358" w:rsidR="006A4EC8">
        <w:rPr>
          <w:bCs/>
          <w:snapToGrid/>
          <w:color w:val="000000" w:themeColor="text1"/>
          <w:kern w:val="0"/>
          <w:szCs w:val="22"/>
        </w:rPr>
        <w:t xml:space="preserve">originally </w:t>
      </w:r>
      <w:r w:rsidRPr="000A1333">
        <w:rPr>
          <w:bCs/>
          <w:snapToGrid/>
          <w:color w:val="000000" w:themeColor="text1"/>
          <w:kern w:val="0"/>
          <w:szCs w:val="22"/>
        </w:rPr>
        <w:t xml:space="preserve">requested power increase of 10 </w:t>
      </w:r>
      <w:r w:rsidRPr="000A1333">
        <w:rPr>
          <w:bCs/>
          <w:snapToGrid/>
          <w:color w:val="000000" w:themeColor="text1"/>
          <w:kern w:val="0"/>
          <w:szCs w:val="22"/>
        </w:rPr>
        <w:t>dB.</w:t>
      </w:r>
      <w:r>
        <w:rPr>
          <w:rStyle w:val="FootnoteReference"/>
          <w:bCs/>
          <w:snapToGrid/>
          <w:kern w:val="0"/>
          <w:szCs w:val="22"/>
        </w:rPr>
        <w:footnoteReference w:id="27"/>
      </w:r>
      <w:r w:rsidRPr="00BB3358" w:rsidR="006A4EC8">
        <w:rPr>
          <w:bCs/>
          <w:snapToGrid/>
          <w:color w:val="000000" w:themeColor="text1"/>
          <w:kern w:val="0"/>
          <w:szCs w:val="22"/>
        </w:rPr>
        <w:t xml:space="preserve">  </w:t>
      </w:r>
      <w:r w:rsidRPr="00BB3358" w:rsidR="00F87F0F">
        <w:rPr>
          <w:bCs/>
          <w:snapToGrid/>
          <w:color w:val="000000" w:themeColor="text1"/>
          <w:kern w:val="0"/>
          <w:szCs w:val="22"/>
        </w:rPr>
        <w:t xml:space="preserve">Similarly, </w:t>
      </w:r>
      <w:r w:rsidRPr="000A1333" w:rsidR="00F87F0F">
        <w:rPr>
          <w:color w:val="000000" w:themeColor="text1"/>
          <w:szCs w:val="22"/>
        </w:rPr>
        <w:t xml:space="preserve">NRAO expresses concern over the potential harmful interference to </w:t>
      </w:r>
      <w:r w:rsidRPr="000A1333" w:rsidR="00F87F0F">
        <w:rPr>
          <w:snapToGrid/>
          <w:color w:val="000000" w:themeColor="text1"/>
          <w:kern w:val="0"/>
          <w:szCs w:val="22"/>
        </w:rPr>
        <w:t>passive RAS operations at 114.25</w:t>
      </w:r>
      <w:r w:rsidRPr="000A1333" w:rsidR="00F87F0F">
        <w:rPr>
          <w:snapToGrid/>
          <w:color w:val="000000" w:themeColor="text1"/>
          <w:kern w:val="0"/>
          <w:szCs w:val="22"/>
        </w:rPr>
        <w:noBreakHyphen/>
        <w:t xml:space="preserve">116 GHz and 226–231.5 GHz bands caused by </w:t>
      </w:r>
      <w:r w:rsidRPr="000A1333" w:rsidR="00F87F0F">
        <w:rPr>
          <w:color w:val="000000" w:themeColor="text1"/>
          <w:szCs w:val="22"/>
        </w:rPr>
        <w:t>the second and fourth harmonics</w:t>
      </w:r>
      <w:r>
        <w:rPr>
          <w:rStyle w:val="FootnoteReference"/>
          <w:szCs w:val="22"/>
        </w:rPr>
        <w:footnoteReference w:id="28"/>
      </w:r>
      <w:r w:rsidRPr="000A1333" w:rsidR="00F87F0F">
        <w:rPr>
          <w:color w:val="000000" w:themeColor="text1"/>
          <w:szCs w:val="22"/>
        </w:rPr>
        <w:t xml:space="preserve"> of Soli transmissions in the 57-</w:t>
      </w:r>
      <w:r w:rsidR="00F87F0F">
        <w:rPr>
          <w:color w:val="000000" w:themeColor="text1"/>
          <w:szCs w:val="22"/>
        </w:rPr>
        <w:t>64 GHz band</w:t>
      </w:r>
      <w:r w:rsidR="007029D5">
        <w:rPr>
          <w:color w:val="000000" w:themeColor="text1"/>
          <w:szCs w:val="22"/>
        </w:rPr>
        <w:t>,</w:t>
      </w:r>
      <w:r w:rsidR="00F87F0F">
        <w:rPr>
          <w:color w:val="000000" w:themeColor="text1"/>
          <w:szCs w:val="22"/>
        </w:rPr>
        <w:t xml:space="preserve"> when </w:t>
      </w:r>
      <w:r w:rsidRPr="00B6312F" w:rsidR="00F87F0F">
        <w:rPr>
          <w:color w:val="000000" w:themeColor="text1"/>
          <w:szCs w:val="22"/>
        </w:rPr>
        <w:t>used on</w:t>
      </w:r>
      <w:r w:rsidRPr="00B6312F" w:rsidR="00F87F0F">
        <w:rPr>
          <w:color w:val="000000" w:themeColor="text1"/>
          <w:szCs w:val="22"/>
        </w:rPr>
        <w:noBreakHyphen/>
        <w:t>board aircraft.</w:t>
      </w:r>
      <w:r>
        <w:rPr>
          <w:rStyle w:val="FootnoteReference"/>
          <w:color w:val="000000" w:themeColor="text1"/>
          <w:sz w:val="22"/>
          <w:szCs w:val="22"/>
        </w:rPr>
        <w:footnoteReference w:id="29"/>
      </w:r>
      <w:r w:rsidRPr="002C204F" w:rsidR="00F87F0F">
        <w:rPr>
          <w:color w:val="000000" w:themeColor="text1"/>
          <w:szCs w:val="22"/>
        </w:rPr>
        <w:t xml:space="preserve">  </w:t>
      </w:r>
      <w:r w:rsidRPr="002C204F" w:rsidR="007029D5">
        <w:rPr>
          <w:snapToGrid/>
        </w:rPr>
        <w:t xml:space="preserve">NRAO </w:t>
      </w:r>
      <w:r w:rsidR="007029D5">
        <w:rPr>
          <w:snapToGrid/>
        </w:rPr>
        <w:t xml:space="preserve">claims </w:t>
      </w:r>
      <w:r w:rsidRPr="002C204F" w:rsidR="007029D5">
        <w:rPr>
          <w:snapToGrid/>
        </w:rPr>
        <w:t>that the Commission</w:t>
      </w:r>
      <w:r w:rsidR="007029D5">
        <w:rPr>
          <w:snapToGrid/>
        </w:rPr>
        <w:t xml:space="preserve"> should restrict airborne use of the Soli devices since it has already</w:t>
      </w:r>
      <w:r w:rsidRPr="002C204F" w:rsidR="007029D5">
        <w:rPr>
          <w:snapToGrid/>
        </w:rPr>
        <w:t xml:space="preserve"> restricted 60 GHz devices from airborne use</w:t>
      </w:r>
      <w:r w:rsidR="007029D5">
        <w:rPr>
          <w:snapToGrid/>
        </w:rPr>
        <w:t>.</w:t>
      </w:r>
      <w:r>
        <w:rPr>
          <w:rStyle w:val="FootnoteReference"/>
          <w:snapToGrid/>
        </w:rPr>
        <w:footnoteReference w:id="30"/>
      </w:r>
    </w:p>
    <w:p w:rsidR="001F4249" w:rsidRPr="00C51813" w:rsidP="00EC7860" w14:paraId="113C7E2E" w14:textId="56995BEA">
      <w:pPr>
        <w:pStyle w:val="ParaNum"/>
      </w:pPr>
      <w:r>
        <w:t xml:space="preserve">These concerns are misplaced.  </w:t>
      </w:r>
      <w:r>
        <w:t xml:space="preserve">As an initial matter, Google </w:t>
      </w:r>
      <w:r w:rsidR="005F2AD3">
        <w:t xml:space="preserve">has indicated that </w:t>
      </w:r>
      <w:r w:rsidR="009E1ECE">
        <w:t xml:space="preserve">it would </w:t>
      </w:r>
      <w:r>
        <w:t xml:space="preserve">seek only a </w:t>
      </w:r>
      <w:r w:rsidR="00C948E9">
        <w:t>3</w:t>
      </w:r>
      <w:r w:rsidR="00F42746">
        <w:t xml:space="preserve"> </w:t>
      </w:r>
      <w:r>
        <w:t xml:space="preserve">dB increase in radiated power, rather than 10 </w:t>
      </w:r>
      <w:r>
        <w:t>dB.</w:t>
      </w:r>
      <w:r>
        <w:rPr>
          <w:rStyle w:val="FootnoteReference"/>
        </w:rPr>
        <w:footnoteReference w:id="31"/>
      </w:r>
      <w:r>
        <w:t xml:space="preserve">  </w:t>
      </w:r>
      <w:r w:rsidR="007029D5">
        <w:t>In addition, Google provide</w:t>
      </w:r>
      <w:r w:rsidR="00EF6D18">
        <w:t>s</w:t>
      </w:r>
      <w:r w:rsidR="007029D5">
        <w:t xml:space="preserve"> a detailed analysis</w:t>
      </w:r>
      <w:r w:rsidR="00830A72">
        <w:t>—</w:t>
      </w:r>
      <w:r w:rsidR="004F3468">
        <w:t>based</w:t>
      </w:r>
      <w:r w:rsidR="007029D5">
        <w:t xml:space="preserve"> </w:t>
      </w:r>
      <w:r w:rsidR="004F3468">
        <w:t xml:space="preserve">on </w:t>
      </w:r>
      <w:r w:rsidR="00127AC9">
        <w:t>operating at a 3</w:t>
      </w:r>
      <w:r w:rsidR="00F42746">
        <w:t xml:space="preserve"> </w:t>
      </w:r>
      <w:r w:rsidR="00127AC9">
        <w:t xml:space="preserve">dB radiated power increase as well as </w:t>
      </w:r>
      <w:r w:rsidR="004F3468">
        <w:t xml:space="preserve">its original request of a </w:t>
      </w:r>
      <w:r w:rsidR="00C948E9">
        <w:t>10</w:t>
      </w:r>
      <w:r w:rsidR="00F42746">
        <w:t xml:space="preserve"> </w:t>
      </w:r>
      <w:r w:rsidR="004F3468">
        <w:t>dB increase</w:t>
      </w:r>
      <w:r w:rsidR="00830A72">
        <w:t>—</w:t>
      </w:r>
      <w:r w:rsidRPr="00EC7860">
        <w:rPr>
          <w:snapToGrid/>
        </w:rPr>
        <w:t>that consider</w:t>
      </w:r>
      <w:r w:rsidR="007029D5">
        <w:rPr>
          <w:snapToGrid/>
        </w:rPr>
        <w:t xml:space="preserve">ed </w:t>
      </w:r>
      <w:r w:rsidRPr="00EC7860">
        <w:rPr>
          <w:snapToGrid/>
        </w:rPr>
        <w:t>bandwidth overlap, transmit duty cycle, aircraft design, transmitter/receiver geometry, and atmospheric attenuation.</w:t>
      </w:r>
      <w:r>
        <w:rPr>
          <w:rStyle w:val="FootnoteReference"/>
          <w:color w:val="000000" w:themeColor="text1"/>
          <w:sz w:val="22"/>
          <w:szCs w:val="22"/>
        </w:rPr>
        <w:footnoteReference w:id="32"/>
      </w:r>
      <w:r w:rsidRPr="00EC7860">
        <w:rPr>
          <w:snapToGrid/>
        </w:rPr>
        <w:t xml:space="preserve">  Google also consider</w:t>
      </w:r>
      <w:r w:rsidR="00EF6D18">
        <w:rPr>
          <w:snapToGrid/>
        </w:rPr>
        <w:t>s</w:t>
      </w:r>
      <w:r w:rsidRPr="00EC7860">
        <w:rPr>
          <w:snapToGrid/>
        </w:rPr>
        <w:t xml:space="preserve"> worst</w:t>
      </w:r>
      <w:r w:rsidRPr="00EC7860">
        <w:rPr>
          <w:snapToGrid/>
        </w:rPr>
        <w:noBreakHyphen/>
        <w:t xml:space="preserve">case aggregate interference potential from Soli </w:t>
      </w:r>
      <w:r w:rsidR="003D6032">
        <w:rPr>
          <w:snapToGrid/>
        </w:rPr>
        <w:t xml:space="preserve">sensors </w:t>
      </w:r>
      <w:r w:rsidRPr="00EC7860">
        <w:rPr>
          <w:snapToGrid/>
        </w:rPr>
        <w:t>on simultaneous multiple aircraft “during the busiest month and the busiest day” in a one-year period (2017).</w:t>
      </w:r>
      <w:r>
        <w:rPr>
          <w:rStyle w:val="FootnoteReference"/>
          <w:snapToGrid/>
        </w:rPr>
        <w:footnoteReference w:id="33"/>
      </w:r>
      <w:r w:rsidRPr="00EC7860">
        <w:rPr>
          <w:snapToGrid/>
        </w:rPr>
        <w:t xml:space="preserve">  Google</w:t>
      </w:r>
      <w:r w:rsidR="007029D5">
        <w:rPr>
          <w:snapToGrid/>
        </w:rPr>
        <w:t>’s analysis show</w:t>
      </w:r>
      <w:r w:rsidR="00EF6D18">
        <w:rPr>
          <w:snapToGrid/>
        </w:rPr>
        <w:t>s</w:t>
      </w:r>
      <w:r w:rsidR="007029D5">
        <w:rPr>
          <w:snapToGrid/>
        </w:rPr>
        <w:t xml:space="preserve"> </w:t>
      </w:r>
      <w:r w:rsidRPr="00EC7860">
        <w:rPr>
          <w:snapToGrid/>
        </w:rPr>
        <w:t>that “the total integrated interference from every aircraft in flight over the U.S., across the entire EESS (passive) allocation, to a single EESS sensor would be -163.5 dBm, which is 24.5 dB below the EESS interference criterion</w:t>
      </w:r>
      <w:r w:rsidR="00EF6D18">
        <w:rPr>
          <w:snapToGrid/>
        </w:rPr>
        <w:t xml:space="preserve"> in </w:t>
      </w:r>
      <w:r w:rsidRPr="00BB3358" w:rsidR="00EF6D18">
        <w:rPr>
          <w:color w:val="000000" w:themeColor="text1"/>
        </w:rPr>
        <w:t xml:space="preserve">ITU Recommendation </w:t>
      </w:r>
      <w:r w:rsidRPr="00BB3358" w:rsidR="00EF6D18">
        <w:rPr>
          <w:color w:val="000000" w:themeColor="text1"/>
        </w:rPr>
        <w:t>ITU-R RS.2017-0</w:t>
      </w:r>
      <w:r w:rsidRPr="00EC7860">
        <w:rPr>
          <w:snapToGrid/>
        </w:rPr>
        <w:t xml:space="preserve"> of -139 dBm.”</w:t>
      </w:r>
      <w:r>
        <w:rPr>
          <w:rStyle w:val="FootnoteReference"/>
          <w:snapToGrid/>
          <w:color w:val="000000" w:themeColor="text1"/>
          <w:kern w:val="0"/>
          <w:sz w:val="22"/>
          <w:szCs w:val="22"/>
        </w:rPr>
        <w:footnoteReference w:id="34"/>
      </w:r>
      <w:r w:rsidR="00537D6B">
        <w:rPr>
          <w:snapToGrid/>
        </w:rPr>
        <w:t xml:space="preserve">  </w:t>
      </w:r>
      <w:r w:rsidR="007029D5">
        <w:rPr>
          <w:snapToGrid/>
        </w:rPr>
        <w:t xml:space="preserve">The </w:t>
      </w:r>
      <w:r w:rsidR="00F91C31">
        <w:rPr>
          <w:snapToGrid/>
        </w:rPr>
        <w:t xml:space="preserve">analysis </w:t>
      </w:r>
      <w:r w:rsidR="00127AC9">
        <w:rPr>
          <w:snapToGrid/>
        </w:rPr>
        <w:t>also</w:t>
      </w:r>
      <w:r w:rsidR="00F91C31">
        <w:rPr>
          <w:snapToGrid/>
        </w:rPr>
        <w:t xml:space="preserve"> consider</w:t>
      </w:r>
      <w:r w:rsidR="00EF6D18">
        <w:rPr>
          <w:snapToGrid/>
        </w:rPr>
        <w:t>s</w:t>
      </w:r>
      <w:r w:rsidR="00F91C31">
        <w:rPr>
          <w:snapToGrid/>
        </w:rPr>
        <w:t xml:space="preserve"> </w:t>
      </w:r>
      <w:r w:rsidR="00DA5F5E">
        <w:rPr>
          <w:snapToGrid/>
        </w:rPr>
        <w:t xml:space="preserve">CORF’s concerns regarding aircraft </w:t>
      </w:r>
      <w:r w:rsidR="00F91C31">
        <w:rPr>
          <w:snapToGrid/>
        </w:rPr>
        <w:t>architecture</w:t>
      </w:r>
      <w:r w:rsidR="009B0126">
        <w:rPr>
          <w:snapToGrid/>
        </w:rPr>
        <w:t>,</w:t>
      </w:r>
      <w:r w:rsidR="00F91C31">
        <w:rPr>
          <w:snapToGrid/>
        </w:rPr>
        <w:t xml:space="preserve"> </w:t>
      </w:r>
      <w:r w:rsidR="00127AC9">
        <w:rPr>
          <w:snapToGrid/>
        </w:rPr>
        <w:t xml:space="preserve">and </w:t>
      </w:r>
      <w:r w:rsidR="007029D5">
        <w:rPr>
          <w:snapToGrid/>
        </w:rPr>
        <w:t xml:space="preserve">concluded </w:t>
      </w:r>
      <w:r w:rsidR="00D224A7">
        <w:rPr>
          <w:snapToGrid/>
        </w:rPr>
        <w:t xml:space="preserve">there is </w:t>
      </w:r>
      <w:r w:rsidR="00DA5F5E">
        <w:rPr>
          <w:snapToGrid/>
        </w:rPr>
        <w:t xml:space="preserve">no harmful interference to EESS sensors </w:t>
      </w:r>
      <w:r w:rsidR="00127AC9">
        <w:rPr>
          <w:snapToGrid/>
        </w:rPr>
        <w:t xml:space="preserve">even </w:t>
      </w:r>
      <w:r w:rsidR="007B7F90">
        <w:rPr>
          <w:snapToGrid/>
        </w:rPr>
        <w:t xml:space="preserve">if </w:t>
      </w:r>
      <w:r w:rsidR="00127AC9">
        <w:rPr>
          <w:snapToGrid/>
        </w:rPr>
        <w:t xml:space="preserve">a Soli sensor </w:t>
      </w:r>
      <w:r w:rsidR="00D224A7">
        <w:rPr>
          <w:snapToGrid/>
        </w:rPr>
        <w:t xml:space="preserve">is </w:t>
      </w:r>
      <w:r w:rsidRPr="00957713" w:rsidR="00127AC9">
        <w:rPr>
          <w:snapToGrid/>
        </w:rPr>
        <w:t>operating near an aircraft window</w:t>
      </w:r>
      <w:r w:rsidRPr="00957713" w:rsidR="00F91C31">
        <w:rPr>
          <w:snapToGrid/>
        </w:rPr>
        <w:t>.</w:t>
      </w:r>
      <w:r>
        <w:rPr>
          <w:rStyle w:val="FootnoteReference"/>
          <w:snapToGrid/>
        </w:rPr>
        <w:footnoteReference w:id="35"/>
      </w:r>
      <w:r w:rsidRPr="00957713" w:rsidR="00F91C31">
        <w:rPr>
          <w:snapToGrid/>
        </w:rPr>
        <w:t xml:space="preserve">  </w:t>
      </w:r>
      <w:r w:rsidRPr="00104723" w:rsidR="003D6032">
        <w:rPr>
          <w:snapToGrid/>
        </w:rPr>
        <w:t xml:space="preserve">In addition to the conclusion from these studies, it is likely that </w:t>
      </w:r>
      <w:r w:rsidRPr="00104723" w:rsidR="00F91C31">
        <w:rPr>
          <w:snapToGrid/>
        </w:rPr>
        <w:t>there will be significant signal blockage from</w:t>
      </w:r>
      <w:r w:rsidRPr="00957713" w:rsidR="00082ECA">
        <w:rPr>
          <w:snapToGrid/>
        </w:rPr>
        <w:t xml:space="preserve"> the</w:t>
      </w:r>
      <w:r w:rsidR="00082ECA">
        <w:rPr>
          <w:snapToGrid/>
        </w:rPr>
        <w:t xml:space="preserve"> high number of human bodies closely located near </w:t>
      </w:r>
      <w:r w:rsidR="00CB4F2A">
        <w:rPr>
          <w:snapToGrid/>
        </w:rPr>
        <w:t xml:space="preserve">a </w:t>
      </w:r>
      <w:r w:rsidR="00082ECA">
        <w:rPr>
          <w:snapToGrid/>
        </w:rPr>
        <w:t xml:space="preserve">Soli </w:t>
      </w:r>
      <w:r w:rsidR="00104723">
        <w:rPr>
          <w:snapToGrid/>
        </w:rPr>
        <w:t xml:space="preserve">sensor </w:t>
      </w:r>
      <w:r w:rsidR="00082ECA">
        <w:rPr>
          <w:snapToGrid/>
        </w:rPr>
        <w:t>on the airplane</w:t>
      </w:r>
      <w:r w:rsidR="00F91C31">
        <w:rPr>
          <w:snapToGrid/>
        </w:rPr>
        <w:t>.</w:t>
      </w:r>
      <w:r>
        <w:rPr>
          <w:rStyle w:val="FootnoteReference"/>
          <w:snapToGrid/>
        </w:rPr>
        <w:footnoteReference w:id="36"/>
      </w:r>
      <w:r w:rsidR="00F91C31">
        <w:rPr>
          <w:snapToGrid/>
        </w:rPr>
        <w:t xml:space="preserve">  For these reasons, we do not believe that Soli sensor</w:t>
      </w:r>
      <w:r w:rsidR="00DA5F5E">
        <w:rPr>
          <w:snapToGrid/>
        </w:rPr>
        <w:t>s</w:t>
      </w:r>
      <w:r w:rsidR="00F91C31">
        <w:rPr>
          <w:snapToGrid/>
        </w:rPr>
        <w:t xml:space="preserve"> o</w:t>
      </w:r>
      <w:r w:rsidR="00127AC9">
        <w:rPr>
          <w:snapToGrid/>
        </w:rPr>
        <w:t xml:space="preserve">perating under the </w:t>
      </w:r>
      <w:r w:rsidR="00D224A7">
        <w:rPr>
          <w:snapToGrid/>
        </w:rPr>
        <w:t xml:space="preserve">updated </w:t>
      </w:r>
      <w:r w:rsidR="00DA5F5E">
        <w:rPr>
          <w:snapToGrid/>
        </w:rPr>
        <w:t xml:space="preserve">requested parameters </w:t>
      </w:r>
      <w:r w:rsidR="00127AC9">
        <w:rPr>
          <w:snapToGrid/>
        </w:rPr>
        <w:t xml:space="preserve">pose a threat of harmful interference to EESS operations and thus, </w:t>
      </w:r>
      <w:r w:rsidR="00D224A7">
        <w:rPr>
          <w:snapToGrid/>
        </w:rPr>
        <w:t xml:space="preserve">we </w:t>
      </w:r>
      <w:r w:rsidR="00127AC9">
        <w:rPr>
          <w:snapToGrid/>
        </w:rPr>
        <w:t xml:space="preserve">decline to place restrictions on emissions </w:t>
      </w:r>
      <w:r w:rsidRPr="00C51813" w:rsidR="00127AC9">
        <w:rPr>
          <w:snapToGrid/>
        </w:rPr>
        <w:t xml:space="preserve">within the 57-59.3 GHz band. </w:t>
      </w:r>
      <w:r w:rsidR="00D7069C">
        <w:rPr>
          <w:snapToGrid/>
        </w:rPr>
        <w:t xml:space="preserve"> </w:t>
      </w:r>
      <w:r w:rsidR="00021E23">
        <w:rPr>
          <w:snapToGrid/>
        </w:rPr>
        <w:t>In addition, b</w:t>
      </w:r>
      <w:r w:rsidR="00D7069C">
        <w:rPr>
          <w:snapToGrid/>
        </w:rPr>
        <w:t>ased on the above findings</w:t>
      </w:r>
      <w:r w:rsidR="00021E23">
        <w:rPr>
          <w:snapToGrid/>
        </w:rPr>
        <w:t xml:space="preserve"> of no harmful interference</w:t>
      </w:r>
      <w:r w:rsidR="00D7069C">
        <w:rPr>
          <w:snapToGrid/>
        </w:rPr>
        <w:t xml:space="preserve">, we will allow Soli </w:t>
      </w:r>
      <w:r w:rsidR="00104723">
        <w:rPr>
          <w:snapToGrid/>
        </w:rPr>
        <w:t xml:space="preserve">sensors </w:t>
      </w:r>
      <w:r w:rsidR="00D7069C">
        <w:rPr>
          <w:snapToGrid/>
        </w:rPr>
        <w:t>to operate on</w:t>
      </w:r>
      <w:r w:rsidR="00D7069C">
        <w:rPr>
          <w:snapToGrid/>
        </w:rPr>
        <w:noBreakHyphen/>
        <w:t>board aircraft at the requested power levels</w:t>
      </w:r>
      <w:r w:rsidR="00A5235A">
        <w:rPr>
          <w:snapToGrid/>
        </w:rPr>
        <w:t xml:space="preserve">. </w:t>
      </w:r>
      <w:r w:rsidR="00D7069C">
        <w:rPr>
          <w:snapToGrid/>
        </w:rPr>
        <w:t xml:space="preserve"> </w:t>
      </w:r>
      <w:r w:rsidR="00A5235A">
        <w:rPr>
          <w:snapToGrid/>
        </w:rPr>
        <w:t>O</w:t>
      </w:r>
      <w:r w:rsidR="00A96DD8">
        <w:rPr>
          <w:snapToGrid/>
        </w:rPr>
        <w:t xml:space="preserve">n our own motion, </w:t>
      </w:r>
      <w:r w:rsidR="00D7069C">
        <w:rPr>
          <w:snapToGrid/>
        </w:rPr>
        <w:t xml:space="preserve">we waive compliance </w:t>
      </w:r>
      <w:r w:rsidR="00A96DD8">
        <w:rPr>
          <w:snapToGrid/>
        </w:rPr>
        <w:t xml:space="preserve">of the Soli </w:t>
      </w:r>
      <w:r w:rsidR="00104723">
        <w:rPr>
          <w:snapToGrid/>
        </w:rPr>
        <w:t xml:space="preserve">sensor </w:t>
      </w:r>
      <w:r w:rsidR="00D7069C">
        <w:rPr>
          <w:snapToGrid/>
        </w:rPr>
        <w:t>with the provision of Section 15.255(b)</w:t>
      </w:r>
      <w:r w:rsidR="00796E0C">
        <w:rPr>
          <w:snapToGrid/>
        </w:rPr>
        <w:t>(2)</w:t>
      </w:r>
      <w:r w:rsidR="00D7069C">
        <w:rPr>
          <w:snapToGrid/>
        </w:rPr>
        <w:t xml:space="preserve"> which specifies that 60 GHz devices must be part of  “</w:t>
      </w:r>
      <w:r w:rsidRPr="00E16422" w:rsidR="00D7069C">
        <w:rPr>
          <w:snapToGrid/>
          <w:color w:val="000000"/>
          <w:kern w:val="0"/>
          <w:szCs w:val="22"/>
        </w:rPr>
        <w:t>closed exclusive on-board communication networks within the aircraft</w:t>
      </w:r>
      <w:r w:rsidR="00D7069C">
        <w:rPr>
          <w:snapToGrid/>
          <w:color w:val="000000"/>
          <w:kern w:val="0"/>
          <w:szCs w:val="22"/>
        </w:rPr>
        <w:t>” while airborne.</w:t>
      </w:r>
      <w:r>
        <w:rPr>
          <w:rStyle w:val="FootnoteReference"/>
          <w:snapToGrid/>
          <w:kern w:val="0"/>
          <w:szCs w:val="22"/>
        </w:rPr>
        <w:footnoteReference w:id="37"/>
      </w:r>
      <w:r w:rsidR="00B80CB3">
        <w:rPr>
          <w:snapToGrid/>
          <w:color w:val="000000"/>
          <w:kern w:val="0"/>
          <w:szCs w:val="22"/>
        </w:rPr>
        <w:t xml:space="preserve">  Soli</w:t>
      </w:r>
      <w:r w:rsidR="00A5235A">
        <w:rPr>
          <w:snapToGrid/>
          <w:color w:val="000000"/>
          <w:kern w:val="0"/>
          <w:szCs w:val="22"/>
        </w:rPr>
        <w:t xml:space="preserve"> </w:t>
      </w:r>
      <w:r w:rsidR="00104723">
        <w:rPr>
          <w:snapToGrid/>
          <w:color w:val="000000"/>
          <w:kern w:val="0"/>
          <w:szCs w:val="22"/>
        </w:rPr>
        <w:t xml:space="preserve">sensors </w:t>
      </w:r>
      <w:r w:rsidR="00A5235A">
        <w:rPr>
          <w:snapToGrid/>
          <w:color w:val="000000"/>
          <w:kern w:val="0"/>
          <w:szCs w:val="22"/>
        </w:rPr>
        <w:t xml:space="preserve">still </w:t>
      </w:r>
      <w:r w:rsidR="00B80CB3">
        <w:rPr>
          <w:snapToGrid/>
          <w:color w:val="000000"/>
          <w:kern w:val="0"/>
          <w:szCs w:val="22"/>
        </w:rPr>
        <w:t xml:space="preserve">must comply with all </w:t>
      </w:r>
      <w:r w:rsidR="00DA5013">
        <w:rPr>
          <w:snapToGrid/>
          <w:color w:val="000000"/>
          <w:kern w:val="0"/>
          <w:szCs w:val="22"/>
        </w:rPr>
        <w:t>the</w:t>
      </w:r>
      <w:r w:rsidR="00B80CB3">
        <w:rPr>
          <w:snapToGrid/>
          <w:color w:val="000000"/>
          <w:kern w:val="0"/>
          <w:szCs w:val="22"/>
        </w:rPr>
        <w:t xml:space="preserve"> provisions of </w:t>
      </w:r>
      <w:r w:rsidR="002D1C97">
        <w:rPr>
          <w:snapToGrid/>
          <w:color w:val="000000"/>
          <w:kern w:val="0"/>
          <w:szCs w:val="22"/>
        </w:rPr>
        <w:t>subs</w:t>
      </w:r>
      <w:r w:rsidR="00B80CB3">
        <w:rPr>
          <w:snapToGrid/>
          <w:color w:val="000000"/>
          <w:kern w:val="0"/>
          <w:szCs w:val="22"/>
        </w:rPr>
        <w:t>ection</w:t>
      </w:r>
      <w:r w:rsidR="002D1C97">
        <w:rPr>
          <w:snapToGrid/>
          <w:color w:val="000000"/>
          <w:kern w:val="0"/>
          <w:szCs w:val="22"/>
        </w:rPr>
        <w:t>s</w:t>
      </w:r>
      <w:r w:rsidR="00B80CB3">
        <w:rPr>
          <w:snapToGrid/>
          <w:color w:val="000000"/>
          <w:kern w:val="0"/>
          <w:szCs w:val="22"/>
        </w:rPr>
        <w:t xml:space="preserve"> 15.255(b)(2)(</w:t>
      </w:r>
      <w:r w:rsidR="00B80CB3">
        <w:rPr>
          <w:snapToGrid/>
          <w:color w:val="000000"/>
          <w:kern w:val="0"/>
          <w:szCs w:val="22"/>
        </w:rPr>
        <w:t>i</w:t>
      </w:r>
      <w:r w:rsidR="00B80CB3">
        <w:rPr>
          <w:snapToGrid/>
          <w:color w:val="000000"/>
          <w:kern w:val="0"/>
          <w:szCs w:val="22"/>
        </w:rPr>
        <w:t>) and (ii), including the prohibition</w:t>
      </w:r>
      <w:r w:rsidR="00CF5557">
        <w:rPr>
          <w:snapToGrid/>
          <w:color w:val="000000"/>
          <w:kern w:val="0"/>
          <w:szCs w:val="22"/>
        </w:rPr>
        <w:t>s</w:t>
      </w:r>
      <w:r w:rsidR="00B80CB3">
        <w:rPr>
          <w:snapToGrid/>
          <w:color w:val="000000"/>
          <w:kern w:val="0"/>
          <w:szCs w:val="22"/>
        </w:rPr>
        <w:t xml:space="preserve"> of use in </w:t>
      </w:r>
      <w:r w:rsidRPr="00724D7C" w:rsidR="00B80CB3">
        <w:rPr>
          <w:snapToGrid/>
          <w:color w:val="000000"/>
          <w:kern w:val="0"/>
          <w:szCs w:val="22"/>
        </w:rPr>
        <w:t>wireless avionics intra-communication (WAIC) applications where external structural sensors or external cameras are mounted on the outside of the aircraft structure</w:t>
      </w:r>
      <w:r w:rsidR="00B80CB3">
        <w:rPr>
          <w:snapToGrid/>
          <w:color w:val="000000"/>
          <w:kern w:val="0"/>
          <w:szCs w:val="22"/>
        </w:rPr>
        <w:t xml:space="preserve">; and on aircraft </w:t>
      </w:r>
      <w:r w:rsidRPr="00724D7C" w:rsidR="00B80CB3">
        <w:rPr>
          <w:snapToGrid/>
          <w:color w:val="000000"/>
          <w:kern w:val="0"/>
          <w:szCs w:val="22"/>
        </w:rPr>
        <w:t>where there is little attenuation of RF signals by the body/fuselage of the aircraft.</w:t>
      </w:r>
    </w:p>
    <w:bookmarkEnd w:id="10"/>
    <w:bookmarkEnd w:id="11"/>
    <w:p w:rsidR="00456342" w:rsidRPr="00C51813" w:rsidP="007D3070" w14:paraId="58C17843" w14:textId="368C4D1D">
      <w:pPr>
        <w:pStyle w:val="ParaNum"/>
        <w:rPr>
          <w:color w:val="000000" w:themeColor="text1"/>
          <w:szCs w:val="22"/>
        </w:rPr>
      </w:pPr>
      <w:r w:rsidRPr="00C51813">
        <w:rPr>
          <w:color w:val="000000" w:themeColor="text1"/>
          <w:szCs w:val="22"/>
        </w:rPr>
        <w:t xml:space="preserve">Regarding NRAO’s concerns, </w:t>
      </w:r>
      <w:r w:rsidR="00F506BB">
        <w:t>it</w:t>
      </w:r>
      <w:r w:rsidRPr="00C51813" w:rsidR="00F506BB">
        <w:t xml:space="preserve"> </w:t>
      </w:r>
      <w:r w:rsidRPr="00C51813" w:rsidR="007D3070">
        <w:t>is mistaken that 60 GHz devices are not permitted on</w:t>
      </w:r>
      <w:r w:rsidR="00F506BB">
        <w:t>-board</w:t>
      </w:r>
      <w:r w:rsidRPr="00C51813" w:rsidR="007D3070">
        <w:t xml:space="preserve"> aircraft.  While, the Commission, out of an abundance of caution</w:t>
      </w:r>
      <w:r w:rsidR="007D3070">
        <w:t xml:space="preserve">, initially did restrict such operation, it amended the rules after further studies and experience with </w:t>
      </w:r>
      <w:r w:rsidR="003E6603">
        <w:t xml:space="preserve">these </w:t>
      </w:r>
      <w:r w:rsidR="007D3070">
        <w:t>devices.</w:t>
      </w:r>
      <w:r>
        <w:rPr>
          <w:rStyle w:val="FootnoteReference"/>
        </w:rPr>
        <w:footnoteReference w:id="38"/>
      </w:r>
      <w:r w:rsidR="007D3070">
        <w:t xml:space="preserve">  T</w:t>
      </w:r>
      <w:r w:rsidRPr="00063B69" w:rsidR="007D3070">
        <w:t xml:space="preserve">he Commission </w:t>
      </w:r>
      <w:r w:rsidR="007D3070">
        <w:t>d</w:t>
      </w:r>
      <w:r w:rsidRPr="00063B69" w:rsidR="007D3070">
        <w:t>etermined that unlicensed operations on</w:t>
      </w:r>
      <w:r w:rsidRPr="00063B69" w:rsidR="007D3070">
        <w:noBreakHyphen/>
        <w:t xml:space="preserve">board aircraft would not cause harmful interference to authorized services, even when considering aggregate effects of multiple </w:t>
      </w:r>
      <w:r w:rsidRPr="00C51813" w:rsidR="007D3070">
        <w:t>devices on a single aircraft, and in multiple aircraft in the aggregate during worst-case peak air traffic.</w:t>
      </w:r>
      <w:r>
        <w:rPr>
          <w:vertAlign w:val="superscript"/>
        </w:rPr>
        <w:footnoteReference w:id="39"/>
      </w:r>
      <w:r w:rsidRPr="00C51813" w:rsidR="007D3070">
        <w:t xml:space="preserve">  </w:t>
      </w:r>
      <w:r w:rsidRPr="00C51813" w:rsidR="004B743D">
        <w:t>In addition, the Commission has already placed stringent out-of-ban</w:t>
      </w:r>
      <w:r w:rsidR="00B422E7">
        <w:t xml:space="preserve">d </w:t>
      </w:r>
      <w:r w:rsidRPr="00C51813" w:rsidR="004B743D">
        <w:t>emissions limits on 60 GHz operations.</w:t>
      </w:r>
      <w:r>
        <w:rPr>
          <w:rStyle w:val="FootnoteReference"/>
        </w:rPr>
        <w:footnoteReference w:id="40"/>
      </w:r>
      <w:r w:rsidRPr="00C51813" w:rsidR="004B743D">
        <w:t xml:space="preserve">  </w:t>
      </w:r>
      <w:r w:rsidRPr="00C51813" w:rsidR="007D3070">
        <w:t xml:space="preserve">Thus, similar to 60 GHz </w:t>
      </w:r>
      <w:r w:rsidRPr="00C51813" w:rsidR="007D3070">
        <w:t>WiGig</w:t>
      </w:r>
      <w:r w:rsidRPr="00C51813" w:rsidR="007D3070">
        <w:t xml:space="preserve"> devices that are currently permitted on-board aircraft</w:t>
      </w:r>
      <w:r w:rsidRPr="00C51813" w:rsidR="004B743D">
        <w:t xml:space="preserve"> with certain restrictions</w:t>
      </w:r>
      <w:r w:rsidRPr="00C51813" w:rsidR="00D15EA6">
        <w:t>,</w:t>
      </w:r>
      <w:r>
        <w:rPr>
          <w:rStyle w:val="FootnoteReference"/>
          <w:color w:val="000000" w:themeColor="text1"/>
          <w:sz w:val="22"/>
          <w:szCs w:val="22"/>
        </w:rPr>
        <w:footnoteReference w:id="41"/>
      </w:r>
      <w:r w:rsidRPr="00C51813" w:rsidR="007D3070">
        <w:t xml:space="preserve"> we do not expect harmful interference to EESS and RAS from Google Soli devices </w:t>
      </w:r>
      <w:r w:rsidRPr="00C51813" w:rsidR="004B743D">
        <w:t xml:space="preserve">which will </w:t>
      </w:r>
      <w:r w:rsidRPr="00C51813" w:rsidR="007D3070">
        <w:t>operat</w:t>
      </w:r>
      <w:r w:rsidRPr="00C51813" w:rsidR="004B743D">
        <w:t>e</w:t>
      </w:r>
      <w:r w:rsidRPr="00C51813" w:rsidR="007D3070">
        <w:t xml:space="preserve"> at comparatively lower power levels</w:t>
      </w:r>
      <w:r w:rsidRPr="00C51813" w:rsidR="004B743D">
        <w:t>.</w:t>
      </w:r>
      <w:r>
        <w:rPr>
          <w:rStyle w:val="FootnoteReference"/>
          <w:szCs w:val="22"/>
        </w:rPr>
        <w:footnoteReference w:id="42"/>
      </w:r>
      <w:r w:rsidRPr="00C51813" w:rsidR="007D3070">
        <w:t xml:space="preserve"> </w:t>
      </w:r>
      <w:r w:rsidRPr="00C51813" w:rsidR="004B743D">
        <w:t xml:space="preserve"> </w:t>
      </w:r>
      <w:r w:rsidRPr="00BB3358">
        <w:t xml:space="preserve">Further, and as Google points out, there are additional </w:t>
      </w:r>
      <w:r w:rsidRPr="00C51813" w:rsidR="00CB0432">
        <w:rPr>
          <w:color w:val="000000" w:themeColor="text1"/>
          <w:szCs w:val="22"/>
        </w:rPr>
        <w:t xml:space="preserve">mitigation factors </w:t>
      </w:r>
      <w:r w:rsidRPr="00BB3358">
        <w:rPr>
          <w:color w:val="000000" w:themeColor="text1"/>
          <w:szCs w:val="22"/>
        </w:rPr>
        <w:t>to consider</w:t>
      </w:r>
      <w:r w:rsidRPr="00C51813" w:rsidR="00CB0432">
        <w:rPr>
          <w:color w:val="000000" w:themeColor="text1"/>
          <w:szCs w:val="22"/>
        </w:rPr>
        <w:t xml:space="preserve">, including </w:t>
      </w:r>
      <w:r w:rsidRPr="00BB3358" w:rsidR="00C51813">
        <w:rPr>
          <w:color w:val="000000" w:themeColor="text1"/>
          <w:szCs w:val="22"/>
        </w:rPr>
        <w:t>“</w:t>
      </w:r>
      <w:r w:rsidRPr="00C51813" w:rsidR="00CB0432">
        <w:rPr>
          <w:color w:val="000000" w:themeColor="text1"/>
          <w:szCs w:val="22"/>
        </w:rPr>
        <w:t xml:space="preserve">the significant attenuation from inside an airplane to the outside at 116 GHz or 230 GHz, </w:t>
      </w:r>
      <w:r w:rsidRPr="00C51813" w:rsidR="00CB0432">
        <w:rPr>
          <w:snapToGrid/>
          <w:color w:val="000000" w:themeColor="text1"/>
          <w:kern w:val="0"/>
          <w:szCs w:val="22"/>
        </w:rPr>
        <w:t>the loss from the passenger compartment, through the interior floor, through materials in the cargo hold, through the floor of the cargo hold, and out of the airplane’s bottom skin, when the aircraft is nearly overhead of the radio astronomy station on the ground.”</w:t>
      </w:r>
      <w:r>
        <w:rPr>
          <w:rStyle w:val="FootnoteReference"/>
          <w:szCs w:val="22"/>
        </w:rPr>
        <w:footnoteReference w:id="43"/>
      </w:r>
      <w:r w:rsidRPr="00C51813" w:rsidR="00CB0432">
        <w:rPr>
          <w:color w:val="000000" w:themeColor="text1"/>
          <w:szCs w:val="22"/>
        </w:rPr>
        <w:t xml:space="preserve"> </w:t>
      </w:r>
      <w:r w:rsidRPr="00BB3358" w:rsidR="00C51813">
        <w:rPr>
          <w:color w:val="000000" w:themeColor="text1"/>
          <w:szCs w:val="22"/>
        </w:rPr>
        <w:t xml:space="preserve"> </w:t>
      </w:r>
      <w:r w:rsidRPr="00C51813" w:rsidR="004B743D">
        <w:rPr>
          <w:snapToGrid/>
          <w:color w:val="000000" w:themeColor="text1"/>
          <w:kern w:val="0"/>
          <w:szCs w:val="22"/>
        </w:rPr>
        <w:t>We agree</w:t>
      </w:r>
      <w:r w:rsidR="003D6032">
        <w:rPr>
          <w:snapToGrid/>
          <w:color w:val="000000" w:themeColor="text1"/>
          <w:kern w:val="0"/>
          <w:szCs w:val="22"/>
        </w:rPr>
        <w:t>,</w:t>
      </w:r>
      <w:r w:rsidRPr="00C51813" w:rsidR="004B743D">
        <w:rPr>
          <w:snapToGrid/>
          <w:color w:val="000000" w:themeColor="text1"/>
          <w:kern w:val="0"/>
          <w:szCs w:val="22"/>
        </w:rPr>
        <w:t xml:space="preserve"> and</w:t>
      </w:r>
      <w:r w:rsidR="003D6032">
        <w:rPr>
          <w:snapToGrid/>
          <w:color w:val="000000" w:themeColor="text1"/>
          <w:kern w:val="0"/>
          <w:szCs w:val="22"/>
        </w:rPr>
        <w:t>, therefore, we</w:t>
      </w:r>
      <w:r w:rsidRPr="00C51813" w:rsidR="004B743D">
        <w:rPr>
          <w:snapToGrid/>
          <w:color w:val="000000" w:themeColor="text1"/>
          <w:kern w:val="0"/>
          <w:szCs w:val="22"/>
        </w:rPr>
        <w:t xml:space="preserve"> will place no additional restrictions on the second and fourth harmonics of the Soli emissions.</w:t>
      </w:r>
    </w:p>
    <w:p w:rsidR="00DA1F29" w:rsidRPr="001135E6" w:rsidP="00E937AD" w14:paraId="112F7C1B" w14:textId="77777777">
      <w:pPr>
        <w:pStyle w:val="ParaNum"/>
        <w:rPr>
          <w:color w:val="000000" w:themeColor="text1"/>
          <w:szCs w:val="22"/>
        </w:rPr>
      </w:pPr>
      <w:r>
        <w:rPr>
          <w:bCs/>
          <w:snapToGrid/>
          <w:color w:val="000000" w:themeColor="text1"/>
          <w:kern w:val="0"/>
          <w:szCs w:val="22"/>
        </w:rPr>
        <w:t xml:space="preserve">IEEE 802 </w:t>
      </w:r>
      <w:r w:rsidRPr="001135E6" w:rsidR="00E6405D">
        <w:rPr>
          <w:bCs/>
          <w:snapToGrid/>
          <w:color w:val="000000" w:themeColor="text1"/>
          <w:kern w:val="0"/>
          <w:szCs w:val="22"/>
        </w:rPr>
        <w:t>argue</w:t>
      </w:r>
      <w:r>
        <w:rPr>
          <w:bCs/>
          <w:snapToGrid/>
          <w:color w:val="000000" w:themeColor="text1"/>
          <w:kern w:val="0"/>
          <w:szCs w:val="22"/>
        </w:rPr>
        <w:t>s</w:t>
      </w:r>
      <w:r w:rsidRPr="001135E6" w:rsidR="00E6405D">
        <w:rPr>
          <w:bCs/>
          <w:snapToGrid/>
          <w:color w:val="000000" w:themeColor="text1"/>
          <w:kern w:val="0"/>
          <w:szCs w:val="22"/>
        </w:rPr>
        <w:t xml:space="preserve"> that Soli </w:t>
      </w:r>
      <w:r w:rsidR="003D6032">
        <w:rPr>
          <w:bCs/>
          <w:snapToGrid/>
          <w:color w:val="000000" w:themeColor="text1"/>
          <w:kern w:val="0"/>
          <w:szCs w:val="22"/>
        </w:rPr>
        <w:t xml:space="preserve">sensors </w:t>
      </w:r>
      <w:r w:rsidRPr="001135E6" w:rsidR="00E6405D">
        <w:rPr>
          <w:bCs/>
          <w:snapToGrid/>
          <w:color w:val="000000" w:themeColor="text1"/>
          <w:kern w:val="0"/>
          <w:szCs w:val="22"/>
        </w:rPr>
        <w:t xml:space="preserve">would interfere with existing uses of the band, such as </w:t>
      </w:r>
      <w:r w:rsidRPr="001135E6" w:rsidR="00E6405D">
        <w:rPr>
          <w:bCs/>
          <w:snapToGrid/>
          <w:color w:val="000000" w:themeColor="text1"/>
          <w:kern w:val="0"/>
          <w:szCs w:val="22"/>
        </w:rPr>
        <w:t>WiGig</w:t>
      </w:r>
      <w:r w:rsidRPr="001135E6" w:rsidR="00E6405D">
        <w:rPr>
          <w:bCs/>
          <w:snapToGrid/>
          <w:color w:val="000000" w:themeColor="text1"/>
          <w:kern w:val="0"/>
          <w:szCs w:val="22"/>
        </w:rPr>
        <w:t xml:space="preserve"> operations.</w:t>
      </w:r>
      <w:r>
        <w:rPr>
          <w:rStyle w:val="FootnoteReference"/>
          <w:bCs/>
          <w:snapToGrid/>
          <w:kern w:val="0"/>
          <w:szCs w:val="22"/>
        </w:rPr>
        <w:footnoteReference w:id="44"/>
      </w:r>
      <w:r w:rsidR="00FC42B1">
        <w:rPr>
          <w:bCs/>
          <w:snapToGrid/>
          <w:color w:val="000000" w:themeColor="text1"/>
          <w:kern w:val="0"/>
          <w:szCs w:val="22"/>
        </w:rPr>
        <w:t xml:space="preserve"> </w:t>
      </w:r>
      <w:r w:rsidR="00EF6D18">
        <w:rPr>
          <w:bCs/>
          <w:snapToGrid/>
          <w:color w:val="000000" w:themeColor="text1"/>
          <w:kern w:val="0"/>
          <w:szCs w:val="22"/>
        </w:rPr>
        <w:t xml:space="preserve"> </w:t>
      </w:r>
      <w:r w:rsidR="00FC42B1">
        <w:rPr>
          <w:bCs/>
          <w:snapToGrid/>
          <w:color w:val="000000" w:themeColor="text1"/>
          <w:kern w:val="0"/>
          <w:szCs w:val="22"/>
        </w:rPr>
        <w:t>IEEE 802 is also concerned that the Soli sensor may interfere with other systems installed within a device</w:t>
      </w:r>
      <w:r w:rsidR="00001F0F">
        <w:rPr>
          <w:bCs/>
          <w:snapToGrid/>
          <w:color w:val="000000" w:themeColor="text1"/>
          <w:kern w:val="0"/>
          <w:szCs w:val="22"/>
        </w:rPr>
        <w:t>,</w:t>
      </w:r>
      <w:r w:rsidR="00FC42B1">
        <w:rPr>
          <w:bCs/>
          <w:snapToGrid/>
          <w:color w:val="000000" w:themeColor="text1"/>
          <w:kern w:val="0"/>
          <w:szCs w:val="22"/>
        </w:rPr>
        <w:t xml:space="preserve"> </w:t>
      </w:r>
      <w:r w:rsidR="00001F0F">
        <w:rPr>
          <w:bCs/>
          <w:snapToGrid/>
          <w:color w:val="000000" w:themeColor="text1"/>
          <w:kern w:val="0"/>
          <w:szCs w:val="22"/>
        </w:rPr>
        <w:t xml:space="preserve">and </w:t>
      </w:r>
      <w:r w:rsidR="006666BC">
        <w:rPr>
          <w:bCs/>
          <w:snapToGrid/>
          <w:color w:val="000000" w:themeColor="text1"/>
          <w:kern w:val="0"/>
          <w:szCs w:val="22"/>
        </w:rPr>
        <w:t>urge</w:t>
      </w:r>
      <w:r w:rsidR="00EF6D18">
        <w:rPr>
          <w:bCs/>
          <w:snapToGrid/>
          <w:color w:val="000000" w:themeColor="text1"/>
          <w:kern w:val="0"/>
          <w:szCs w:val="22"/>
        </w:rPr>
        <w:t>s</w:t>
      </w:r>
      <w:r w:rsidR="006666BC">
        <w:rPr>
          <w:bCs/>
          <w:snapToGrid/>
          <w:color w:val="000000" w:themeColor="text1"/>
          <w:kern w:val="0"/>
          <w:szCs w:val="22"/>
        </w:rPr>
        <w:t xml:space="preserve"> additional study.</w:t>
      </w:r>
      <w:r w:rsidRPr="00001F0F" w:rsidR="00001F0F">
        <w:rPr>
          <w:rStyle w:val="FootnoteReference"/>
          <w:bCs/>
          <w:snapToGrid/>
          <w:kern w:val="0"/>
          <w:szCs w:val="22"/>
        </w:rPr>
        <w:t xml:space="preserve"> </w:t>
      </w:r>
      <w:r>
        <w:rPr>
          <w:rStyle w:val="FootnoteReference"/>
          <w:bCs/>
          <w:snapToGrid/>
          <w:kern w:val="0"/>
          <w:szCs w:val="22"/>
        </w:rPr>
        <w:footnoteReference w:id="45"/>
      </w:r>
      <w:r w:rsidR="00001F0F">
        <w:rPr>
          <w:bCs/>
          <w:snapToGrid/>
          <w:color w:val="000000" w:themeColor="text1"/>
          <w:kern w:val="0"/>
          <w:szCs w:val="22"/>
        </w:rPr>
        <w:t xml:space="preserve"> </w:t>
      </w:r>
      <w:r w:rsidR="006666BC">
        <w:rPr>
          <w:bCs/>
          <w:snapToGrid/>
          <w:color w:val="000000" w:themeColor="text1"/>
          <w:kern w:val="0"/>
          <w:szCs w:val="22"/>
        </w:rPr>
        <w:t xml:space="preserve"> </w:t>
      </w:r>
      <w:r w:rsidRPr="001135E6" w:rsidR="00156DA5">
        <w:rPr>
          <w:bCs/>
          <w:snapToGrid/>
          <w:color w:val="000000" w:themeColor="text1"/>
          <w:kern w:val="0"/>
          <w:szCs w:val="22"/>
        </w:rPr>
        <w:t xml:space="preserve">In </w:t>
      </w:r>
      <w:r w:rsidRPr="00FC42B1" w:rsidR="00A51B15">
        <w:rPr>
          <w:bCs/>
          <w:snapToGrid/>
          <w:color w:val="000000" w:themeColor="text1"/>
          <w:kern w:val="0"/>
          <w:szCs w:val="22"/>
        </w:rPr>
        <w:t xml:space="preserve">response, </w:t>
      </w:r>
      <w:r w:rsidRPr="00FC42B1" w:rsidR="003A64E4">
        <w:rPr>
          <w:bCs/>
          <w:snapToGrid/>
          <w:color w:val="000000" w:themeColor="text1"/>
          <w:kern w:val="0"/>
          <w:szCs w:val="22"/>
        </w:rPr>
        <w:t xml:space="preserve">Google submitted several studies and </w:t>
      </w:r>
      <w:r w:rsidRPr="00FC42B1" w:rsidR="00063B69">
        <w:rPr>
          <w:bCs/>
          <w:snapToGrid/>
          <w:color w:val="000000" w:themeColor="text1"/>
          <w:kern w:val="0"/>
          <w:szCs w:val="22"/>
        </w:rPr>
        <w:t>measurement results</w:t>
      </w:r>
      <w:r w:rsidRPr="00FC42B1" w:rsidR="003A64E4">
        <w:rPr>
          <w:bCs/>
          <w:snapToGrid/>
          <w:color w:val="000000" w:themeColor="text1"/>
          <w:kern w:val="0"/>
          <w:szCs w:val="22"/>
        </w:rPr>
        <w:t xml:space="preserve"> addressing these </w:t>
      </w:r>
      <w:r w:rsidR="006666BC">
        <w:rPr>
          <w:bCs/>
          <w:snapToGrid/>
          <w:color w:val="000000" w:themeColor="text1"/>
          <w:kern w:val="0"/>
          <w:szCs w:val="22"/>
        </w:rPr>
        <w:t xml:space="preserve">coexistence </w:t>
      </w:r>
      <w:r w:rsidRPr="00FC42B1" w:rsidR="003A64E4">
        <w:rPr>
          <w:bCs/>
          <w:snapToGrid/>
          <w:color w:val="000000" w:themeColor="text1"/>
          <w:kern w:val="0"/>
          <w:szCs w:val="22"/>
        </w:rPr>
        <w:t>issues.</w:t>
      </w:r>
      <w:r>
        <w:rPr>
          <w:rStyle w:val="FootnoteReference"/>
          <w:bCs/>
          <w:snapToGrid/>
          <w:kern w:val="0"/>
          <w:szCs w:val="22"/>
        </w:rPr>
        <w:footnoteReference w:id="46"/>
      </w:r>
      <w:r w:rsidRPr="001135E6" w:rsidR="002523A3">
        <w:rPr>
          <w:bCs/>
          <w:snapToGrid/>
          <w:color w:val="000000" w:themeColor="text1"/>
          <w:kern w:val="0"/>
          <w:szCs w:val="22"/>
        </w:rPr>
        <w:t xml:space="preserve">  </w:t>
      </w:r>
      <w:bookmarkStart w:id="13" w:name="_Ref524428072"/>
      <w:r w:rsidRPr="001135E6" w:rsidR="00CA208F">
        <w:rPr>
          <w:bCs/>
          <w:snapToGrid/>
          <w:color w:val="000000" w:themeColor="text1"/>
          <w:kern w:val="0"/>
          <w:szCs w:val="22"/>
        </w:rPr>
        <w:t xml:space="preserve">Subsequently, </w:t>
      </w:r>
      <w:r w:rsidR="003D6032">
        <w:rPr>
          <w:bCs/>
          <w:snapToGrid/>
          <w:color w:val="000000" w:themeColor="text1"/>
          <w:kern w:val="0"/>
          <w:szCs w:val="22"/>
        </w:rPr>
        <w:t xml:space="preserve">the </w:t>
      </w:r>
      <w:r w:rsidRPr="00505DB6" w:rsidR="003D6032">
        <w:rPr>
          <w:bCs/>
          <w:i/>
          <w:snapToGrid/>
          <w:color w:val="000000" w:themeColor="text1"/>
          <w:kern w:val="0"/>
          <w:szCs w:val="22"/>
        </w:rPr>
        <w:t xml:space="preserve">Google-Facebook Joint ex </w:t>
      </w:r>
      <w:r w:rsidRPr="00505DB6" w:rsidR="003D6032">
        <w:rPr>
          <w:bCs/>
          <w:i/>
          <w:snapToGrid/>
          <w:color w:val="000000" w:themeColor="text1"/>
          <w:kern w:val="0"/>
          <w:szCs w:val="22"/>
        </w:rPr>
        <w:t>parte</w:t>
      </w:r>
      <w:r w:rsidRPr="00505DB6" w:rsidR="003D6032">
        <w:rPr>
          <w:bCs/>
          <w:i/>
          <w:snapToGrid/>
          <w:color w:val="000000" w:themeColor="text1"/>
          <w:kern w:val="0"/>
          <w:szCs w:val="22"/>
        </w:rPr>
        <w:t xml:space="preserve"> Filing</w:t>
      </w:r>
      <w:r w:rsidR="003D6032">
        <w:rPr>
          <w:bCs/>
          <w:snapToGrid/>
          <w:color w:val="000000" w:themeColor="text1"/>
          <w:kern w:val="0"/>
          <w:szCs w:val="22"/>
        </w:rPr>
        <w:t xml:space="preserve"> included </w:t>
      </w:r>
      <w:r w:rsidRPr="00FC42B1" w:rsidR="00920EAC">
        <w:rPr>
          <w:color w:val="000000" w:themeColor="text1"/>
          <w:kern w:val="0"/>
        </w:rPr>
        <w:t xml:space="preserve">parameters </w:t>
      </w:r>
      <w:r w:rsidR="003D6032">
        <w:rPr>
          <w:color w:val="000000" w:themeColor="text1"/>
          <w:kern w:val="0"/>
        </w:rPr>
        <w:t xml:space="preserve">for the </w:t>
      </w:r>
      <w:r w:rsidRPr="00FC42B1" w:rsidR="0031619C">
        <w:rPr>
          <w:color w:val="000000" w:themeColor="text1"/>
          <w:kern w:val="0"/>
        </w:rPr>
        <w:t xml:space="preserve">Soli sensors </w:t>
      </w:r>
      <w:r w:rsidR="003D6032">
        <w:rPr>
          <w:color w:val="000000" w:themeColor="text1"/>
          <w:kern w:val="0"/>
        </w:rPr>
        <w:t xml:space="preserve">to </w:t>
      </w:r>
      <w:r w:rsidRPr="00FC42B1" w:rsidR="0031619C">
        <w:rPr>
          <w:color w:val="000000" w:themeColor="text1"/>
          <w:kern w:val="0"/>
        </w:rPr>
        <w:t xml:space="preserve">operate without </w:t>
      </w:r>
      <w:r w:rsidR="003D6032">
        <w:rPr>
          <w:color w:val="000000" w:themeColor="text1"/>
          <w:kern w:val="0"/>
        </w:rPr>
        <w:t xml:space="preserve">concerns of potential </w:t>
      </w:r>
      <w:r w:rsidR="00710CE2">
        <w:rPr>
          <w:color w:val="000000" w:themeColor="text1"/>
          <w:kern w:val="0"/>
        </w:rPr>
        <w:t>harmful interference to other band users</w:t>
      </w:r>
      <w:r w:rsidRPr="00FC42B1" w:rsidR="00920EAC">
        <w:rPr>
          <w:color w:val="000000" w:themeColor="text1"/>
          <w:kern w:val="0"/>
        </w:rPr>
        <w:t>.</w:t>
      </w:r>
      <w:r>
        <w:rPr>
          <w:rStyle w:val="FootnoteReference"/>
          <w:color w:val="000000" w:themeColor="text1"/>
          <w:kern w:val="0"/>
        </w:rPr>
        <w:footnoteReference w:id="47"/>
      </w:r>
      <w:r w:rsidRPr="001135E6" w:rsidR="004C0298">
        <w:rPr>
          <w:color w:val="000000" w:themeColor="text1"/>
          <w:kern w:val="0"/>
        </w:rPr>
        <w:t xml:space="preserve">  </w:t>
      </w:r>
      <w:bookmarkEnd w:id="13"/>
    </w:p>
    <w:p w:rsidR="008544B1" w:rsidP="00E15C33" w14:paraId="65B8E283" w14:textId="584F447D">
      <w:pPr>
        <w:pStyle w:val="ParaNum"/>
        <w:rPr>
          <w:color w:val="000000" w:themeColor="text1"/>
          <w:szCs w:val="22"/>
        </w:rPr>
      </w:pPr>
      <w:r>
        <w:rPr>
          <w:color w:val="000000" w:themeColor="text1"/>
          <w:szCs w:val="22"/>
        </w:rPr>
        <w:t>W</w:t>
      </w:r>
      <w:r w:rsidR="0010356C">
        <w:rPr>
          <w:color w:val="000000" w:themeColor="text1"/>
          <w:szCs w:val="22"/>
        </w:rPr>
        <w:t xml:space="preserve">e believe that any coexistence and interference concerns have been adequately addressed </w:t>
      </w:r>
      <w:r>
        <w:rPr>
          <w:color w:val="000000" w:themeColor="text1"/>
          <w:szCs w:val="22"/>
        </w:rPr>
        <w:t>with the updated operational parameters and the supporting studies</w:t>
      </w:r>
      <w:r w:rsidR="00B422E7">
        <w:rPr>
          <w:color w:val="000000" w:themeColor="text1"/>
          <w:szCs w:val="22"/>
        </w:rPr>
        <w:t xml:space="preserve"> </w:t>
      </w:r>
      <w:r>
        <w:rPr>
          <w:color w:val="000000" w:themeColor="text1"/>
          <w:szCs w:val="22"/>
        </w:rPr>
        <w:t xml:space="preserve">and </w:t>
      </w:r>
      <w:r w:rsidR="0010356C">
        <w:rPr>
          <w:color w:val="000000" w:themeColor="text1"/>
          <w:szCs w:val="22"/>
        </w:rPr>
        <w:t xml:space="preserve">provide </w:t>
      </w:r>
      <w:r>
        <w:rPr>
          <w:color w:val="000000" w:themeColor="text1"/>
          <w:szCs w:val="22"/>
        </w:rPr>
        <w:t xml:space="preserve">us </w:t>
      </w:r>
      <w:r w:rsidR="0010356C">
        <w:rPr>
          <w:color w:val="000000" w:themeColor="text1"/>
          <w:szCs w:val="22"/>
        </w:rPr>
        <w:t>confidence that all users of the 57-64 GHz band will be able to operate</w:t>
      </w:r>
      <w:r w:rsidR="00710CE2">
        <w:rPr>
          <w:color w:val="000000" w:themeColor="text1"/>
          <w:szCs w:val="22"/>
        </w:rPr>
        <w:t xml:space="preserve"> without experiencing harmful interfer</w:t>
      </w:r>
      <w:r w:rsidR="00712815">
        <w:rPr>
          <w:color w:val="000000" w:themeColor="text1"/>
          <w:szCs w:val="22"/>
        </w:rPr>
        <w:t>e</w:t>
      </w:r>
      <w:r w:rsidR="00710CE2">
        <w:rPr>
          <w:color w:val="000000" w:themeColor="text1"/>
          <w:szCs w:val="22"/>
        </w:rPr>
        <w:t>nce</w:t>
      </w:r>
      <w:r w:rsidR="0010356C">
        <w:rPr>
          <w:color w:val="000000" w:themeColor="text1"/>
          <w:szCs w:val="22"/>
        </w:rPr>
        <w:t xml:space="preserve">.  </w:t>
      </w:r>
      <w:r w:rsidR="00E2196F">
        <w:rPr>
          <w:color w:val="000000" w:themeColor="text1"/>
          <w:szCs w:val="22"/>
        </w:rPr>
        <w:t xml:space="preserve">Most significantly, the </w:t>
      </w:r>
      <w:r>
        <w:rPr>
          <w:color w:val="000000" w:themeColor="text1"/>
          <w:szCs w:val="22"/>
        </w:rPr>
        <w:t xml:space="preserve">updated operational parameters </w:t>
      </w:r>
      <w:r w:rsidR="00E2196F">
        <w:rPr>
          <w:color w:val="000000" w:themeColor="text1"/>
          <w:szCs w:val="22"/>
        </w:rPr>
        <w:t xml:space="preserve">provide a </w:t>
      </w:r>
      <w:r w:rsidR="00356A8C">
        <w:rPr>
          <w:color w:val="000000" w:themeColor="text1"/>
          <w:szCs w:val="22"/>
        </w:rPr>
        <w:t>7 </w:t>
      </w:r>
      <w:r w:rsidR="00E2196F">
        <w:rPr>
          <w:color w:val="000000" w:themeColor="text1"/>
          <w:szCs w:val="22"/>
        </w:rPr>
        <w:t>dB</w:t>
      </w:r>
      <w:r w:rsidR="00E2196F">
        <w:rPr>
          <w:color w:val="000000" w:themeColor="text1"/>
          <w:szCs w:val="22"/>
        </w:rPr>
        <w:t xml:space="preserve"> reduction in radiated power from the original request and a limit on the Soli sensor’s duty cycle to no more than 10</w:t>
      </w:r>
      <w:r w:rsidR="00834368">
        <w:rPr>
          <w:color w:val="000000" w:themeColor="text1"/>
          <w:szCs w:val="22"/>
        </w:rPr>
        <w:t xml:space="preserve"> percent</w:t>
      </w:r>
      <w:r w:rsidR="00E2196F">
        <w:rPr>
          <w:color w:val="000000" w:themeColor="text1"/>
          <w:szCs w:val="22"/>
        </w:rPr>
        <w:t xml:space="preserve">.  </w:t>
      </w:r>
      <w:r w:rsidRPr="00063B69" w:rsidR="003A49AE">
        <w:rPr>
          <w:color w:val="000000" w:themeColor="text1"/>
          <w:szCs w:val="22"/>
        </w:rPr>
        <w:t xml:space="preserve">Google’s studies </w:t>
      </w:r>
      <w:r w:rsidR="00E2196F">
        <w:rPr>
          <w:color w:val="000000" w:themeColor="text1"/>
          <w:szCs w:val="22"/>
        </w:rPr>
        <w:t xml:space="preserve">show that these parameters </w:t>
      </w:r>
      <w:r w:rsidR="00BE3298">
        <w:rPr>
          <w:color w:val="000000" w:themeColor="text1"/>
          <w:szCs w:val="22"/>
        </w:rPr>
        <w:t>minimize potential</w:t>
      </w:r>
      <w:r w:rsidRPr="00063B69" w:rsidR="003A49AE">
        <w:rPr>
          <w:color w:val="000000" w:themeColor="text1"/>
          <w:szCs w:val="22"/>
        </w:rPr>
        <w:t xml:space="preserve"> effect</w:t>
      </w:r>
      <w:r w:rsidRPr="00063B69" w:rsidR="000C1A82">
        <w:rPr>
          <w:color w:val="000000" w:themeColor="text1"/>
          <w:szCs w:val="22"/>
        </w:rPr>
        <w:t>s</w:t>
      </w:r>
      <w:r w:rsidRPr="00063B69" w:rsidR="003A49AE">
        <w:rPr>
          <w:color w:val="000000" w:themeColor="text1"/>
          <w:szCs w:val="22"/>
        </w:rPr>
        <w:t xml:space="preserve"> on </w:t>
      </w:r>
      <w:r w:rsidRPr="00063B69" w:rsidR="003A49AE">
        <w:rPr>
          <w:color w:val="000000" w:themeColor="text1"/>
          <w:szCs w:val="22"/>
        </w:rPr>
        <w:t>WiGig</w:t>
      </w:r>
      <w:r w:rsidRPr="00063B69" w:rsidR="003A49AE">
        <w:rPr>
          <w:color w:val="000000" w:themeColor="text1"/>
          <w:szCs w:val="22"/>
        </w:rPr>
        <w:t xml:space="preserve"> networks and </w:t>
      </w:r>
      <w:r w:rsidRPr="00063B69" w:rsidR="002326ED">
        <w:rPr>
          <w:color w:val="000000" w:themeColor="text1"/>
          <w:szCs w:val="22"/>
        </w:rPr>
        <w:t>other unlicensed devices</w:t>
      </w:r>
      <w:r w:rsidRPr="00063B69" w:rsidR="003A49AE">
        <w:rPr>
          <w:color w:val="000000" w:themeColor="text1"/>
          <w:szCs w:val="22"/>
        </w:rPr>
        <w:t xml:space="preserve"> </w:t>
      </w:r>
      <w:r w:rsidRPr="00063B69" w:rsidR="00746E0F">
        <w:rPr>
          <w:color w:val="000000" w:themeColor="text1"/>
          <w:szCs w:val="22"/>
        </w:rPr>
        <w:t xml:space="preserve">located </w:t>
      </w:r>
      <w:r w:rsidRPr="00063B69" w:rsidR="00325B78">
        <w:rPr>
          <w:color w:val="000000" w:themeColor="text1"/>
          <w:szCs w:val="22"/>
        </w:rPr>
        <w:t>near</w:t>
      </w:r>
      <w:r w:rsidRPr="00063B69" w:rsidR="00746E0F">
        <w:rPr>
          <w:color w:val="000000" w:themeColor="text1"/>
          <w:szCs w:val="22"/>
        </w:rPr>
        <w:t xml:space="preserve"> </w:t>
      </w:r>
      <w:r w:rsidRPr="00063B69" w:rsidR="003A49AE">
        <w:rPr>
          <w:color w:val="000000" w:themeColor="text1"/>
          <w:szCs w:val="22"/>
        </w:rPr>
        <w:t>the Soli device.</w:t>
      </w:r>
      <w:r>
        <w:rPr>
          <w:rStyle w:val="FootnoteReference"/>
          <w:color w:val="000000" w:themeColor="text1"/>
        </w:rPr>
        <w:footnoteReference w:id="48"/>
      </w:r>
      <w:r w:rsidRPr="00063B69" w:rsidR="003A49AE">
        <w:rPr>
          <w:color w:val="000000" w:themeColor="text1"/>
          <w:szCs w:val="22"/>
        </w:rPr>
        <w:t xml:space="preserve">  </w:t>
      </w:r>
      <w:r w:rsidR="0082506F">
        <w:rPr>
          <w:color w:val="000000" w:themeColor="text1"/>
          <w:szCs w:val="22"/>
        </w:rPr>
        <w:t xml:space="preserve">Finally, with respect </w:t>
      </w:r>
      <w:r w:rsidR="0057189E">
        <w:rPr>
          <w:color w:val="000000" w:themeColor="text1"/>
          <w:szCs w:val="22"/>
        </w:rPr>
        <w:t xml:space="preserve">IEEE 802’s concern regarding </w:t>
      </w:r>
      <w:r w:rsidR="0082506F">
        <w:rPr>
          <w:color w:val="000000" w:themeColor="text1"/>
          <w:szCs w:val="22"/>
        </w:rPr>
        <w:t>in-device coexistence</w:t>
      </w:r>
      <w:r w:rsidR="0057189E">
        <w:rPr>
          <w:color w:val="000000" w:themeColor="text1"/>
          <w:szCs w:val="22"/>
        </w:rPr>
        <w:t>, we note that the device designer or component integrator should ensure that all systems installed within a device are compatible and will not interfere with each other.  Thus, we take no specific action addressing in</w:t>
      </w:r>
      <w:r w:rsidR="0057189E">
        <w:rPr>
          <w:color w:val="000000" w:themeColor="text1"/>
          <w:szCs w:val="22"/>
        </w:rPr>
        <w:noBreakHyphen/>
        <w:t>device coexistence</w:t>
      </w:r>
      <w:bookmarkStart w:id="14" w:name="_Hlk529463219"/>
      <w:r w:rsidR="0057189E">
        <w:rPr>
          <w:color w:val="000000" w:themeColor="text1"/>
          <w:szCs w:val="22"/>
        </w:rPr>
        <w:t>.</w:t>
      </w:r>
      <w:r w:rsidR="00695158">
        <w:rPr>
          <w:color w:val="000000" w:themeColor="text1"/>
          <w:szCs w:val="22"/>
        </w:rPr>
        <w:t xml:space="preserve"> </w:t>
      </w:r>
    </w:p>
    <w:bookmarkEnd w:id="14"/>
    <w:p w:rsidR="0068669E" w:rsidP="00722DC8" w14:paraId="00D6991B" w14:textId="3AA4BE8A">
      <w:pPr>
        <w:pStyle w:val="ParaNum"/>
      </w:pPr>
      <w:r w:rsidRPr="00EC0782">
        <w:t>For these reasons, we find that waiving section</w:t>
      </w:r>
      <w:r w:rsidR="00EC1C8F">
        <w:t>s</w:t>
      </w:r>
      <w:r w:rsidRPr="00EC0782">
        <w:t xml:space="preserve"> 15.255(c)(3) to permit operation of the Soli sensor at the higher requested power levels</w:t>
      </w:r>
      <w:r w:rsidR="00A60DC1">
        <w:t>, and 15.255(b)</w:t>
      </w:r>
      <w:r w:rsidR="003B1B69">
        <w:t>(2)</w:t>
      </w:r>
      <w:r w:rsidR="00A60DC1">
        <w:t xml:space="preserve"> to permit the Soli device to operate on</w:t>
      </w:r>
      <w:r w:rsidR="00A60DC1">
        <w:noBreakHyphen/>
        <w:t>board aircraft,</w:t>
      </w:r>
      <w:r w:rsidRPr="00EC0782">
        <w:t xml:space="preserve"> will not increase the potent</w:t>
      </w:r>
      <w:r w:rsidRPr="00E15C33">
        <w:t xml:space="preserve">ial for harmful interference to </w:t>
      </w:r>
      <w:r w:rsidR="00FD1FA6">
        <w:t xml:space="preserve">authorized </w:t>
      </w:r>
      <w:r w:rsidRPr="00E15C33">
        <w:t>radio services</w:t>
      </w:r>
      <w:r w:rsidR="00FD1FA6">
        <w:t xml:space="preserve"> or other users of the band</w:t>
      </w:r>
      <w:r w:rsidRPr="00E15C33">
        <w:t>;</w:t>
      </w:r>
      <w:r>
        <w:rPr>
          <w:rStyle w:val="FootnoteReference"/>
          <w:color w:val="000000" w:themeColor="text1"/>
          <w:sz w:val="22"/>
          <w:szCs w:val="22"/>
        </w:rPr>
        <w:footnoteReference w:id="49"/>
      </w:r>
      <w:r w:rsidRPr="00E15C33">
        <w:t xml:space="preserve"> thus, it will not undermine the purpose of the rule.  </w:t>
      </w:r>
      <w:r w:rsidRPr="00EC0782" w:rsidR="000D0A40">
        <w:t xml:space="preserve">In addition, </w:t>
      </w:r>
      <w:r w:rsidR="000C062C">
        <w:t xml:space="preserve">we find that </w:t>
      </w:r>
      <w:r w:rsidRPr="00EC0782" w:rsidR="000D0A40">
        <w:t xml:space="preserve">there is a stronger public interest benefit in granting this waiver than in strictly applying the rule.  </w:t>
      </w:r>
      <w:r w:rsidRPr="00EC0782" w:rsidR="00C864A2">
        <w:t>The ability to recognize users’ touchless hand gesture</w:t>
      </w:r>
      <w:r w:rsidRPr="00E15C33" w:rsidR="00C864A2">
        <w:t>s to control a device, such as a smartphone, could help people with mobility, speech, or tactile impairments,</w:t>
      </w:r>
      <w:r>
        <w:rPr>
          <w:rStyle w:val="FootnoteReference"/>
          <w:color w:val="000000" w:themeColor="text1"/>
          <w:sz w:val="22"/>
          <w:szCs w:val="22"/>
        </w:rPr>
        <w:footnoteReference w:id="50"/>
      </w:r>
      <w:r w:rsidRPr="00EC0782" w:rsidR="00C864A2">
        <w:t xml:space="preserve"> which in turn could lead to higher productivity and quality of life for </w:t>
      </w:r>
      <w:r w:rsidR="000C062C">
        <w:t xml:space="preserve">many members of </w:t>
      </w:r>
      <w:r w:rsidRPr="00EC0782" w:rsidR="00C864A2">
        <w:t>the American public</w:t>
      </w:r>
      <w:r w:rsidR="000C062C">
        <w:t>.</w:t>
      </w:r>
      <w:r w:rsidRPr="00EC0782" w:rsidR="00C864A2">
        <w:t xml:space="preserve">  </w:t>
      </w:r>
      <w:r w:rsidR="000C062C">
        <w:t xml:space="preserve">Such benefits can be achieved by maximizing the ability for Soli devices to meet its operational objectives, which we find necessitates </w:t>
      </w:r>
      <w:r w:rsidRPr="00EC0782" w:rsidR="000D0A40">
        <w:t>higher power levels</w:t>
      </w:r>
      <w:r w:rsidRPr="00E15C33" w:rsidR="009372FE">
        <w:t xml:space="preserve"> </w:t>
      </w:r>
      <w:r w:rsidR="000C062C">
        <w:t>than the current rules allow.</w:t>
      </w:r>
      <w:r w:rsidRPr="00EC0782" w:rsidR="009372FE">
        <w:t xml:space="preserve"> </w:t>
      </w:r>
      <w:r w:rsidRPr="00EC0782" w:rsidR="00BA140F">
        <w:t xml:space="preserve"> </w:t>
      </w:r>
      <w:r w:rsidRPr="00EC0782" w:rsidR="000D0A40">
        <w:t xml:space="preserve">We thus find good cause exists for granting </w:t>
      </w:r>
      <w:r w:rsidRPr="00E15C33" w:rsidR="00401B42">
        <w:t xml:space="preserve">Google </w:t>
      </w:r>
      <w:r w:rsidRPr="00E15C33" w:rsidR="000D0A40">
        <w:t xml:space="preserve">a waiver of </w:t>
      </w:r>
      <w:r w:rsidRPr="00E15C33" w:rsidR="006617E1">
        <w:t xml:space="preserve">section </w:t>
      </w:r>
      <w:r w:rsidRPr="00E15C33" w:rsidR="000D0A40">
        <w:t>15.</w:t>
      </w:r>
      <w:r w:rsidRPr="00E15C33" w:rsidR="00401B42">
        <w:t>255</w:t>
      </w:r>
      <w:r w:rsidRPr="00E15C33" w:rsidR="000D0A40">
        <w:t>(</w:t>
      </w:r>
      <w:r w:rsidRPr="00E15C33" w:rsidR="00401B42">
        <w:t>c</w:t>
      </w:r>
      <w:r w:rsidRPr="00E15C33" w:rsidR="000D0A40">
        <w:t>)</w:t>
      </w:r>
      <w:r w:rsidRPr="00E15C33" w:rsidR="00401B42">
        <w:t>(</w:t>
      </w:r>
      <w:r w:rsidRPr="00E15C33" w:rsidR="006637AF">
        <w:t>3</w:t>
      </w:r>
      <w:r w:rsidRPr="00E15C33" w:rsidR="00401B42">
        <w:t>)</w:t>
      </w:r>
      <w:r w:rsidRPr="00E15C33" w:rsidR="000D0A40">
        <w:t xml:space="preserve">.  </w:t>
      </w:r>
      <w:r w:rsidR="00722DC8">
        <w:t xml:space="preserve">Finally, we note that </w:t>
      </w:r>
      <w:r w:rsidR="00722DC8">
        <w:rPr>
          <w:color w:val="000000" w:themeColor="text1"/>
          <w:szCs w:val="22"/>
        </w:rPr>
        <w:t xml:space="preserve">the </w:t>
      </w:r>
      <w:r w:rsidRPr="00722DC8" w:rsidR="00722DC8">
        <w:rPr>
          <w:color w:val="000000" w:themeColor="text1"/>
          <w:szCs w:val="22"/>
        </w:rPr>
        <w:t xml:space="preserve">use of portable electronic devices on board aircraft, including the Google Soli sensors, are </w:t>
      </w:r>
      <w:r w:rsidR="00722DC8">
        <w:rPr>
          <w:color w:val="000000" w:themeColor="text1"/>
          <w:szCs w:val="22"/>
        </w:rPr>
        <w:t xml:space="preserve">subject to </w:t>
      </w:r>
      <w:r w:rsidRPr="00722DC8" w:rsidR="00722DC8">
        <w:rPr>
          <w:color w:val="000000" w:themeColor="text1"/>
          <w:szCs w:val="22"/>
        </w:rPr>
        <w:t>FAA regulations</w:t>
      </w:r>
      <w:r w:rsidR="00577B69">
        <w:rPr>
          <w:color w:val="000000" w:themeColor="text1"/>
          <w:szCs w:val="22"/>
        </w:rPr>
        <w:t xml:space="preserve"> on portable electronic devices</w:t>
      </w:r>
      <w:r w:rsidR="00722DC8">
        <w:rPr>
          <w:color w:val="000000" w:themeColor="text1"/>
          <w:szCs w:val="22"/>
        </w:rPr>
        <w:t xml:space="preserve">.  This waiver grant does not affect </w:t>
      </w:r>
      <w:r w:rsidR="00DA5D83">
        <w:rPr>
          <w:color w:val="000000" w:themeColor="text1"/>
          <w:szCs w:val="22"/>
        </w:rPr>
        <w:t xml:space="preserve">obligations under </w:t>
      </w:r>
      <w:r w:rsidR="00722DC8">
        <w:rPr>
          <w:color w:val="000000" w:themeColor="text1"/>
          <w:szCs w:val="22"/>
        </w:rPr>
        <w:t>applicable FAA regulations.</w:t>
      </w:r>
    </w:p>
    <w:p w:rsidR="0056027B" w:rsidRPr="0068669E" w:rsidP="00E937AD" w14:paraId="43BC484C" w14:textId="77777777">
      <w:pPr>
        <w:pStyle w:val="ParaNum"/>
        <w:rPr>
          <w:color w:val="000000" w:themeColor="text1"/>
          <w:szCs w:val="22"/>
        </w:rPr>
      </w:pPr>
      <w:r w:rsidRPr="0068669E">
        <w:rPr>
          <w:color w:val="000000" w:themeColor="text1"/>
          <w:szCs w:val="22"/>
        </w:rPr>
        <w:t xml:space="preserve">Lastly, we will not pursue the requests in the comments filed by Continental and </w:t>
      </w:r>
      <w:r w:rsidRPr="0068669E">
        <w:rPr>
          <w:color w:val="000000" w:themeColor="text1"/>
          <w:szCs w:val="22"/>
        </w:rPr>
        <w:t>OmniPresense</w:t>
      </w:r>
      <w:r w:rsidRPr="0068669E">
        <w:rPr>
          <w:color w:val="000000" w:themeColor="text1"/>
          <w:szCs w:val="22"/>
        </w:rPr>
        <w:t xml:space="preserve"> seeking even higher power for field disturbance sensor operation in the 57</w:t>
      </w:r>
      <w:r w:rsidRPr="0068669E">
        <w:rPr>
          <w:color w:val="000000" w:themeColor="text1"/>
          <w:szCs w:val="22"/>
        </w:rPr>
        <w:noBreakHyphen/>
        <w:t>64 GHz band for possible uses in vehicular crash avoidance applications and other related vehicle safety functions.</w:t>
      </w:r>
      <w:r>
        <w:rPr>
          <w:rStyle w:val="FootnoteReference"/>
          <w:szCs w:val="22"/>
        </w:rPr>
        <w:footnoteReference w:id="51"/>
      </w:r>
      <w:r w:rsidRPr="0068669E">
        <w:rPr>
          <w:color w:val="000000" w:themeColor="text1"/>
          <w:szCs w:val="22"/>
        </w:rPr>
        <w:t xml:space="preserve">  These matters are outside the scope of the instant waiver request and the Commission has already provided new opportunities for vehicular radar applications in the 76-81 GHz band range.</w:t>
      </w:r>
      <w:r>
        <w:rPr>
          <w:rStyle w:val="FootnoteReference"/>
          <w:szCs w:val="22"/>
        </w:rPr>
        <w:footnoteReference w:id="52"/>
      </w:r>
    </w:p>
    <w:p w:rsidR="00FB1A81" w:rsidRPr="00063B69" w:rsidP="00E937AD" w14:paraId="292E5AE3" w14:textId="77777777">
      <w:pPr>
        <w:pStyle w:val="ParaNum"/>
        <w:rPr>
          <w:color w:val="000000" w:themeColor="text1"/>
          <w:szCs w:val="22"/>
        </w:rPr>
      </w:pPr>
      <w:r w:rsidRPr="00063B69">
        <w:rPr>
          <w:color w:val="000000" w:themeColor="text1"/>
          <w:szCs w:val="22"/>
        </w:rPr>
        <w:t xml:space="preserve">To ensure that harmful interference to authorized operations </w:t>
      </w:r>
      <w:r w:rsidR="002C204F">
        <w:rPr>
          <w:color w:val="000000" w:themeColor="text1"/>
          <w:szCs w:val="22"/>
        </w:rPr>
        <w:t xml:space="preserve">and other spectrum users </w:t>
      </w:r>
      <w:r w:rsidRPr="00063B69">
        <w:rPr>
          <w:color w:val="000000" w:themeColor="text1"/>
          <w:szCs w:val="22"/>
        </w:rPr>
        <w:t xml:space="preserve">will not occur, we impose explicit conditions on the </w:t>
      </w:r>
      <w:r w:rsidRPr="00063B69" w:rsidR="00401B42">
        <w:rPr>
          <w:color w:val="000000" w:themeColor="text1"/>
          <w:szCs w:val="22"/>
        </w:rPr>
        <w:t>installation,</w:t>
      </w:r>
      <w:r w:rsidRPr="00063B69">
        <w:rPr>
          <w:color w:val="000000" w:themeColor="text1"/>
          <w:szCs w:val="22"/>
        </w:rPr>
        <w:t xml:space="preserve"> operation </w:t>
      </w:r>
      <w:r w:rsidRPr="00063B69" w:rsidR="00401B42">
        <w:rPr>
          <w:color w:val="000000" w:themeColor="text1"/>
          <w:szCs w:val="22"/>
        </w:rPr>
        <w:t xml:space="preserve">and certification </w:t>
      </w:r>
      <w:r w:rsidRPr="00063B69">
        <w:rPr>
          <w:color w:val="000000" w:themeColor="text1"/>
          <w:szCs w:val="22"/>
        </w:rPr>
        <w:t xml:space="preserve">of the </w:t>
      </w:r>
      <w:r w:rsidRPr="00063B69" w:rsidR="00401B42">
        <w:rPr>
          <w:color w:val="000000" w:themeColor="text1"/>
          <w:szCs w:val="22"/>
        </w:rPr>
        <w:t>Google Soli sensor</w:t>
      </w:r>
      <w:r w:rsidRPr="00063B69">
        <w:rPr>
          <w:color w:val="000000" w:themeColor="text1"/>
          <w:szCs w:val="22"/>
        </w:rPr>
        <w:t xml:space="preserve"> under this waiver, as follows:</w:t>
      </w:r>
    </w:p>
    <w:p w:rsidR="00A53604" w:rsidRPr="007C603B" w:rsidP="007C603B" w14:paraId="72617C25" w14:textId="2D3C5A47">
      <w:pPr>
        <w:numPr>
          <w:ilvl w:val="0"/>
          <w:numId w:val="22"/>
        </w:numPr>
        <w:rPr>
          <w:color w:val="000000" w:themeColor="text1"/>
          <w:szCs w:val="22"/>
        </w:rPr>
      </w:pPr>
      <w:r w:rsidRPr="007C603B">
        <w:rPr>
          <w:color w:val="000000" w:themeColor="text1"/>
          <w:szCs w:val="22"/>
        </w:rPr>
        <w:t xml:space="preserve">The Google Soli sensor shall be certified for compliance with </w:t>
      </w:r>
      <w:r w:rsidRPr="007C603B" w:rsidR="00D06077">
        <w:rPr>
          <w:color w:val="000000" w:themeColor="text1"/>
          <w:szCs w:val="22"/>
        </w:rPr>
        <w:t xml:space="preserve">all </w:t>
      </w:r>
      <w:r w:rsidRPr="007C603B">
        <w:rPr>
          <w:color w:val="000000" w:themeColor="text1"/>
          <w:szCs w:val="22"/>
        </w:rPr>
        <w:t>the technical specifications applicable to operation under 47 </w:t>
      </w:r>
      <w:r w:rsidRPr="007C603B" w:rsidR="006E0C6C">
        <w:rPr>
          <w:color w:val="000000" w:themeColor="text1"/>
          <w:szCs w:val="22"/>
        </w:rPr>
        <w:t>CFR</w:t>
      </w:r>
      <w:r w:rsidRPr="007C603B" w:rsidR="00613EE5">
        <w:rPr>
          <w:color w:val="000000" w:themeColor="text1"/>
          <w:szCs w:val="22"/>
        </w:rPr>
        <w:t>.</w:t>
      </w:r>
      <w:r w:rsidRPr="007C603B">
        <w:rPr>
          <w:color w:val="000000" w:themeColor="text1"/>
          <w:szCs w:val="22"/>
        </w:rPr>
        <w:t xml:space="preserve"> Part 15</w:t>
      </w:r>
      <w:r w:rsidRPr="007C603B" w:rsidR="000D29CA">
        <w:rPr>
          <w:color w:val="000000" w:themeColor="text1"/>
          <w:szCs w:val="22"/>
        </w:rPr>
        <w:t xml:space="preserve">, with the exception </w:t>
      </w:r>
      <w:r w:rsidRPr="007C603B">
        <w:rPr>
          <w:color w:val="000000" w:themeColor="text1"/>
          <w:szCs w:val="22"/>
        </w:rPr>
        <w:t xml:space="preserve">of </w:t>
      </w:r>
      <w:r w:rsidRPr="007C603B" w:rsidR="00125D06">
        <w:rPr>
          <w:color w:val="000000" w:themeColor="text1"/>
          <w:szCs w:val="22"/>
        </w:rPr>
        <w:t xml:space="preserve">the </w:t>
      </w:r>
      <w:r w:rsidRPr="007C603B" w:rsidR="000E6AFE">
        <w:rPr>
          <w:color w:val="000000" w:themeColor="text1"/>
          <w:szCs w:val="22"/>
        </w:rPr>
        <w:t xml:space="preserve">following </w:t>
      </w:r>
      <w:r w:rsidRPr="007C603B" w:rsidR="00125D06">
        <w:rPr>
          <w:color w:val="000000" w:themeColor="text1"/>
          <w:szCs w:val="22"/>
        </w:rPr>
        <w:t>provisions in</w:t>
      </w:r>
      <w:r w:rsidRPr="007C603B" w:rsidR="000E6AFE">
        <w:rPr>
          <w:color w:val="000000" w:themeColor="text1"/>
          <w:szCs w:val="22"/>
        </w:rPr>
        <w:t>: 1)</w:t>
      </w:r>
      <w:r w:rsidRPr="007C603B">
        <w:rPr>
          <w:color w:val="000000" w:themeColor="text1"/>
          <w:szCs w:val="22"/>
        </w:rPr>
        <w:t> </w:t>
      </w:r>
      <w:r w:rsidRPr="007C603B" w:rsidR="00356A8C">
        <w:rPr>
          <w:color w:val="000000" w:themeColor="text1"/>
          <w:szCs w:val="22"/>
        </w:rPr>
        <w:t xml:space="preserve">47 CFR </w:t>
      </w:r>
      <w:r w:rsidRPr="007C603B">
        <w:rPr>
          <w:color w:val="000000" w:themeColor="text1"/>
          <w:szCs w:val="22"/>
        </w:rPr>
        <w:t>§ 15.255(c)(3)</w:t>
      </w:r>
      <w:r w:rsidRPr="007C603B" w:rsidR="000D29CA">
        <w:rPr>
          <w:color w:val="000000" w:themeColor="text1"/>
          <w:szCs w:val="22"/>
        </w:rPr>
        <w:t>, which</w:t>
      </w:r>
      <w:r w:rsidRPr="007C603B">
        <w:rPr>
          <w:color w:val="000000" w:themeColor="text1"/>
          <w:szCs w:val="22"/>
        </w:rPr>
        <w:t xml:space="preserve"> </w:t>
      </w:r>
      <w:r w:rsidRPr="007C603B" w:rsidR="00E0086E">
        <w:rPr>
          <w:color w:val="000000" w:themeColor="text1"/>
          <w:szCs w:val="22"/>
        </w:rPr>
        <w:t xml:space="preserve">is </w:t>
      </w:r>
      <w:r w:rsidRPr="007C603B">
        <w:rPr>
          <w:color w:val="000000" w:themeColor="text1"/>
          <w:szCs w:val="22"/>
        </w:rPr>
        <w:t xml:space="preserve">waived to allow the device to operate </w:t>
      </w:r>
      <w:r w:rsidRPr="007C603B" w:rsidR="000C062C">
        <w:rPr>
          <w:color w:val="000000" w:themeColor="text1"/>
          <w:szCs w:val="22"/>
        </w:rPr>
        <w:t>in the 57</w:t>
      </w:r>
      <w:r w:rsidRPr="007C603B" w:rsidR="000C062C">
        <w:rPr>
          <w:color w:val="000000" w:themeColor="text1"/>
          <w:szCs w:val="22"/>
        </w:rPr>
        <w:noBreakHyphen/>
        <w:t xml:space="preserve">64 GHz band </w:t>
      </w:r>
      <w:r w:rsidRPr="007C603B">
        <w:rPr>
          <w:color w:val="000000" w:themeColor="text1"/>
          <w:szCs w:val="22"/>
        </w:rPr>
        <w:t>at a maximum +</w:t>
      </w:r>
      <w:r w:rsidRPr="007C603B" w:rsidR="00044F0E">
        <w:rPr>
          <w:color w:val="000000" w:themeColor="text1"/>
          <w:szCs w:val="22"/>
        </w:rPr>
        <w:t>13</w:t>
      </w:r>
      <w:r w:rsidRPr="007C603B">
        <w:rPr>
          <w:color w:val="000000" w:themeColor="text1"/>
          <w:szCs w:val="22"/>
        </w:rPr>
        <w:t> dBm EIRP, +10 dBm transmitter conducted output power, and +13 dBm/MHz power spectral density</w:t>
      </w:r>
      <w:r w:rsidRPr="007C603B" w:rsidR="000E6AFE">
        <w:rPr>
          <w:color w:val="000000" w:themeColor="text1"/>
          <w:szCs w:val="22"/>
        </w:rPr>
        <w:t xml:space="preserve">; and 2) </w:t>
      </w:r>
      <w:r w:rsidRPr="007C603B" w:rsidR="00356A8C">
        <w:rPr>
          <w:color w:val="000000" w:themeColor="text1"/>
          <w:szCs w:val="22"/>
        </w:rPr>
        <w:t>47 CFR</w:t>
      </w:r>
      <w:r w:rsidRPr="007C603B" w:rsidR="000E6AFE">
        <w:rPr>
          <w:color w:val="000000" w:themeColor="text1"/>
          <w:szCs w:val="22"/>
        </w:rPr>
        <w:t> § 15.255(b)(</w:t>
      </w:r>
      <w:r w:rsidRPr="007C603B" w:rsidR="00B80CB3">
        <w:rPr>
          <w:color w:val="000000" w:themeColor="text1"/>
          <w:szCs w:val="22"/>
        </w:rPr>
        <w:t>2</w:t>
      </w:r>
      <w:r w:rsidRPr="007C603B" w:rsidR="000E6AFE">
        <w:rPr>
          <w:color w:val="000000" w:themeColor="text1"/>
          <w:szCs w:val="22"/>
        </w:rPr>
        <w:t>)</w:t>
      </w:r>
      <w:r w:rsidRPr="007C603B" w:rsidR="00E0086E">
        <w:rPr>
          <w:color w:val="000000" w:themeColor="text1"/>
          <w:szCs w:val="22"/>
        </w:rPr>
        <w:t>, which is waived to allow the device to operate on</w:t>
      </w:r>
      <w:r w:rsidRPr="007C603B" w:rsidR="00E0086E">
        <w:rPr>
          <w:color w:val="000000" w:themeColor="text1"/>
          <w:szCs w:val="22"/>
        </w:rPr>
        <w:noBreakHyphen/>
        <w:t>board aircraft</w:t>
      </w:r>
      <w:r w:rsidRPr="007C603B" w:rsidR="00B80CB3">
        <w:rPr>
          <w:color w:val="000000" w:themeColor="text1"/>
          <w:szCs w:val="22"/>
        </w:rPr>
        <w:t xml:space="preserve"> while not being part of a closed, exclusive on</w:t>
      </w:r>
      <w:r w:rsidRPr="007C603B" w:rsidR="00B80CB3">
        <w:rPr>
          <w:color w:val="000000" w:themeColor="text1"/>
          <w:szCs w:val="22"/>
        </w:rPr>
        <w:noBreakHyphen/>
        <w:t>board communication networks within the aircraft</w:t>
      </w:r>
      <w:r w:rsidRPr="007C603B">
        <w:rPr>
          <w:color w:val="000000" w:themeColor="text1"/>
          <w:szCs w:val="22"/>
        </w:rPr>
        <w:t xml:space="preserve">.  </w:t>
      </w:r>
      <w:r w:rsidRPr="007C603B" w:rsidR="00273B74">
        <w:rPr>
          <w:color w:val="000000" w:themeColor="text1"/>
          <w:szCs w:val="22"/>
        </w:rPr>
        <w:t>However, t</w:t>
      </w:r>
      <w:r w:rsidRPr="007C603B" w:rsidR="00446E17">
        <w:rPr>
          <w:color w:val="000000" w:themeColor="text1"/>
          <w:szCs w:val="22"/>
        </w:rPr>
        <w:t>he Google Soli sensor shall comply with the prohibitions of use specified in 47 CFR § 15.255(b)(2)(</w:t>
      </w:r>
      <w:r w:rsidRPr="007C603B" w:rsidR="00446E17">
        <w:rPr>
          <w:color w:val="000000" w:themeColor="text1"/>
          <w:szCs w:val="22"/>
        </w:rPr>
        <w:t>i</w:t>
      </w:r>
      <w:r w:rsidRPr="007C603B" w:rsidR="00446E17">
        <w:rPr>
          <w:color w:val="000000" w:themeColor="text1"/>
          <w:szCs w:val="22"/>
        </w:rPr>
        <w:t>) and (ii).</w:t>
      </w:r>
    </w:p>
    <w:p w:rsidR="000C062C" w:rsidRPr="00063B69" w:rsidP="000C062C" w14:paraId="20E494CC" w14:textId="7F602FA1">
      <w:pPr>
        <w:numPr>
          <w:ilvl w:val="0"/>
          <w:numId w:val="22"/>
        </w:numPr>
        <w:rPr>
          <w:color w:val="000000" w:themeColor="text1"/>
          <w:szCs w:val="22"/>
        </w:rPr>
      </w:pPr>
      <w:r w:rsidRPr="00063B69">
        <w:rPr>
          <w:color w:val="000000" w:themeColor="text1"/>
          <w:szCs w:val="22"/>
        </w:rPr>
        <w:t xml:space="preserve">The Google Soli </w:t>
      </w:r>
      <w:r>
        <w:rPr>
          <w:color w:val="000000" w:themeColor="text1"/>
          <w:szCs w:val="22"/>
        </w:rPr>
        <w:t>s</w:t>
      </w:r>
      <w:r w:rsidRPr="00063B69">
        <w:rPr>
          <w:color w:val="000000" w:themeColor="text1"/>
          <w:szCs w:val="22"/>
        </w:rPr>
        <w:t>ensor shall operate with a m</w:t>
      </w:r>
      <w:r w:rsidRPr="00241CC2">
        <w:rPr>
          <w:color w:val="000000" w:themeColor="text1"/>
          <w:kern w:val="0"/>
        </w:rPr>
        <w:t>aximum transmit duty cycle of 10</w:t>
      </w:r>
      <w:r w:rsidR="00834368">
        <w:rPr>
          <w:color w:val="000000" w:themeColor="text1"/>
          <w:kern w:val="0"/>
        </w:rPr>
        <w:t xml:space="preserve"> percent</w:t>
      </w:r>
      <w:r w:rsidRPr="00241CC2">
        <w:rPr>
          <w:color w:val="000000" w:themeColor="text1"/>
          <w:kern w:val="0"/>
        </w:rPr>
        <w:t xml:space="preserve"> in any 33 milliseconds (</w:t>
      </w:r>
      <w:r w:rsidRPr="00241CC2">
        <w:rPr>
          <w:color w:val="000000" w:themeColor="text1"/>
          <w:kern w:val="0"/>
        </w:rPr>
        <w:t>ms</w:t>
      </w:r>
      <w:r w:rsidRPr="00241CC2">
        <w:rPr>
          <w:color w:val="000000" w:themeColor="text1"/>
          <w:kern w:val="0"/>
        </w:rPr>
        <w:t>) interval (i.e., the Soli sensor will not transmit longer than a total of 3.3 </w:t>
      </w:r>
      <w:r w:rsidRPr="00241CC2">
        <w:rPr>
          <w:color w:val="000000" w:themeColor="text1"/>
          <w:kern w:val="0"/>
        </w:rPr>
        <w:t>ms</w:t>
      </w:r>
      <w:r w:rsidRPr="00241CC2">
        <w:rPr>
          <w:color w:val="000000" w:themeColor="text1"/>
          <w:kern w:val="0"/>
        </w:rPr>
        <w:t xml:space="preserve"> in any 33 </w:t>
      </w:r>
      <w:r w:rsidRPr="00241CC2">
        <w:rPr>
          <w:color w:val="000000" w:themeColor="text1"/>
          <w:kern w:val="0"/>
        </w:rPr>
        <w:t>ms</w:t>
      </w:r>
      <w:r w:rsidRPr="00241CC2">
        <w:rPr>
          <w:color w:val="000000" w:themeColor="text1"/>
          <w:kern w:val="0"/>
        </w:rPr>
        <w:t xml:space="preserve"> </w:t>
      </w:r>
      <w:r w:rsidRPr="00241CC2">
        <w:rPr>
          <w:color w:val="000000" w:themeColor="text1"/>
          <w:kern w:val="0"/>
        </w:rPr>
        <w:t>time period</w:t>
      </w:r>
      <w:r w:rsidRPr="00241CC2">
        <w:rPr>
          <w:color w:val="000000" w:themeColor="text1"/>
          <w:kern w:val="0"/>
        </w:rPr>
        <w:t>).</w:t>
      </w:r>
    </w:p>
    <w:p w:rsidR="0056027B" w:rsidRPr="00063B69" w:rsidP="00E27F67" w14:paraId="7C2D2B99" w14:textId="77777777">
      <w:pPr>
        <w:numPr>
          <w:ilvl w:val="0"/>
          <w:numId w:val="22"/>
        </w:numPr>
        <w:rPr>
          <w:color w:val="000000" w:themeColor="text1"/>
          <w:szCs w:val="22"/>
        </w:rPr>
      </w:pPr>
      <w:r w:rsidRPr="00063B69">
        <w:rPr>
          <w:snapToGrid/>
          <w:color w:val="000000" w:themeColor="text1"/>
          <w:szCs w:val="22"/>
        </w:rPr>
        <w:t>A copy of this Order shall be provided with the application for certification of the device.</w:t>
      </w:r>
    </w:p>
    <w:p w:rsidR="00134086" w:rsidRPr="00063B69" w:rsidP="00134086" w14:paraId="6BEE9673" w14:textId="77777777">
      <w:pPr>
        <w:numPr>
          <w:ilvl w:val="0"/>
          <w:numId w:val="22"/>
        </w:numPr>
        <w:spacing w:after="120"/>
        <w:rPr>
          <w:color w:val="000000" w:themeColor="text1"/>
          <w:szCs w:val="22"/>
        </w:rPr>
      </w:pPr>
      <w:r w:rsidRPr="00063B69">
        <w:rPr>
          <w:snapToGrid/>
          <w:color w:val="000000" w:themeColor="text1"/>
          <w:szCs w:val="22"/>
        </w:rPr>
        <w:t xml:space="preserve">This waiver </w:t>
      </w:r>
      <w:r w:rsidRPr="00063B69" w:rsidR="005170DA">
        <w:rPr>
          <w:snapToGrid/>
          <w:color w:val="000000" w:themeColor="text1"/>
          <w:szCs w:val="22"/>
        </w:rPr>
        <w:t xml:space="preserve">and its conditions </w:t>
      </w:r>
      <w:r w:rsidRPr="00063B69">
        <w:rPr>
          <w:snapToGrid/>
          <w:color w:val="000000" w:themeColor="text1"/>
          <w:szCs w:val="22"/>
        </w:rPr>
        <w:t xml:space="preserve">shall apply only to the Google Soli sensor as described herein and </w:t>
      </w:r>
      <w:r w:rsidRPr="00063B69" w:rsidR="005170DA">
        <w:rPr>
          <w:color w:val="000000" w:themeColor="text1"/>
          <w:szCs w:val="22"/>
        </w:rPr>
        <w:t>are</w:t>
      </w:r>
      <w:r w:rsidRPr="00063B69">
        <w:rPr>
          <w:color w:val="000000" w:themeColor="text1"/>
          <w:szCs w:val="22"/>
        </w:rPr>
        <w:t xml:space="preserve"> not to be considered to apply generally to other </w:t>
      </w:r>
      <w:r w:rsidRPr="00063B69" w:rsidR="00B30F13">
        <w:rPr>
          <w:color w:val="000000" w:themeColor="text1"/>
          <w:szCs w:val="22"/>
        </w:rPr>
        <w:t>field disturbance</w:t>
      </w:r>
      <w:r w:rsidR="0082506F">
        <w:rPr>
          <w:color w:val="000000" w:themeColor="text1"/>
          <w:szCs w:val="22"/>
        </w:rPr>
        <w:t xml:space="preserve"> sensors</w:t>
      </w:r>
      <w:r w:rsidRPr="00063B69">
        <w:rPr>
          <w:color w:val="000000" w:themeColor="text1"/>
          <w:szCs w:val="22"/>
        </w:rPr>
        <w:t xml:space="preserve">.  </w:t>
      </w:r>
    </w:p>
    <w:p w:rsidR="00B21FE2" w:rsidRPr="00063B69" w:rsidP="00E937AD" w14:paraId="3B0E9C02" w14:textId="77777777">
      <w:pPr>
        <w:pStyle w:val="ParaNum"/>
        <w:rPr>
          <w:color w:val="000000" w:themeColor="text1"/>
          <w:szCs w:val="22"/>
        </w:rPr>
      </w:pPr>
      <w:r w:rsidRPr="00063B69">
        <w:rPr>
          <w:color w:val="000000" w:themeColor="text1"/>
          <w:szCs w:val="22"/>
        </w:rPr>
        <w:t>Accordingly, pursuant to authority in Sections 0.31, 0.241, and 1.3 of the Commission</w:t>
      </w:r>
      <w:r w:rsidRPr="00063B69" w:rsidR="000356BE">
        <w:rPr>
          <w:color w:val="000000" w:themeColor="text1"/>
          <w:szCs w:val="22"/>
        </w:rPr>
        <w:t>’</w:t>
      </w:r>
      <w:r w:rsidRPr="00063B69">
        <w:rPr>
          <w:color w:val="000000" w:themeColor="text1"/>
          <w:szCs w:val="22"/>
        </w:rPr>
        <w:t>s rules, 47 CFR §§ 0.21, 0.241, and 1.3, and Sections 4(</w:t>
      </w:r>
      <w:r w:rsidRPr="00063B69">
        <w:rPr>
          <w:color w:val="000000" w:themeColor="text1"/>
          <w:szCs w:val="22"/>
        </w:rPr>
        <w:t>i</w:t>
      </w:r>
      <w:r w:rsidRPr="00063B69">
        <w:rPr>
          <w:color w:val="000000" w:themeColor="text1"/>
          <w:szCs w:val="22"/>
        </w:rPr>
        <w:t>), 302, 303(e), and 303(r) of the Communications Act of 1934, as amended, 47 U.S.C. §§ 154(</w:t>
      </w:r>
      <w:r w:rsidRPr="00063B69">
        <w:rPr>
          <w:color w:val="000000" w:themeColor="text1"/>
          <w:szCs w:val="22"/>
        </w:rPr>
        <w:t>i</w:t>
      </w:r>
      <w:r w:rsidRPr="00063B69">
        <w:rPr>
          <w:color w:val="000000" w:themeColor="text1"/>
          <w:szCs w:val="22"/>
        </w:rPr>
        <w:t>), 302, 303(e), and 303(r), IT IS ORDERED that the Request</w:t>
      </w:r>
      <w:r w:rsidRPr="00063B69">
        <w:rPr>
          <w:i/>
          <w:color w:val="000000" w:themeColor="text1"/>
          <w:szCs w:val="22"/>
        </w:rPr>
        <w:t xml:space="preserve"> </w:t>
      </w:r>
      <w:r w:rsidRPr="00063B69">
        <w:rPr>
          <w:color w:val="000000" w:themeColor="text1"/>
          <w:szCs w:val="22"/>
        </w:rPr>
        <w:t xml:space="preserve">for Waiver filed by </w:t>
      </w:r>
      <w:r w:rsidRPr="00063B69" w:rsidR="008757B8">
        <w:rPr>
          <w:color w:val="000000" w:themeColor="text1"/>
          <w:szCs w:val="22"/>
        </w:rPr>
        <w:t>Google</w:t>
      </w:r>
      <w:r w:rsidRPr="00063B69" w:rsidR="00002C61">
        <w:rPr>
          <w:color w:val="000000" w:themeColor="text1"/>
          <w:szCs w:val="22"/>
        </w:rPr>
        <w:t>,</w:t>
      </w:r>
      <w:r w:rsidRPr="00063B69" w:rsidR="00F00411">
        <w:rPr>
          <w:color w:val="000000" w:themeColor="text1"/>
          <w:szCs w:val="22"/>
        </w:rPr>
        <w:t xml:space="preserve"> </w:t>
      </w:r>
      <w:r w:rsidRPr="00063B69" w:rsidR="00002C61">
        <w:rPr>
          <w:color w:val="000000" w:themeColor="text1"/>
          <w:szCs w:val="22"/>
        </w:rPr>
        <w:t>LLC</w:t>
      </w:r>
      <w:r w:rsidRPr="00063B69">
        <w:rPr>
          <w:color w:val="000000" w:themeColor="text1"/>
          <w:szCs w:val="22"/>
        </w:rPr>
        <w:t xml:space="preserve"> IS GRANTED, consistent with the terms of this Order.  This action is effective upon release of this Order</w:t>
      </w:r>
      <w:r w:rsidRPr="00063B69">
        <w:rPr>
          <w:b/>
          <w:color w:val="000000" w:themeColor="text1"/>
          <w:szCs w:val="22"/>
        </w:rPr>
        <w:t>.</w:t>
      </w:r>
    </w:p>
    <w:p w:rsidR="00413A83" w:rsidP="002C204F" w14:paraId="3A83D7A9" w14:textId="77777777">
      <w:pPr>
        <w:pStyle w:val="ParaNum"/>
        <w:rPr>
          <w:color w:val="000000" w:themeColor="text1"/>
          <w:szCs w:val="22"/>
        </w:rPr>
      </w:pPr>
      <w:r w:rsidRPr="00063B69">
        <w:rPr>
          <w:color w:val="000000" w:themeColor="text1"/>
          <w:szCs w:val="22"/>
        </w:rPr>
        <w:t>IT IS FURTHER ORDERED that, if no petitions for reconsideration or applications for review are timely filed, this proceeding SHALL BE TERMINATED</w:t>
      </w:r>
      <w:r w:rsidRPr="00063B69" w:rsidR="00A34F05">
        <w:rPr>
          <w:color w:val="000000" w:themeColor="text1"/>
          <w:szCs w:val="22"/>
        </w:rPr>
        <w:t>,</w:t>
      </w:r>
      <w:r w:rsidRPr="00063B69">
        <w:rPr>
          <w:color w:val="000000" w:themeColor="text1"/>
          <w:szCs w:val="22"/>
        </w:rPr>
        <w:t xml:space="preserve"> and the docket CLOSED.</w:t>
      </w:r>
      <w:r w:rsidRPr="00063B69" w:rsidR="00F232C5">
        <w:rPr>
          <w:color w:val="000000" w:themeColor="text1"/>
          <w:szCs w:val="22"/>
        </w:rPr>
        <w:t xml:space="preserve"> </w:t>
      </w:r>
    </w:p>
    <w:p w:rsidR="00126816" w:rsidRPr="00063B69" w:rsidP="00F126DD" w14:paraId="6EF54D8D" w14:textId="77777777">
      <w:pPr>
        <w:pStyle w:val="ParaNum"/>
        <w:numPr>
          <w:ilvl w:val="0"/>
          <w:numId w:val="0"/>
        </w:numPr>
        <w:ind w:left="720"/>
        <w:rPr>
          <w:color w:val="000000" w:themeColor="text1"/>
          <w:szCs w:val="22"/>
        </w:rPr>
      </w:pPr>
    </w:p>
    <w:p w:rsidR="00B21FE2" w:rsidRPr="00063B69" w14:paraId="53AD0E49" w14:textId="77777777">
      <w:pPr>
        <w:pStyle w:val="ParaNum"/>
        <w:numPr>
          <w:ilvl w:val="0"/>
          <w:numId w:val="0"/>
        </w:numPr>
        <w:tabs>
          <w:tab w:val="left" w:pos="720"/>
          <w:tab w:val="left" w:pos="1800"/>
        </w:tabs>
        <w:ind w:left="180"/>
        <w:rPr>
          <w:color w:val="000000" w:themeColor="text1"/>
          <w:szCs w:val="22"/>
        </w:rPr>
      </w:pP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t>FEDERAL COMMUNICATIONS COMMISSION</w:t>
      </w:r>
    </w:p>
    <w:p w:rsidR="00B21FE2" w14:paraId="3109EE4C" w14:textId="77777777">
      <w:pPr>
        <w:pStyle w:val="Style30"/>
        <w:ind w:firstLine="0"/>
        <w:rPr>
          <w:color w:val="000000" w:themeColor="text1"/>
          <w:szCs w:val="22"/>
        </w:rPr>
      </w:pPr>
    </w:p>
    <w:p w:rsidR="00EF1D64" w:rsidRPr="00063B69" w14:paraId="6507A30A" w14:textId="77777777">
      <w:pPr>
        <w:pStyle w:val="Style30"/>
        <w:ind w:firstLine="0"/>
        <w:rPr>
          <w:color w:val="000000" w:themeColor="text1"/>
          <w:szCs w:val="22"/>
        </w:rPr>
      </w:pPr>
    </w:p>
    <w:p w:rsidR="00B21FE2" w:rsidRPr="00063B69" w14:paraId="710690C5" w14:textId="77777777">
      <w:pPr>
        <w:pStyle w:val="Style30"/>
        <w:spacing w:after="0"/>
        <w:ind w:firstLine="0"/>
        <w:rPr>
          <w:color w:val="000000" w:themeColor="text1"/>
          <w:szCs w:val="22"/>
        </w:rPr>
      </w:pP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t>Julius P. Knapp</w:t>
      </w:r>
    </w:p>
    <w:p w:rsidR="00B21FE2" w:rsidRPr="00063B69" w14:paraId="23ECC31D" w14:textId="77777777">
      <w:pPr>
        <w:pStyle w:val="Style30"/>
        <w:ind w:firstLine="0"/>
        <w:rPr>
          <w:color w:val="000000" w:themeColor="text1"/>
          <w:szCs w:val="22"/>
        </w:rPr>
      </w:pP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r>
      <w:r w:rsidRPr="00063B69">
        <w:rPr>
          <w:color w:val="000000" w:themeColor="text1"/>
          <w:szCs w:val="22"/>
        </w:rPr>
        <w:tab/>
        <w:t>Chief, Office of Engineering and Technology</w:t>
      </w:r>
    </w:p>
    <w:sectPr w:rsidSect="00464217">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EC8" w14:paraId="36D760E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89D" w14:paraId="2AE563B4" w14:textId="77777777">
      <w:pPr>
        <w:rPr>
          <w:sz w:val="20"/>
        </w:rPr>
      </w:pPr>
      <w:r>
        <w:rPr>
          <w:sz w:val="20"/>
        </w:rPr>
        <w:separator/>
      </w:r>
    </w:p>
  </w:footnote>
  <w:footnote w:type="continuationSeparator" w:id="1">
    <w:p w:rsidR="00E0389D" w14:paraId="4422CCDC" w14:textId="77777777">
      <w:pPr>
        <w:rPr>
          <w:sz w:val="20"/>
        </w:rPr>
      </w:pPr>
      <w:r>
        <w:rPr>
          <w:sz w:val="20"/>
        </w:rPr>
        <w:separator/>
      </w:r>
    </w:p>
    <w:p w:rsidR="00E0389D" w14:paraId="0619EEBD" w14:textId="77777777">
      <w:pPr>
        <w:rPr>
          <w:sz w:val="20"/>
        </w:rPr>
      </w:pPr>
      <w:r>
        <w:rPr>
          <w:sz w:val="20"/>
        </w:rPr>
        <w:t>(...continued from previous page)</w:t>
      </w:r>
    </w:p>
  </w:footnote>
  <w:footnote w:type="continuationNotice" w:id="2">
    <w:p w:rsidR="00E0389D" w:rsidRPr="008061CF" w:rsidP="008061CF" w14:paraId="11C99290" w14:textId="77777777">
      <w:pPr>
        <w:pStyle w:val="Footer"/>
      </w:pPr>
    </w:p>
  </w:footnote>
  <w:footnote w:id="3">
    <w:p w:rsidR="006A4EC8" w:rsidRPr="00116970" w:rsidP="00CD38CD" w14:paraId="381C4CAD"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Google, LLC’s Request for Waiver of </w:t>
      </w:r>
      <w:r>
        <w:rPr>
          <w:color w:val="000000" w:themeColor="text1"/>
        </w:rPr>
        <w:t xml:space="preserve">section </w:t>
      </w:r>
      <w:r w:rsidRPr="00116970">
        <w:rPr>
          <w:color w:val="000000" w:themeColor="text1"/>
        </w:rPr>
        <w:t>15.255(c)(3) the Commission’s Rules (filed Mar</w:t>
      </w:r>
      <w:r>
        <w:rPr>
          <w:color w:val="000000" w:themeColor="text1"/>
        </w:rPr>
        <w:t>.</w:t>
      </w:r>
      <w:r w:rsidRPr="00116970">
        <w:rPr>
          <w:color w:val="000000" w:themeColor="text1"/>
        </w:rPr>
        <w:t xml:space="preserve"> 7, 2018) (</w:t>
      </w:r>
      <w:r w:rsidRPr="00BB3358">
        <w:rPr>
          <w:i/>
          <w:color w:val="000000" w:themeColor="text1"/>
        </w:rPr>
        <w:t>Google Waiver</w:t>
      </w:r>
      <w:r>
        <w:rPr>
          <w:color w:val="000000" w:themeColor="text1"/>
        </w:rPr>
        <w:t xml:space="preserve"> </w:t>
      </w:r>
      <w:r w:rsidRPr="00116970">
        <w:rPr>
          <w:i/>
          <w:color w:val="000000" w:themeColor="text1"/>
        </w:rPr>
        <w:t>Request</w:t>
      </w:r>
      <w:r w:rsidRPr="00116970">
        <w:rPr>
          <w:color w:val="000000" w:themeColor="text1"/>
        </w:rPr>
        <w:t>)</w:t>
      </w:r>
      <w:r>
        <w:rPr>
          <w:color w:val="000000" w:themeColor="text1"/>
        </w:rPr>
        <w:t xml:space="preserve">; Letter from Megan Anne Stull, </w:t>
      </w:r>
      <w:r>
        <w:t>Google LLC, and Pankaj Venugopal, Facebook, Inc., to Marlene Dortch, FCC, ET Docket No. 18-70 (filed Sept. 7, 2018)</w:t>
      </w:r>
      <w:r w:rsidRPr="00116970">
        <w:rPr>
          <w:color w:val="000000" w:themeColor="text1"/>
        </w:rPr>
        <w:t xml:space="preserve"> </w:t>
      </w:r>
      <w:r>
        <w:t>(</w:t>
      </w:r>
      <w:bookmarkStart w:id="2" w:name="_Hlk531001496"/>
      <w:r w:rsidRPr="00BB3358">
        <w:rPr>
          <w:i/>
        </w:rPr>
        <w:t xml:space="preserve">Google-Facebook Joint </w:t>
      </w:r>
      <w:r>
        <w:rPr>
          <w:i/>
        </w:rPr>
        <w:t>ex</w:t>
      </w:r>
      <w:r w:rsidR="00762A9A">
        <w:rPr>
          <w:i/>
        </w:rPr>
        <w:t xml:space="preserve"> </w:t>
      </w:r>
      <w:r>
        <w:rPr>
          <w:i/>
        </w:rPr>
        <w:t>parte</w:t>
      </w:r>
      <w:r>
        <w:rPr>
          <w:i/>
        </w:rPr>
        <w:t xml:space="preserve"> </w:t>
      </w:r>
      <w:r w:rsidRPr="00BB3358">
        <w:rPr>
          <w:i/>
        </w:rPr>
        <w:t>Filing</w:t>
      </w:r>
      <w:bookmarkEnd w:id="2"/>
      <w:r>
        <w:t xml:space="preserve">). </w:t>
      </w:r>
    </w:p>
  </w:footnote>
  <w:footnote w:id="4">
    <w:p w:rsidR="006A4EC8" w:rsidRPr="00116970" w14:paraId="30B6574D"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47 CFR § 15.255(c)(3).</w:t>
      </w:r>
    </w:p>
  </w:footnote>
  <w:footnote w:id="5">
    <w:p w:rsidR="00A3198F" w:rsidRPr="00A3198F" w14:paraId="5E3FDF44" w14:textId="06893A20">
      <w:pPr>
        <w:pStyle w:val="FootnoteText"/>
      </w:pPr>
      <w:r>
        <w:rPr>
          <w:rStyle w:val="FootnoteReference"/>
        </w:rPr>
        <w:footnoteRef/>
      </w:r>
      <w:r>
        <w:t xml:space="preserve"> </w:t>
      </w:r>
      <w:r w:rsidRPr="00116970">
        <w:rPr>
          <w:color w:val="000000" w:themeColor="text1"/>
        </w:rPr>
        <w:t>47 CFR § 15.255(</w:t>
      </w:r>
      <w:r>
        <w:rPr>
          <w:color w:val="000000" w:themeColor="text1"/>
        </w:rPr>
        <w:t>b</w:t>
      </w:r>
      <w:r w:rsidRPr="00116970">
        <w:rPr>
          <w:color w:val="000000" w:themeColor="text1"/>
        </w:rPr>
        <w:t>)(</w:t>
      </w:r>
      <w:r>
        <w:rPr>
          <w:color w:val="000000" w:themeColor="text1"/>
        </w:rPr>
        <w:t>2</w:t>
      </w:r>
      <w:r w:rsidRPr="00116970">
        <w:rPr>
          <w:color w:val="000000" w:themeColor="text1"/>
        </w:rPr>
        <w:t>).</w:t>
      </w:r>
      <w:r w:rsidR="00DB5C9A">
        <w:rPr>
          <w:color w:val="000000" w:themeColor="text1"/>
        </w:rPr>
        <w:t xml:space="preserve">  </w:t>
      </w:r>
    </w:p>
  </w:footnote>
  <w:footnote w:id="6">
    <w:p w:rsidR="006A4EC8" w:rsidRPr="00116970" w:rsidP="008D00EA" w14:paraId="536519AE"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47 </w:t>
      </w:r>
      <w:r>
        <w:rPr>
          <w:color w:val="000000" w:themeColor="text1"/>
        </w:rPr>
        <w:t>CFR</w:t>
      </w:r>
      <w:r w:rsidRPr="00116970">
        <w:rPr>
          <w:color w:val="000000" w:themeColor="text1"/>
        </w:rPr>
        <w:t xml:space="preserve"> </w:t>
      </w:r>
      <w:bookmarkStart w:id="3" w:name="_Hlk530470273"/>
      <w:r w:rsidRPr="00116970">
        <w:rPr>
          <w:color w:val="000000" w:themeColor="text1"/>
          <w:spacing w:val="-2"/>
        </w:rPr>
        <w:t>§</w:t>
      </w:r>
      <w:bookmarkEnd w:id="3"/>
      <w:r w:rsidRPr="00116970">
        <w:rPr>
          <w:color w:val="000000" w:themeColor="text1"/>
          <w:spacing w:val="-2"/>
        </w:rPr>
        <w:t xml:space="preserve">§ 15.1 </w:t>
      </w:r>
      <w:r w:rsidRPr="00116970">
        <w:rPr>
          <w:i/>
          <w:color w:val="000000" w:themeColor="text1"/>
          <w:spacing w:val="-2"/>
        </w:rPr>
        <w:t>et seq</w:t>
      </w:r>
      <w:r w:rsidRPr="00116970">
        <w:rPr>
          <w:color w:val="000000" w:themeColor="text1"/>
          <w:spacing w:val="-2"/>
        </w:rPr>
        <w:t>.</w:t>
      </w:r>
      <w:r>
        <w:rPr>
          <w:color w:val="000000" w:themeColor="text1"/>
          <w:spacing w:val="-2"/>
        </w:rPr>
        <w:t xml:space="preserve">  </w:t>
      </w:r>
      <w:r w:rsidRPr="00116970">
        <w:rPr>
          <w:color w:val="000000" w:themeColor="text1"/>
        </w:rPr>
        <w:t xml:space="preserve">The </w:t>
      </w:r>
      <w:r>
        <w:rPr>
          <w:color w:val="000000" w:themeColor="text1"/>
        </w:rPr>
        <w:t xml:space="preserve">fundamental </w:t>
      </w:r>
      <w:r w:rsidRPr="00116970">
        <w:rPr>
          <w:color w:val="000000" w:themeColor="text1"/>
        </w:rPr>
        <w:t>operating conditions under Part 15 are that the operator of a Part 15 device must accept whatever interference is received and must correct whatever harmful interference i</w:t>
      </w:r>
      <w:r>
        <w:rPr>
          <w:color w:val="000000" w:themeColor="text1"/>
        </w:rPr>
        <w:t>t</w:t>
      </w:r>
      <w:r w:rsidRPr="00116970">
        <w:rPr>
          <w:color w:val="000000" w:themeColor="text1"/>
        </w:rPr>
        <w:t xml:space="preserve"> caused.  Should harmful interference occur, the operator is required to immediately correct the interference problem</w:t>
      </w:r>
      <w:r w:rsidRPr="00164AF5">
        <w:rPr>
          <w:color w:val="000000" w:themeColor="text1"/>
        </w:rPr>
        <w:t>, even if correction of the problem requires ceasing operation of the Part 15 equipment causing interference</w:t>
      </w:r>
      <w:r>
        <w:rPr>
          <w:color w:val="000000" w:themeColor="text1"/>
        </w:rPr>
        <w:t>.</w:t>
      </w:r>
      <w:r w:rsidRPr="00116970">
        <w:rPr>
          <w:color w:val="000000" w:themeColor="text1"/>
        </w:rPr>
        <w:t xml:space="preserve">  </w:t>
      </w:r>
      <w:r w:rsidRPr="00116970">
        <w:rPr>
          <w:i/>
          <w:color w:val="000000" w:themeColor="text1"/>
        </w:rPr>
        <w:t>See</w:t>
      </w:r>
      <w:r w:rsidRPr="00116970">
        <w:rPr>
          <w:color w:val="000000" w:themeColor="text1"/>
        </w:rPr>
        <w:t xml:space="preserve"> 47 </w:t>
      </w:r>
      <w:r>
        <w:rPr>
          <w:color w:val="000000" w:themeColor="text1"/>
        </w:rPr>
        <w:t>CFR</w:t>
      </w:r>
      <w:r w:rsidRPr="00116970">
        <w:rPr>
          <w:color w:val="000000" w:themeColor="text1"/>
        </w:rPr>
        <w:t xml:space="preserve"> </w:t>
      </w:r>
      <w:r w:rsidRPr="00116970">
        <w:rPr>
          <w:color w:val="000000" w:themeColor="text1"/>
          <w:spacing w:val="-2"/>
        </w:rPr>
        <w:t>§ 15.5.</w:t>
      </w:r>
    </w:p>
  </w:footnote>
  <w:footnote w:id="7">
    <w:p w:rsidR="006A4EC8" w:rsidRPr="00116970" w:rsidP="0021112B" w14:paraId="68970A37"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47 </w:t>
      </w:r>
      <w:r>
        <w:rPr>
          <w:color w:val="000000" w:themeColor="text1"/>
        </w:rPr>
        <w:t>CFR</w:t>
      </w:r>
      <w:r w:rsidRPr="00116970">
        <w:rPr>
          <w:color w:val="000000" w:themeColor="text1"/>
        </w:rPr>
        <w:t xml:space="preserve"> § 15.255.</w:t>
      </w:r>
      <w:r>
        <w:rPr>
          <w:color w:val="000000" w:themeColor="text1"/>
        </w:rPr>
        <w:t xml:space="preserve">  </w:t>
      </w:r>
      <w:r w:rsidRPr="00116970">
        <w:rPr>
          <w:i/>
          <w:color w:val="000000" w:themeColor="text1"/>
        </w:rPr>
        <w:t>See</w:t>
      </w:r>
      <w:r w:rsidRPr="003069CE">
        <w:rPr>
          <w:i/>
          <w:color w:val="000000" w:themeColor="text1"/>
        </w:rPr>
        <w:t xml:space="preserve"> </w:t>
      </w:r>
      <w:r w:rsidRPr="00BB3358">
        <w:rPr>
          <w:i/>
          <w:color w:val="000000" w:themeColor="text1"/>
        </w:rPr>
        <w:t>Revision of Part 15 of the Commission’s Rules Regarding Operation in the 57-64 GHz Band</w:t>
      </w:r>
      <w:r w:rsidRPr="00116970">
        <w:rPr>
          <w:color w:val="000000" w:themeColor="text1"/>
        </w:rPr>
        <w:t xml:space="preserve">, </w:t>
      </w:r>
      <w:r w:rsidRPr="00BB3358">
        <w:rPr>
          <w:color w:val="000000" w:themeColor="text1"/>
        </w:rPr>
        <w:t>Report and Order</w:t>
      </w:r>
      <w:r w:rsidRPr="00116970">
        <w:rPr>
          <w:color w:val="000000" w:themeColor="text1"/>
        </w:rPr>
        <w:t xml:space="preserve">, 28 FCC </w:t>
      </w:r>
      <w:r w:rsidRPr="00116970">
        <w:rPr>
          <w:color w:val="000000" w:themeColor="text1"/>
        </w:rPr>
        <w:t>Rcd</w:t>
      </w:r>
      <w:r w:rsidRPr="00116970">
        <w:rPr>
          <w:color w:val="000000" w:themeColor="text1"/>
        </w:rPr>
        <w:t xml:space="preserve"> 12517 (2013).  </w:t>
      </w:r>
      <w:r>
        <w:rPr>
          <w:color w:val="000000" w:themeColor="text1"/>
        </w:rPr>
        <w:t xml:space="preserve">The rules were further amended in 2016 to specifically permit these </w:t>
      </w:r>
      <w:r w:rsidRPr="00116970">
        <w:rPr>
          <w:color w:val="000000" w:themeColor="text1"/>
        </w:rPr>
        <w:t>type</w:t>
      </w:r>
      <w:r>
        <w:rPr>
          <w:color w:val="000000" w:themeColor="text1"/>
        </w:rPr>
        <w:t>s</w:t>
      </w:r>
      <w:r w:rsidRPr="00116970">
        <w:rPr>
          <w:color w:val="000000" w:themeColor="text1"/>
        </w:rPr>
        <w:t xml:space="preserve"> of </w:t>
      </w:r>
      <w:r>
        <w:rPr>
          <w:color w:val="000000" w:themeColor="text1"/>
        </w:rPr>
        <w:t>field disturbance sensors</w:t>
      </w:r>
      <w:r w:rsidRPr="00116970">
        <w:rPr>
          <w:color w:val="000000" w:themeColor="text1"/>
        </w:rPr>
        <w:t xml:space="preserve">.  </w:t>
      </w:r>
      <w:r w:rsidRPr="00116970">
        <w:rPr>
          <w:i/>
          <w:color w:val="000000" w:themeColor="text1"/>
        </w:rPr>
        <w:t>See Use of Spectrum Bands Above 24 GHz For Mobile Radio Services</w:t>
      </w:r>
      <w:r w:rsidRPr="00116970">
        <w:rPr>
          <w:color w:val="000000" w:themeColor="text1"/>
        </w:rPr>
        <w:t xml:space="preserve">, Report and Order and Further Notice of Proposed Rulemaking, 31 FCC </w:t>
      </w:r>
      <w:r w:rsidRPr="00116970">
        <w:rPr>
          <w:color w:val="000000" w:themeColor="text1"/>
        </w:rPr>
        <w:t>Rcd</w:t>
      </w:r>
      <w:r w:rsidRPr="00116970">
        <w:rPr>
          <w:color w:val="000000" w:themeColor="text1"/>
        </w:rPr>
        <w:t xml:space="preserve"> 8014 (2016).</w:t>
      </w:r>
    </w:p>
  </w:footnote>
  <w:footnote w:id="8">
    <w:p w:rsidR="006A4EC8" w14:paraId="056FD04D" w14:textId="77777777">
      <w:pPr>
        <w:pStyle w:val="FootnoteText"/>
      </w:pPr>
      <w:r>
        <w:rPr>
          <w:rStyle w:val="FootnoteReference"/>
        </w:rPr>
        <w:footnoteRef/>
      </w:r>
      <w:r>
        <w:t xml:space="preserve"> </w:t>
      </w:r>
      <w:r w:rsidRPr="00116970" w:rsidR="007B7F90">
        <w:rPr>
          <w:color w:val="000000" w:themeColor="text1"/>
        </w:rPr>
        <w:t>47 CFR § 15.255(c)(3).</w:t>
      </w:r>
    </w:p>
  </w:footnote>
  <w:footnote w:id="9">
    <w:p w:rsidR="00E854C5" w14:paraId="2D96D82A" w14:textId="77777777">
      <w:pPr>
        <w:pStyle w:val="FootnoteText"/>
      </w:pPr>
      <w:r>
        <w:rPr>
          <w:rStyle w:val="FootnoteReference"/>
        </w:rPr>
        <w:footnoteRef/>
      </w:r>
      <w:r>
        <w:t xml:space="preserve"> </w:t>
      </w:r>
      <w:r w:rsidRPr="00116970">
        <w:rPr>
          <w:color w:val="000000" w:themeColor="text1"/>
        </w:rPr>
        <w:t>47 CFR § 15.255(</w:t>
      </w:r>
      <w:r>
        <w:rPr>
          <w:color w:val="000000" w:themeColor="text1"/>
        </w:rPr>
        <w:t>b</w:t>
      </w:r>
      <w:r w:rsidRPr="00116970">
        <w:rPr>
          <w:color w:val="000000" w:themeColor="text1"/>
        </w:rPr>
        <w:t>)(</w:t>
      </w:r>
      <w:r>
        <w:rPr>
          <w:color w:val="000000" w:themeColor="text1"/>
        </w:rPr>
        <w:t>2</w:t>
      </w:r>
      <w:r w:rsidRPr="00116970">
        <w:rPr>
          <w:color w:val="000000" w:themeColor="text1"/>
        </w:rPr>
        <w:t>).</w:t>
      </w:r>
      <w:r>
        <w:rPr>
          <w:color w:val="000000" w:themeColor="text1"/>
        </w:rPr>
        <w:t xml:space="preserve">  </w:t>
      </w:r>
    </w:p>
  </w:footnote>
  <w:footnote w:id="10">
    <w:p w:rsidR="006A4EC8" w14:paraId="0EEF93F5" w14:textId="77777777">
      <w:pPr>
        <w:pStyle w:val="FootnoteText"/>
      </w:pPr>
      <w:r>
        <w:rPr>
          <w:rStyle w:val="FootnoteReference"/>
        </w:rPr>
        <w:footnoteRef/>
      </w:r>
      <w:r>
        <w:t xml:space="preserve"> </w:t>
      </w:r>
      <w:r w:rsidRPr="00093DAB">
        <w:rPr>
          <w:i/>
        </w:rPr>
        <w:t>Google Waiver Request</w:t>
      </w:r>
      <w:r>
        <w:t xml:space="preserve"> at 2. </w:t>
      </w:r>
    </w:p>
  </w:footnote>
  <w:footnote w:id="11">
    <w:p w:rsidR="006A4EC8" w:rsidRPr="008579EB" w14:paraId="180BE989" w14:textId="5145CD98">
      <w:pPr>
        <w:pStyle w:val="FootnoteText"/>
      </w:pPr>
      <w:r>
        <w:rPr>
          <w:rStyle w:val="FootnoteReference"/>
        </w:rPr>
        <w:footnoteRef/>
      </w:r>
      <w:r>
        <w:t xml:space="preserve"> </w:t>
      </w:r>
      <w:r w:rsidR="00C42F80">
        <w:rPr>
          <w:i/>
        </w:rPr>
        <w:t>Id.</w:t>
      </w:r>
      <w:r>
        <w:t xml:space="preserve"> at </w:t>
      </w:r>
      <w:r w:rsidR="007B7F90">
        <w:t>1</w:t>
      </w:r>
      <w:r>
        <w:t xml:space="preserve">. </w:t>
      </w:r>
      <w:r w:rsidR="007B7F90">
        <w:t xml:space="preserve">Google originally requested power levels based on European standard </w:t>
      </w:r>
      <w:r w:rsidRPr="00F33F6F" w:rsidR="007B7F90">
        <w:rPr>
          <w:color w:val="000000" w:themeColor="text1"/>
        </w:rPr>
        <w:t>ETSI EN 305 550 V1.2.1 (2014-10)</w:t>
      </w:r>
      <w:r w:rsidR="007B7F90">
        <w:rPr>
          <w:color w:val="000000" w:themeColor="text1"/>
        </w:rPr>
        <w:t xml:space="preserve">.  The ETSI standard specifies requirements for </w:t>
      </w:r>
      <w:r w:rsidRPr="00116970" w:rsidR="007B7F90">
        <w:rPr>
          <w:color w:val="000000" w:themeColor="text1"/>
        </w:rPr>
        <w:t>short</w:t>
      </w:r>
      <w:r w:rsidRPr="00116970" w:rsidR="007B7F90">
        <w:rPr>
          <w:color w:val="000000" w:themeColor="text1"/>
        </w:rPr>
        <w:noBreakHyphen/>
        <w:t xml:space="preserve">range devices (e.g., radars for applications such as telemetry, telecommand, alarms, data transmissions in general) </w:t>
      </w:r>
      <w:r w:rsidR="007B7F90">
        <w:rPr>
          <w:color w:val="000000" w:themeColor="text1"/>
        </w:rPr>
        <w:t xml:space="preserve">that </w:t>
      </w:r>
      <w:r w:rsidRPr="00116970" w:rsidR="007B7F90">
        <w:rPr>
          <w:color w:val="000000" w:themeColor="text1"/>
        </w:rPr>
        <w:t>operate in the</w:t>
      </w:r>
      <w:r w:rsidR="007B7F90">
        <w:rPr>
          <w:color w:val="000000" w:themeColor="text1"/>
        </w:rPr>
        <w:t xml:space="preserve"> 40 GHz to 246 GHz frequency range.  For the</w:t>
      </w:r>
      <w:r w:rsidRPr="00116970" w:rsidR="007B7F90">
        <w:rPr>
          <w:color w:val="000000" w:themeColor="text1"/>
        </w:rPr>
        <w:t xml:space="preserve"> 57</w:t>
      </w:r>
      <w:r w:rsidRPr="00116970" w:rsidR="007B7F90">
        <w:rPr>
          <w:color w:val="000000" w:themeColor="text1"/>
        </w:rPr>
        <w:noBreakHyphen/>
        <w:t>64 GHz band</w:t>
      </w:r>
      <w:r w:rsidR="007B7F90">
        <w:rPr>
          <w:color w:val="000000" w:themeColor="text1"/>
        </w:rPr>
        <w:t xml:space="preserve">, the ETSI standard permits a 20 dBm peak EIRP, which is more </w:t>
      </w:r>
      <w:r w:rsidRPr="00116970" w:rsidR="007B7F90">
        <w:rPr>
          <w:color w:val="000000" w:themeColor="text1"/>
        </w:rPr>
        <w:t xml:space="preserve">than </w:t>
      </w:r>
      <w:r w:rsidR="007B7F90">
        <w:rPr>
          <w:color w:val="000000" w:themeColor="text1"/>
        </w:rPr>
        <w:t xml:space="preserve">what the </w:t>
      </w:r>
      <w:r w:rsidRPr="00116970" w:rsidR="007B7F90">
        <w:rPr>
          <w:color w:val="000000" w:themeColor="text1"/>
        </w:rPr>
        <w:t xml:space="preserve">Commission’s rules </w:t>
      </w:r>
      <w:r w:rsidR="007B7F90">
        <w:rPr>
          <w:color w:val="000000" w:themeColor="text1"/>
        </w:rPr>
        <w:t xml:space="preserve">permit </w:t>
      </w:r>
      <w:r w:rsidRPr="00116970" w:rsidR="007B7F90">
        <w:rPr>
          <w:color w:val="000000" w:themeColor="text1"/>
        </w:rPr>
        <w:t xml:space="preserve">for </w:t>
      </w:r>
      <w:r w:rsidR="007B7F90">
        <w:rPr>
          <w:color w:val="000000" w:themeColor="text1"/>
        </w:rPr>
        <w:t>field disturbance sensors</w:t>
      </w:r>
      <w:r w:rsidRPr="00116970" w:rsidR="007B7F90">
        <w:rPr>
          <w:color w:val="000000" w:themeColor="text1"/>
        </w:rPr>
        <w:t xml:space="preserve"> in this </w:t>
      </w:r>
      <w:r w:rsidR="007B7F90">
        <w:rPr>
          <w:color w:val="000000" w:themeColor="text1"/>
        </w:rPr>
        <w:t>frequency band</w:t>
      </w:r>
      <w:r w:rsidRPr="00116970" w:rsidR="007B7F90">
        <w:rPr>
          <w:color w:val="000000" w:themeColor="text1"/>
        </w:rPr>
        <w:t>.</w:t>
      </w:r>
      <w:r w:rsidR="007B7F90">
        <w:rPr>
          <w:color w:val="000000" w:themeColor="text1"/>
        </w:rPr>
        <w:t xml:space="preserve">  </w:t>
      </w:r>
      <w:r w:rsidRPr="0064691D" w:rsidR="007B7F90">
        <w:rPr>
          <w:i/>
          <w:color w:val="000000" w:themeColor="text1"/>
        </w:rPr>
        <w:t>See</w:t>
      </w:r>
      <w:r w:rsidRPr="00F33F6F" w:rsidR="007B7F90">
        <w:rPr>
          <w:color w:val="000000" w:themeColor="text1"/>
        </w:rPr>
        <w:t xml:space="preserve"> Short Range Devices (SRD); Radio equipment to be used in the 40 GHz to 246 GHz frequency range; Harmonized Standard for access to radio spectrum, ETSI EN 305 550 V1.2.1 (2014-10), at 32-33 (2014).  ETSI is republishing this standard under V2.1.0 (2017-10) with the same power limits.  </w:t>
      </w:r>
      <w:r w:rsidR="007B7F90">
        <w:rPr>
          <w:color w:val="000000" w:themeColor="text1"/>
        </w:rPr>
        <w:t xml:space="preserve">The standard is available at: </w:t>
      </w:r>
      <w:r w:rsidRPr="00F33F6F" w:rsidR="007B7F90">
        <w:rPr>
          <w:color w:val="000000" w:themeColor="text1"/>
        </w:rPr>
        <w:t xml:space="preserve">http://www.etsi.org/deliver/etsi_en/305500_305599/305550/02.01.00_20/en_305550v020100a.pdf.  </w:t>
      </w:r>
    </w:p>
  </w:footnote>
  <w:footnote w:id="12">
    <w:p w:rsidR="006A4EC8" w:rsidRPr="003D6032" w:rsidP="008579EB" w14:paraId="1C0AE3D8" w14:textId="7DED1A0E">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093DAB" w:rsidR="00C42F80">
        <w:rPr>
          <w:i/>
        </w:rPr>
        <w:t>Google Waiver Request</w:t>
      </w:r>
      <w:r w:rsidRPr="00116970">
        <w:rPr>
          <w:color w:val="000000" w:themeColor="text1"/>
        </w:rPr>
        <w:t xml:space="preserve"> at 3.</w:t>
      </w:r>
      <w:r w:rsidR="003D6032">
        <w:rPr>
          <w:color w:val="000000" w:themeColor="text1"/>
        </w:rPr>
        <w:t xml:space="preserve">  Google also indicated that </w:t>
      </w:r>
      <w:r w:rsidRPr="0057189E" w:rsidR="003D6032">
        <w:rPr>
          <w:color w:val="000000" w:themeColor="text1"/>
          <w:szCs w:val="22"/>
        </w:rPr>
        <w:t>it has asked to operate Soli technology at the requested power levels only in devices for which Google is the responsible party under the Commission’s device authorization rules</w:t>
      </w:r>
      <w:r w:rsidR="003D6032">
        <w:rPr>
          <w:color w:val="000000" w:themeColor="text1"/>
          <w:szCs w:val="22"/>
        </w:rPr>
        <w:t xml:space="preserve">.  </w:t>
      </w:r>
      <w:r w:rsidRPr="00505DB6" w:rsidR="003D6032">
        <w:rPr>
          <w:i/>
          <w:color w:val="000000" w:themeColor="text1"/>
          <w:szCs w:val="22"/>
        </w:rPr>
        <w:t>See</w:t>
      </w:r>
      <w:r w:rsidR="003D6032">
        <w:rPr>
          <w:i/>
          <w:color w:val="000000" w:themeColor="text1"/>
          <w:szCs w:val="22"/>
        </w:rPr>
        <w:t xml:space="preserve"> </w:t>
      </w:r>
      <w:r w:rsidR="003D6032">
        <w:rPr>
          <w:color w:val="000000" w:themeColor="text1"/>
          <w:szCs w:val="22"/>
        </w:rPr>
        <w:t>Google Reply at 6.</w:t>
      </w:r>
    </w:p>
  </w:footnote>
  <w:footnote w:id="13">
    <w:p w:rsidR="006A4EC8" w:rsidRPr="00116970" w:rsidP="000C16A4" w14:paraId="68D39C59" w14:textId="04C0463C">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804AE6">
        <w:rPr>
          <w:i/>
          <w:color w:val="000000" w:themeColor="text1"/>
        </w:rPr>
        <w:t>See</w:t>
      </w:r>
      <w:r w:rsidRPr="00804AE6">
        <w:rPr>
          <w:color w:val="000000" w:themeColor="text1"/>
        </w:rPr>
        <w:t xml:space="preserve"> </w:t>
      </w:r>
      <w:r w:rsidRPr="00804AE6">
        <w:rPr>
          <w:i/>
          <w:color w:val="000000" w:themeColor="text1"/>
        </w:rPr>
        <w:t>OET Seeks Comment on Google’s Request for Waiver of Section 15.255(c)</w:t>
      </w:r>
      <w:r w:rsidRPr="00804AE6">
        <w:rPr>
          <w:color w:val="000000" w:themeColor="text1"/>
        </w:rPr>
        <w:t>, ET Docket No. 18</w:t>
      </w:r>
      <w:r w:rsidRPr="00804AE6" w:rsidR="00804AE6">
        <w:rPr>
          <w:color w:val="000000" w:themeColor="text1"/>
        </w:rPr>
        <w:noBreakHyphen/>
      </w:r>
      <w:r w:rsidRPr="00804AE6">
        <w:rPr>
          <w:color w:val="000000" w:themeColor="text1"/>
        </w:rPr>
        <w:t xml:space="preserve">70, </w:t>
      </w:r>
      <w:r w:rsidRPr="00804AE6" w:rsidR="00513673">
        <w:rPr>
          <w:color w:val="000000" w:themeColor="text1"/>
        </w:rPr>
        <w:t>Public Notice</w:t>
      </w:r>
      <w:r w:rsidR="00C42F80">
        <w:rPr>
          <w:color w:val="000000" w:themeColor="text1"/>
        </w:rPr>
        <w:t>,</w:t>
      </w:r>
      <w:r w:rsidR="00513673">
        <w:rPr>
          <w:color w:val="000000" w:themeColor="text1"/>
        </w:rPr>
        <w:t xml:space="preserve"> </w:t>
      </w:r>
      <w:r w:rsidRPr="000F7591">
        <w:rPr>
          <w:color w:val="000000" w:themeColor="text1"/>
        </w:rPr>
        <w:t>DA 18</w:t>
      </w:r>
      <w:r w:rsidRPr="00804AE6" w:rsidR="00804AE6">
        <w:rPr>
          <w:color w:val="000000" w:themeColor="text1"/>
        </w:rPr>
        <w:noBreakHyphen/>
      </w:r>
      <w:r w:rsidRPr="00D86956">
        <w:rPr>
          <w:color w:val="000000" w:themeColor="text1"/>
        </w:rPr>
        <w:t>236</w:t>
      </w:r>
      <w:r w:rsidRPr="000F7591" w:rsidR="00804AE6">
        <w:rPr>
          <w:color w:val="000000" w:themeColor="text1"/>
        </w:rPr>
        <w:t>,</w:t>
      </w:r>
      <w:r w:rsidRPr="00804AE6" w:rsidR="00804AE6">
        <w:rPr>
          <w:color w:val="000000" w:themeColor="text1"/>
        </w:rPr>
        <w:t xml:space="preserve"> </w:t>
      </w:r>
      <w:r w:rsidRPr="000F7591" w:rsidR="00804AE6">
        <w:rPr>
          <w:color w:val="000000" w:themeColor="text1"/>
          <w:shd w:val="clear" w:color="auto" w:fill="FFFFFF"/>
        </w:rPr>
        <w:t xml:space="preserve">33 FCC </w:t>
      </w:r>
      <w:r w:rsidRPr="000F7591" w:rsidR="00804AE6">
        <w:rPr>
          <w:color w:val="000000" w:themeColor="text1"/>
          <w:shd w:val="clear" w:color="auto" w:fill="FFFFFF"/>
        </w:rPr>
        <w:t>Rcd</w:t>
      </w:r>
      <w:r w:rsidRPr="000F7591" w:rsidR="00804AE6">
        <w:rPr>
          <w:color w:val="000000" w:themeColor="text1"/>
          <w:shd w:val="clear" w:color="auto" w:fill="FFFFFF"/>
        </w:rPr>
        <w:t xml:space="preserve"> 2206 </w:t>
      </w:r>
      <w:r w:rsidRPr="00804AE6" w:rsidR="00804AE6">
        <w:rPr>
          <w:color w:val="000000" w:themeColor="text1"/>
        </w:rPr>
        <w:t>(2018)</w:t>
      </w:r>
      <w:r w:rsidRPr="00804AE6">
        <w:rPr>
          <w:color w:val="000000" w:themeColor="text1"/>
        </w:rPr>
        <w:t>.</w:t>
      </w:r>
      <w:r w:rsidRPr="00116970">
        <w:rPr>
          <w:color w:val="000000" w:themeColor="text1"/>
        </w:rPr>
        <w:t xml:space="preserve">  </w:t>
      </w:r>
    </w:p>
  </w:footnote>
  <w:footnote w:id="14">
    <w:p w:rsidR="00295B83" w:rsidRPr="00CF63C8" w:rsidP="00977167" w14:paraId="1C22538B" w14:textId="304F7113">
      <w:r>
        <w:rPr>
          <w:rStyle w:val="FootnoteReference"/>
        </w:rPr>
        <w:footnoteRef/>
      </w:r>
      <w:r>
        <w:t xml:space="preserve"> </w:t>
      </w:r>
      <w:r w:rsidRPr="005F1FA8" w:rsidR="00C50A70">
        <w:rPr>
          <w:color w:val="000000" w:themeColor="text1"/>
          <w:sz w:val="20"/>
        </w:rPr>
        <w:t xml:space="preserve">Facebook, Inc. (Facebook), IEEE 802 LAN/MAN Standards Committee (IEEE 802), Continental Automotive Systems, Inc. (Continental), the National Radio Astronomy Observatory (NRAO), and </w:t>
      </w:r>
      <w:r w:rsidRPr="005F1FA8" w:rsidR="00C50A70">
        <w:rPr>
          <w:color w:val="000000" w:themeColor="text1"/>
          <w:sz w:val="20"/>
        </w:rPr>
        <w:t>OmniPresense</w:t>
      </w:r>
      <w:r w:rsidRPr="005F1FA8" w:rsidR="00C50A70">
        <w:rPr>
          <w:color w:val="000000" w:themeColor="text1"/>
          <w:sz w:val="20"/>
        </w:rPr>
        <w:t xml:space="preserve"> Corporation (</w:t>
      </w:r>
      <w:r w:rsidRPr="005F1FA8" w:rsidR="00C50A70">
        <w:rPr>
          <w:color w:val="000000" w:themeColor="text1"/>
          <w:sz w:val="20"/>
        </w:rPr>
        <w:t>OmniPresense</w:t>
      </w:r>
      <w:r w:rsidRPr="005F1FA8" w:rsidR="00C50A70">
        <w:rPr>
          <w:color w:val="000000" w:themeColor="text1"/>
          <w:sz w:val="20"/>
        </w:rPr>
        <w:t>) filed comments.  Facebook, the National Academy of Sciences’ Committee on Radio Frequencies (CORF), the Computer and Communications Industry Association (CCIA), the Frequency Allocations in Remote Sensing Technical Committee of the IEEE Geoscience and Remote Sensing Society (FARS), NCTA-The Internet and Television Association (NCTA), and Google filed repl</w:t>
      </w:r>
      <w:r w:rsidR="00C479DA">
        <w:rPr>
          <w:color w:val="000000" w:themeColor="text1"/>
          <w:sz w:val="20"/>
        </w:rPr>
        <w:t>y comment</w:t>
      </w:r>
      <w:r w:rsidRPr="005F1FA8" w:rsidR="00C50A70">
        <w:rPr>
          <w:color w:val="000000" w:themeColor="text1"/>
          <w:sz w:val="20"/>
        </w:rPr>
        <w:t xml:space="preserve">s.  </w:t>
      </w:r>
      <w:r w:rsidR="00C42F80">
        <w:rPr>
          <w:color w:val="000000" w:themeColor="text1"/>
          <w:sz w:val="20"/>
        </w:rPr>
        <w:t xml:space="preserve">In addition, </w:t>
      </w:r>
      <w:r w:rsidRPr="005F1FA8" w:rsidR="00C50A70">
        <w:rPr>
          <w:color w:val="000000" w:themeColor="text1"/>
          <w:sz w:val="20"/>
        </w:rPr>
        <w:t xml:space="preserve">Facebook, Google, Infineon Technologies AG, the Consumer Technology Association, and Qualcomm Incorporated </w:t>
      </w:r>
      <w:r w:rsidR="008E1E8B">
        <w:rPr>
          <w:color w:val="000000" w:themeColor="text1"/>
          <w:sz w:val="20"/>
        </w:rPr>
        <w:t xml:space="preserve">have </w:t>
      </w:r>
      <w:r w:rsidR="00C42F80">
        <w:rPr>
          <w:color w:val="000000" w:themeColor="text1"/>
          <w:sz w:val="20"/>
        </w:rPr>
        <w:t>ma</w:t>
      </w:r>
      <w:r w:rsidR="008E1E8B">
        <w:rPr>
          <w:color w:val="000000" w:themeColor="text1"/>
          <w:sz w:val="20"/>
        </w:rPr>
        <w:t>d</w:t>
      </w:r>
      <w:r w:rsidR="00C42F80">
        <w:rPr>
          <w:color w:val="000000" w:themeColor="text1"/>
          <w:sz w:val="20"/>
        </w:rPr>
        <w:t>e</w:t>
      </w:r>
      <w:r w:rsidRPr="005F1FA8" w:rsidR="00C50A70">
        <w:rPr>
          <w:color w:val="000000" w:themeColor="text1"/>
          <w:sz w:val="20"/>
        </w:rPr>
        <w:t xml:space="preserve"> </w:t>
      </w:r>
      <w:r w:rsidRPr="005F1FA8" w:rsidR="00C50A70">
        <w:rPr>
          <w:i/>
          <w:color w:val="000000" w:themeColor="text1"/>
          <w:sz w:val="20"/>
        </w:rPr>
        <w:t xml:space="preserve">ex </w:t>
      </w:r>
      <w:r w:rsidRPr="005F1FA8" w:rsidR="00C50A70">
        <w:rPr>
          <w:i/>
          <w:color w:val="000000" w:themeColor="text1"/>
          <w:sz w:val="20"/>
        </w:rPr>
        <w:t>part</w:t>
      </w:r>
      <w:r w:rsidR="008E1E8B">
        <w:rPr>
          <w:i/>
          <w:color w:val="000000" w:themeColor="text1"/>
          <w:sz w:val="20"/>
        </w:rPr>
        <w:t>e</w:t>
      </w:r>
      <w:r w:rsidR="00C42F80">
        <w:rPr>
          <w:i/>
          <w:color w:val="000000" w:themeColor="text1"/>
          <w:sz w:val="20"/>
        </w:rPr>
        <w:t xml:space="preserve"> </w:t>
      </w:r>
      <w:r w:rsidR="00C42F80">
        <w:rPr>
          <w:color w:val="000000" w:themeColor="text1"/>
          <w:sz w:val="20"/>
        </w:rPr>
        <w:t>presentations</w:t>
      </w:r>
      <w:r w:rsidRPr="005F1FA8" w:rsidR="00C50A70">
        <w:rPr>
          <w:color w:val="000000" w:themeColor="text1"/>
          <w:sz w:val="20"/>
        </w:rPr>
        <w:t>.</w:t>
      </w:r>
    </w:p>
    <w:p w:rsidR="006A4EC8" w:rsidP="00104723" w14:paraId="47D0DE90" w14:textId="77777777"/>
  </w:footnote>
  <w:footnote w:id="15">
    <w:p w:rsidR="006A4EC8" w:rsidP="000C16A4" w14:paraId="07B525D1" w14:textId="72B1A6DD">
      <w:pPr>
        <w:pStyle w:val="FootnoteText"/>
      </w:pPr>
      <w:r>
        <w:rPr>
          <w:rStyle w:val="FootnoteReference"/>
        </w:rPr>
        <w:footnoteRef/>
      </w:r>
      <w:r>
        <w:t xml:space="preserve"> </w:t>
      </w:r>
      <w:r>
        <w:rPr>
          <w:i/>
        </w:rPr>
        <w:t>See</w:t>
      </w:r>
      <w:r w:rsidR="000A1333">
        <w:rPr>
          <w:i/>
        </w:rPr>
        <w:t xml:space="preserve"> generally</w:t>
      </w:r>
      <w:r>
        <w:rPr>
          <w:i/>
        </w:rPr>
        <w:t xml:space="preserve"> </w:t>
      </w:r>
      <w:r w:rsidRPr="00116970">
        <w:rPr>
          <w:color w:val="000000" w:themeColor="text1"/>
        </w:rPr>
        <w:t>Facebook, Inc. (Facebook)</w:t>
      </w:r>
      <w:r w:rsidR="000A1333">
        <w:rPr>
          <w:color w:val="000000" w:themeColor="text1"/>
        </w:rPr>
        <w:t xml:space="preserve"> Comments; </w:t>
      </w:r>
      <w:r w:rsidRPr="00116970">
        <w:rPr>
          <w:color w:val="000000" w:themeColor="text1"/>
        </w:rPr>
        <w:t>IEEE 802 LAN/MAN Standards Committee (IEEE 802)</w:t>
      </w:r>
      <w:r w:rsidR="000A1333">
        <w:rPr>
          <w:color w:val="000000" w:themeColor="text1"/>
        </w:rPr>
        <w:t xml:space="preserve"> Comments; </w:t>
      </w:r>
      <w:r w:rsidRPr="00116970">
        <w:rPr>
          <w:color w:val="000000" w:themeColor="text1"/>
        </w:rPr>
        <w:t>National Radio As</w:t>
      </w:r>
      <w:r>
        <w:rPr>
          <w:color w:val="000000" w:themeColor="text1"/>
        </w:rPr>
        <w:t>tronomy Observatory (NRAO)</w:t>
      </w:r>
      <w:r w:rsidR="000A1333">
        <w:rPr>
          <w:color w:val="000000" w:themeColor="text1"/>
        </w:rPr>
        <w:t xml:space="preserve"> Comments</w:t>
      </w:r>
      <w:r>
        <w:rPr>
          <w:color w:val="000000" w:themeColor="text1"/>
        </w:rPr>
        <w:t xml:space="preserve">, </w:t>
      </w:r>
      <w:r w:rsidRPr="00116970">
        <w:rPr>
          <w:color w:val="000000" w:themeColor="text1"/>
        </w:rPr>
        <w:t>the National Academy of Sciences’ Committee on Radio Frequencies (CORF)</w:t>
      </w:r>
      <w:r w:rsidR="000A1333">
        <w:rPr>
          <w:color w:val="000000" w:themeColor="text1"/>
        </w:rPr>
        <w:t xml:space="preserve"> Comments; </w:t>
      </w:r>
      <w:r w:rsidRPr="00116970">
        <w:rPr>
          <w:color w:val="000000" w:themeColor="text1"/>
        </w:rPr>
        <w:t>Facebook</w:t>
      </w:r>
      <w:r w:rsidR="000A1333">
        <w:rPr>
          <w:color w:val="000000" w:themeColor="text1"/>
        </w:rPr>
        <w:t xml:space="preserve"> Reply</w:t>
      </w:r>
      <w:r w:rsidRPr="00116970">
        <w:rPr>
          <w:color w:val="000000" w:themeColor="text1"/>
        </w:rPr>
        <w:t>, the Frequency Allocations in Remote Sensing Technical Committee of the IEEE Geoscience and Remote Sensing Society (FARS)</w:t>
      </w:r>
      <w:r w:rsidR="000A1333">
        <w:rPr>
          <w:color w:val="000000" w:themeColor="text1"/>
        </w:rPr>
        <w:t xml:space="preserve"> Reply</w:t>
      </w:r>
      <w:r w:rsidRPr="00116970">
        <w:rPr>
          <w:color w:val="000000" w:themeColor="text1"/>
        </w:rPr>
        <w:t xml:space="preserve">, </w:t>
      </w:r>
      <w:r>
        <w:rPr>
          <w:color w:val="000000" w:themeColor="text1"/>
        </w:rPr>
        <w:t xml:space="preserve">and </w:t>
      </w:r>
      <w:r w:rsidRPr="00116970">
        <w:rPr>
          <w:color w:val="000000" w:themeColor="text1"/>
        </w:rPr>
        <w:t>NCTA-The Internet and Television Association (NCTA)</w:t>
      </w:r>
      <w:r w:rsidR="000A1333">
        <w:rPr>
          <w:color w:val="000000" w:themeColor="text1"/>
        </w:rPr>
        <w:t xml:space="preserve"> Reply</w:t>
      </w:r>
      <w:r>
        <w:rPr>
          <w:color w:val="000000" w:themeColor="text1"/>
        </w:rPr>
        <w:t xml:space="preserve">.  </w:t>
      </w:r>
    </w:p>
  </w:footnote>
  <w:footnote w:id="16">
    <w:p w:rsidR="006A4EC8" w:rsidRPr="00241CC2" w:rsidP="00530D4A" w14:paraId="4B786FE2" w14:textId="5F640B80">
      <w:pPr>
        <w:pStyle w:val="FootnoteText"/>
      </w:pPr>
      <w:r w:rsidRPr="00241CC2">
        <w:rPr>
          <w:rStyle w:val="FootnoteReference"/>
        </w:rPr>
        <w:footnoteRef/>
      </w:r>
      <w:r>
        <w:t xml:space="preserve"> </w:t>
      </w:r>
      <w:r>
        <w:rPr>
          <w:i/>
        </w:rPr>
        <w:t>See</w:t>
      </w:r>
      <w:r w:rsidR="00505DB6">
        <w:rPr>
          <w:i/>
        </w:rPr>
        <w:t xml:space="preserve"> Google Waiver Request,</w:t>
      </w:r>
      <w:r w:rsidR="00505DB6">
        <w:t xml:space="preserve"> Attachment, </w:t>
      </w:r>
      <w:r w:rsidRPr="00116970">
        <w:rPr>
          <w:bCs/>
          <w:i/>
          <w:color w:val="000000" w:themeColor="text1"/>
          <w:szCs w:val="22"/>
        </w:rPr>
        <w:t>Assessing the Interference of Miniature Radar on Millimeter Wave 60 GHz Wi‑Fi Simulation Study</w:t>
      </w:r>
      <w:r w:rsidR="00505DB6">
        <w:rPr>
          <w:bCs/>
          <w:color w:val="000000" w:themeColor="text1"/>
          <w:szCs w:val="22"/>
        </w:rPr>
        <w:t xml:space="preserve"> (Initial Google Study)</w:t>
      </w:r>
      <w:r w:rsidR="001E74F3">
        <w:rPr>
          <w:bCs/>
          <w:color w:val="000000" w:themeColor="text1"/>
          <w:szCs w:val="22"/>
        </w:rPr>
        <w:t xml:space="preserve"> </w:t>
      </w:r>
      <w:r w:rsidR="004C6B32">
        <w:rPr>
          <w:bCs/>
          <w:color w:val="000000" w:themeColor="text1"/>
          <w:szCs w:val="22"/>
        </w:rPr>
        <w:t>(filed Mar. 7, 2018)</w:t>
      </w:r>
      <w:r>
        <w:rPr>
          <w:color w:val="000000" w:themeColor="text1"/>
        </w:rPr>
        <w:t xml:space="preserve">; </w:t>
      </w:r>
      <w:r w:rsidRPr="00B16046" w:rsidR="00505DB6">
        <w:rPr>
          <w:i/>
          <w:color w:val="000000" w:themeColor="text1"/>
        </w:rPr>
        <w:t>see also</w:t>
      </w:r>
      <w:r w:rsidR="00505DB6">
        <w:rPr>
          <w:color w:val="000000" w:themeColor="text1"/>
        </w:rPr>
        <w:t xml:space="preserve"> Letter from Megan Stull, Counsel, Google LLC</w:t>
      </w:r>
      <w:r w:rsidR="004E5C1C">
        <w:rPr>
          <w:color w:val="000000" w:themeColor="text1"/>
        </w:rPr>
        <w:t xml:space="preserve"> </w:t>
      </w:r>
      <w:r w:rsidR="00505DB6">
        <w:rPr>
          <w:color w:val="000000" w:themeColor="text1"/>
        </w:rPr>
        <w:t>to Marlene Dor</w:t>
      </w:r>
      <w:r w:rsidR="00104723">
        <w:rPr>
          <w:color w:val="000000" w:themeColor="text1"/>
        </w:rPr>
        <w:t>t</w:t>
      </w:r>
      <w:r w:rsidR="00505DB6">
        <w:rPr>
          <w:color w:val="000000" w:themeColor="text1"/>
        </w:rPr>
        <w:t xml:space="preserve">ch, Secretary FCC, ET Docket No. 18-70, Attach. A, </w:t>
      </w:r>
      <w:r w:rsidRPr="00116970">
        <w:rPr>
          <w:bCs/>
          <w:i/>
          <w:color w:val="000000" w:themeColor="text1"/>
          <w:szCs w:val="22"/>
        </w:rPr>
        <w:t>Assessing the Interference of Miniature Radar on Millimeter Wave 60 GHz Wi‑Fi – Supplemental Analysis</w:t>
      </w:r>
      <w:r>
        <w:rPr>
          <w:bCs/>
          <w:color w:val="000000" w:themeColor="text1"/>
          <w:szCs w:val="22"/>
        </w:rPr>
        <w:t>, Attach</w:t>
      </w:r>
      <w:r w:rsidR="00505DB6">
        <w:rPr>
          <w:bCs/>
          <w:color w:val="000000" w:themeColor="text1"/>
          <w:szCs w:val="22"/>
        </w:rPr>
        <w:t>.</w:t>
      </w:r>
      <w:r>
        <w:rPr>
          <w:bCs/>
          <w:color w:val="000000" w:themeColor="text1"/>
          <w:szCs w:val="22"/>
        </w:rPr>
        <w:t xml:space="preserve"> B</w:t>
      </w:r>
      <w:r w:rsidR="00505DB6">
        <w:rPr>
          <w:bCs/>
          <w:color w:val="000000" w:themeColor="text1"/>
          <w:szCs w:val="22"/>
        </w:rPr>
        <w:t xml:space="preserve">, </w:t>
      </w:r>
      <w:r w:rsidRPr="00B16046" w:rsidR="00505DB6">
        <w:rPr>
          <w:bCs/>
          <w:i/>
          <w:color w:val="000000" w:themeColor="text1"/>
          <w:szCs w:val="22"/>
        </w:rPr>
        <w:t xml:space="preserve">Measurement Study on Soli/802.11ad </w:t>
      </w:r>
      <w:r w:rsidRPr="00B16046" w:rsidR="00505DB6">
        <w:rPr>
          <w:bCs/>
          <w:i/>
          <w:color w:val="000000" w:themeColor="text1"/>
          <w:szCs w:val="22"/>
        </w:rPr>
        <w:t>Coexistence</w:t>
      </w:r>
      <w:r w:rsidR="00505DB6">
        <w:rPr>
          <w:bCs/>
          <w:i/>
          <w:color w:val="000000" w:themeColor="text1"/>
          <w:szCs w:val="22"/>
        </w:rPr>
        <w:t>,</w:t>
      </w:r>
      <w:r w:rsidR="00505DB6">
        <w:rPr>
          <w:bCs/>
          <w:color w:val="000000" w:themeColor="text1"/>
          <w:szCs w:val="22"/>
        </w:rPr>
        <w:t xml:space="preserve">  </w:t>
      </w:r>
      <w:r>
        <w:rPr>
          <w:bCs/>
          <w:color w:val="000000" w:themeColor="text1"/>
          <w:szCs w:val="22"/>
        </w:rPr>
        <w:t>Attach</w:t>
      </w:r>
      <w:r w:rsidR="00505DB6">
        <w:rPr>
          <w:bCs/>
          <w:color w:val="000000" w:themeColor="text1"/>
          <w:szCs w:val="22"/>
        </w:rPr>
        <w:t>.</w:t>
      </w:r>
      <w:r>
        <w:rPr>
          <w:bCs/>
          <w:color w:val="000000" w:themeColor="text1"/>
          <w:szCs w:val="22"/>
        </w:rPr>
        <w:t xml:space="preserve"> C, </w:t>
      </w:r>
      <w:r w:rsidRPr="00116970">
        <w:rPr>
          <w:bCs/>
          <w:i/>
          <w:color w:val="000000" w:themeColor="text1"/>
        </w:rPr>
        <w:t>Compatibility between Earth Exploration-Satellite Service Sensors and Airborne Use of Project Soli Devices at 57.5 to 63.5 GHz</w:t>
      </w:r>
      <w:r w:rsidR="00505DB6">
        <w:rPr>
          <w:bCs/>
          <w:color w:val="000000" w:themeColor="text1"/>
        </w:rPr>
        <w:t xml:space="preserve"> </w:t>
      </w:r>
      <w:r w:rsidR="004C6B32">
        <w:rPr>
          <w:bCs/>
          <w:color w:val="000000" w:themeColor="text1"/>
        </w:rPr>
        <w:t>(Supplemental Google Stud</w:t>
      </w:r>
      <w:r w:rsidR="00CB6973">
        <w:rPr>
          <w:bCs/>
          <w:color w:val="000000" w:themeColor="text1"/>
        </w:rPr>
        <w:t>y</w:t>
      </w:r>
      <w:r w:rsidR="004C6B32">
        <w:rPr>
          <w:bCs/>
          <w:color w:val="000000" w:themeColor="text1"/>
        </w:rPr>
        <w:t xml:space="preserve">) </w:t>
      </w:r>
      <w:r w:rsidR="00505DB6">
        <w:rPr>
          <w:bCs/>
          <w:color w:val="000000" w:themeColor="text1"/>
        </w:rPr>
        <w:t>(filed Jun.</w:t>
      </w:r>
      <w:r w:rsidR="00D1325C">
        <w:rPr>
          <w:bCs/>
          <w:color w:val="000000" w:themeColor="text1"/>
        </w:rPr>
        <w:t xml:space="preserve"> </w:t>
      </w:r>
      <w:r w:rsidR="00505DB6">
        <w:rPr>
          <w:bCs/>
          <w:color w:val="000000" w:themeColor="text1"/>
        </w:rPr>
        <w:t>8, 2018)</w:t>
      </w:r>
      <w:r>
        <w:rPr>
          <w:bCs/>
          <w:color w:val="000000" w:themeColor="text1"/>
        </w:rPr>
        <w:t xml:space="preserve">; </w:t>
      </w:r>
      <w:r>
        <w:rPr>
          <w:bCs/>
          <w:i/>
          <w:color w:val="000000" w:themeColor="text1"/>
        </w:rPr>
        <w:t>See also,</w:t>
      </w:r>
      <w:r w:rsidR="000B1911">
        <w:rPr>
          <w:bCs/>
          <w:i/>
          <w:color w:val="000000" w:themeColor="text1"/>
        </w:rPr>
        <w:t xml:space="preserve"> Letter from Megan Stull</w:t>
      </w:r>
      <w:r w:rsidR="00D1325C">
        <w:rPr>
          <w:bCs/>
          <w:i/>
          <w:color w:val="000000" w:themeColor="text1"/>
        </w:rPr>
        <w:t>, Co</w:t>
      </w:r>
      <w:r w:rsidR="000B1911">
        <w:rPr>
          <w:bCs/>
          <w:i/>
          <w:color w:val="000000" w:themeColor="text1"/>
        </w:rPr>
        <w:t>unsel, Google, LLC to Marlene H. Dortch, Secretary, FCC,</w:t>
      </w:r>
      <w:r w:rsidR="00D1325C">
        <w:rPr>
          <w:bCs/>
          <w:i/>
          <w:color w:val="000000" w:themeColor="text1"/>
        </w:rPr>
        <w:t xml:space="preserve"> </w:t>
      </w:r>
      <w:r w:rsidRPr="00D1325C" w:rsidR="000B1911">
        <w:rPr>
          <w:bCs/>
          <w:color w:val="000000" w:themeColor="text1"/>
        </w:rPr>
        <w:t>ET Docket No. 18-70</w:t>
      </w:r>
      <w:r w:rsidR="000B1911">
        <w:rPr>
          <w:bCs/>
          <w:i/>
          <w:color w:val="000000" w:themeColor="text1"/>
        </w:rPr>
        <w:t xml:space="preserve">, </w:t>
      </w:r>
      <w:r w:rsidRPr="00230872">
        <w:rPr>
          <w:color w:val="000000" w:themeColor="text1"/>
        </w:rPr>
        <w:t>Attach</w:t>
      </w:r>
      <w:r w:rsidR="000B1911">
        <w:rPr>
          <w:color w:val="000000" w:themeColor="text1"/>
        </w:rPr>
        <w:t>.</w:t>
      </w:r>
      <w:r w:rsidRPr="00230872">
        <w:rPr>
          <w:color w:val="000000" w:themeColor="text1"/>
        </w:rPr>
        <w:t xml:space="preserve"> A, </w:t>
      </w:r>
      <w:r w:rsidRPr="00230872">
        <w:rPr>
          <w:i/>
          <w:color w:val="000000" w:themeColor="text1"/>
        </w:rPr>
        <w:t>Gesture classification performance estimate under regulatory limits</w:t>
      </w:r>
      <w:r>
        <w:rPr>
          <w:i/>
          <w:color w:val="000000" w:themeColor="text1"/>
        </w:rPr>
        <w:t>,</w:t>
      </w:r>
      <w:r w:rsidRPr="00230872">
        <w:rPr>
          <w:color w:val="000000" w:themeColor="text1"/>
        </w:rPr>
        <w:t xml:space="preserve"> </w:t>
      </w:r>
      <w:r>
        <w:rPr>
          <w:color w:val="000000" w:themeColor="text1"/>
        </w:rPr>
        <w:t xml:space="preserve">and </w:t>
      </w:r>
      <w:r w:rsidRPr="00230872">
        <w:rPr>
          <w:color w:val="000000" w:themeColor="text1"/>
        </w:rPr>
        <w:t xml:space="preserve">Attachment B, </w:t>
      </w:r>
      <w:r w:rsidRPr="00230872">
        <w:rPr>
          <w:i/>
          <w:color w:val="000000" w:themeColor="text1"/>
        </w:rPr>
        <w:t>Supplement to Measurement Study on Soli/802.11ad Coexistence</w:t>
      </w:r>
      <w:r w:rsidR="000B1911">
        <w:rPr>
          <w:i/>
          <w:color w:val="000000" w:themeColor="text1"/>
        </w:rPr>
        <w:t xml:space="preserve"> </w:t>
      </w:r>
      <w:r w:rsidR="004C6B32">
        <w:rPr>
          <w:color w:val="000000" w:themeColor="text1"/>
        </w:rPr>
        <w:t>(Additional Google Stud</w:t>
      </w:r>
      <w:r w:rsidR="00CB6973">
        <w:rPr>
          <w:color w:val="000000" w:themeColor="text1"/>
        </w:rPr>
        <w:t>y</w:t>
      </w:r>
      <w:r w:rsidR="004C6B32">
        <w:rPr>
          <w:color w:val="000000" w:themeColor="text1"/>
        </w:rPr>
        <w:t xml:space="preserve">) </w:t>
      </w:r>
      <w:r w:rsidRPr="00D1325C" w:rsidR="000B1911">
        <w:rPr>
          <w:color w:val="000000" w:themeColor="text1"/>
        </w:rPr>
        <w:t>(filed Oct.</w:t>
      </w:r>
      <w:r w:rsidR="001733A3">
        <w:rPr>
          <w:color w:val="000000" w:themeColor="text1"/>
        </w:rPr>
        <w:t xml:space="preserve"> </w:t>
      </w:r>
      <w:r w:rsidRPr="00D1325C" w:rsidR="000B1911">
        <w:rPr>
          <w:color w:val="000000" w:themeColor="text1"/>
        </w:rPr>
        <w:t>12, 2018)</w:t>
      </w:r>
      <w:r>
        <w:rPr>
          <w:color w:val="000000" w:themeColor="text1"/>
        </w:rPr>
        <w:t>.</w:t>
      </w:r>
    </w:p>
  </w:footnote>
  <w:footnote w:id="17">
    <w:p w:rsidR="006A4EC8" w14:paraId="66690A57" w14:textId="77777777">
      <w:pPr>
        <w:pStyle w:val="FootnoteText"/>
      </w:pPr>
      <w:r>
        <w:rPr>
          <w:rStyle w:val="FootnoteReference"/>
        </w:rPr>
        <w:footnoteRef/>
      </w:r>
      <w:r>
        <w:t xml:space="preserve"> </w:t>
      </w:r>
      <w:r w:rsidRPr="00BB3358" w:rsidR="00762A9A">
        <w:rPr>
          <w:i/>
        </w:rPr>
        <w:t>See</w:t>
      </w:r>
      <w:r w:rsidR="00762A9A">
        <w:t xml:space="preserve"> </w:t>
      </w:r>
      <w:r w:rsidRPr="00093DAB">
        <w:rPr>
          <w:i/>
        </w:rPr>
        <w:t xml:space="preserve">Google-Facebook Joint </w:t>
      </w:r>
      <w:r>
        <w:rPr>
          <w:i/>
        </w:rPr>
        <w:t>ex</w:t>
      </w:r>
      <w:r w:rsidR="000A1333">
        <w:rPr>
          <w:i/>
        </w:rPr>
        <w:t xml:space="preserve"> </w:t>
      </w:r>
      <w:r>
        <w:rPr>
          <w:i/>
        </w:rPr>
        <w:t>parte</w:t>
      </w:r>
      <w:r>
        <w:rPr>
          <w:i/>
        </w:rPr>
        <w:t xml:space="preserve"> </w:t>
      </w:r>
      <w:r w:rsidRPr="00093DAB">
        <w:rPr>
          <w:i/>
        </w:rPr>
        <w:t>Filing</w:t>
      </w:r>
      <w:r>
        <w:t xml:space="preserve">. </w:t>
      </w:r>
    </w:p>
  </w:footnote>
  <w:footnote w:id="18">
    <w:p w:rsidR="003D6032" w14:paraId="66BE9241" w14:textId="77777777">
      <w:pPr>
        <w:pStyle w:val="FootnoteText"/>
      </w:pPr>
      <w:r>
        <w:rPr>
          <w:rStyle w:val="FootnoteReference"/>
        </w:rPr>
        <w:footnoteRef/>
      </w:r>
      <w:r>
        <w:t xml:space="preserve"> </w:t>
      </w:r>
      <w:r w:rsidRPr="00505DB6">
        <w:rPr>
          <w:i/>
        </w:rPr>
        <w:t>Id.</w:t>
      </w:r>
    </w:p>
  </w:footnote>
  <w:footnote w:id="19">
    <w:p w:rsidR="00762A9A" w14:paraId="37FDC1F9" w14:textId="77777777">
      <w:pPr>
        <w:pStyle w:val="FootnoteText"/>
      </w:pPr>
      <w:r>
        <w:rPr>
          <w:rStyle w:val="FootnoteReference"/>
        </w:rPr>
        <w:footnoteRef/>
      </w:r>
      <w:r>
        <w:t xml:space="preserve"> </w:t>
      </w:r>
      <w:r w:rsidRPr="00BB3358">
        <w:rPr>
          <w:i/>
        </w:rPr>
        <w:t>Id.</w:t>
      </w:r>
    </w:p>
  </w:footnote>
  <w:footnote w:id="20">
    <w:p w:rsidR="006A4EC8" w:rsidRPr="00116970" w:rsidP="00CD2EE7" w14:paraId="1D0738B0"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hyperlink r:id="rId1" w:tgtFrame="_top" w:history="1">
        <w:r w:rsidRPr="00116970">
          <w:rPr>
            <w:color w:val="000000" w:themeColor="text1"/>
          </w:rPr>
          <w:t xml:space="preserve">47 </w:t>
        </w:r>
        <w:r>
          <w:rPr>
            <w:color w:val="000000" w:themeColor="text1"/>
          </w:rPr>
          <w:t>CFR</w:t>
        </w:r>
        <w:r w:rsidRPr="00116970">
          <w:rPr>
            <w:color w:val="000000" w:themeColor="text1"/>
          </w:rPr>
          <w:t xml:space="preserve"> § 1.3</w:t>
        </w:r>
      </w:hyperlink>
      <w:r w:rsidRPr="00116970">
        <w:rPr>
          <w:color w:val="000000" w:themeColor="text1"/>
        </w:rPr>
        <w:t xml:space="preserve">; </w:t>
      </w:r>
      <w:r w:rsidRPr="00116970">
        <w:rPr>
          <w:i/>
          <w:color w:val="000000" w:themeColor="text1"/>
        </w:rPr>
        <w:t>s</w:t>
      </w:r>
      <w:r w:rsidRPr="00116970">
        <w:rPr>
          <w:i/>
          <w:iCs/>
          <w:color w:val="000000" w:themeColor="text1"/>
        </w:rPr>
        <w:t>ee also</w:t>
      </w:r>
      <w:r w:rsidRPr="00116970">
        <w:rPr>
          <w:iCs/>
          <w:color w:val="000000" w:themeColor="text1"/>
        </w:rPr>
        <w:t xml:space="preserve"> </w:t>
      </w:r>
      <w:hyperlink r:id="rId2" w:tgtFrame="_top" w:history="1">
        <w:r w:rsidRPr="00116970">
          <w:rPr>
            <w:i/>
            <w:iCs/>
            <w:color w:val="000000" w:themeColor="text1"/>
          </w:rPr>
          <w:t>ICO Global Communications (Holdings) Limited v. FCC</w:t>
        </w:r>
        <w:r w:rsidRPr="00116970">
          <w:rPr>
            <w:color w:val="000000" w:themeColor="text1"/>
          </w:rPr>
          <w:t>, 428 F.3d 264 (D.C. Cir. 2005)</w:t>
        </w:r>
      </w:hyperlink>
      <w:r w:rsidRPr="00116970">
        <w:rPr>
          <w:color w:val="000000" w:themeColor="text1"/>
        </w:rPr>
        <w:t xml:space="preserve">; </w:t>
      </w:r>
      <w:hyperlink r:id="rId3" w:tgtFrame="_top" w:history="1">
        <w:r w:rsidRPr="00116970">
          <w:rPr>
            <w:i/>
            <w:iCs/>
            <w:color w:val="000000" w:themeColor="text1"/>
          </w:rPr>
          <w:t>Northeast Cellular Telephone Co. v. FCC</w:t>
        </w:r>
        <w:r w:rsidRPr="00116970">
          <w:rPr>
            <w:color w:val="000000" w:themeColor="text1"/>
          </w:rPr>
          <w:t>, 897 F.2d 1164 (D.C. Cir. 1990)</w:t>
        </w:r>
      </w:hyperlink>
      <w:r w:rsidRPr="00116970">
        <w:rPr>
          <w:color w:val="000000" w:themeColor="text1"/>
        </w:rPr>
        <w:t xml:space="preserve">; </w:t>
      </w:r>
      <w:hyperlink r:id="rId4" w:tgtFrame="_top" w:history="1">
        <w:r w:rsidRPr="00116970">
          <w:rPr>
            <w:i/>
            <w:iCs/>
            <w:color w:val="000000" w:themeColor="text1"/>
          </w:rPr>
          <w:t>WAIT Radio v. FCC</w:t>
        </w:r>
        <w:r w:rsidRPr="00116970">
          <w:rPr>
            <w:color w:val="000000" w:themeColor="text1"/>
          </w:rPr>
          <w:t>, 418 F.2d 1153 (D.C. Cir. 1969)</w:t>
        </w:r>
      </w:hyperlink>
      <w:r w:rsidRPr="00116970">
        <w:rPr>
          <w:color w:val="000000" w:themeColor="text1"/>
        </w:rPr>
        <w:t>.</w:t>
      </w:r>
    </w:p>
  </w:footnote>
  <w:footnote w:id="21">
    <w:p w:rsidR="006A4EC8" w:rsidRPr="00116970" w:rsidP="00CD2EE7" w14:paraId="39167980"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116970">
        <w:rPr>
          <w:i/>
          <w:iCs/>
          <w:color w:val="000000" w:themeColor="text1"/>
        </w:rPr>
        <w:t>Northeast Cellular</w:t>
      </w:r>
      <w:r w:rsidRPr="00116970">
        <w:rPr>
          <w:i/>
          <w:color w:val="000000" w:themeColor="text1"/>
        </w:rPr>
        <w:t>,</w:t>
      </w:r>
      <w:r w:rsidRPr="00116970">
        <w:rPr>
          <w:color w:val="000000" w:themeColor="text1"/>
        </w:rPr>
        <w:t xml:space="preserve"> </w:t>
      </w:r>
      <w:r w:rsidRPr="00BB3358" w:rsidR="007B7F90">
        <w:rPr>
          <w:color w:val="000000" w:themeColor="text1"/>
        </w:rPr>
        <w:t>897 F.2d</w:t>
      </w:r>
      <w:r w:rsidR="007B7F90">
        <w:rPr>
          <w:i/>
          <w:color w:val="000000" w:themeColor="text1"/>
        </w:rPr>
        <w:t xml:space="preserve"> </w:t>
      </w:r>
      <w:r w:rsidRPr="00116970">
        <w:rPr>
          <w:color w:val="000000" w:themeColor="text1"/>
        </w:rPr>
        <w:t xml:space="preserve">at 1166; </w:t>
      </w:r>
      <w:r w:rsidRPr="00116970">
        <w:rPr>
          <w:i/>
          <w:color w:val="000000" w:themeColor="text1"/>
        </w:rPr>
        <w:t>see also</w:t>
      </w:r>
      <w:r w:rsidRPr="00116970">
        <w:rPr>
          <w:color w:val="000000" w:themeColor="text1"/>
        </w:rPr>
        <w:t xml:space="preserve"> </w:t>
      </w:r>
      <w:hyperlink r:id="rId5" w:tgtFrame="_top" w:history="1">
        <w:r w:rsidRPr="00116970">
          <w:rPr>
            <w:i/>
            <w:iCs/>
            <w:color w:val="000000" w:themeColor="text1"/>
          </w:rPr>
          <w:t>ICO Global Communications</w:t>
        </w:r>
        <w:r w:rsidRPr="00116970">
          <w:rPr>
            <w:i/>
            <w:color w:val="000000" w:themeColor="text1"/>
          </w:rPr>
          <w:t>,</w:t>
        </w:r>
        <w:r w:rsidRPr="00116970">
          <w:rPr>
            <w:color w:val="000000" w:themeColor="text1"/>
          </w:rPr>
          <w:t xml:space="preserve"> </w:t>
        </w:r>
        <w:r w:rsidR="007B7F90">
          <w:rPr>
            <w:color w:val="000000" w:themeColor="text1"/>
          </w:rPr>
          <w:t xml:space="preserve">428 F.3d </w:t>
        </w:r>
        <w:r w:rsidRPr="00116970">
          <w:rPr>
            <w:color w:val="000000" w:themeColor="text1"/>
          </w:rPr>
          <w:t>at 269</w:t>
        </w:r>
      </w:hyperlink>
      <w:r w:rsidRPr="00116970">
        <w:rPr>
          <w:color w:val="000000" w:themeColor="text1"/>
        </w:rPr>
        <w:t xml:space="preserve"> (quoting </w:t>
      </w:r>
      <w:r w:rsidRPr="00116970">
        <w:rPr>
          <w:i/>
          <w:iCs/>
          <w:color w:val="000000" w:themeColor="text1"/>
        </w:rPr>
        <w:t>Northeast Cellular</w:t>
      </w:r>
      <w:r w:rsidRPr="00116970">
        <w:rPr>
          <w:color w:val="000000" w:themeColor="text1"/>
        </w:rPr>
        <w:t xml:space="preserve">); </w:t>
      </w:r>
      <w:hyperlink r:id="rId6" w:tgtFrame="_top" w:history="1">
        <w:r w:rsidRPr="00116970">
          <w:rPr>
            <w:i/>
            <w:iCs/>
            <w:color w:val="000000" w:themeColor="text1"/>
          </w:rPr>
          <w:t>WAIT Radio</w:t>
        </w:r>
        <w:r w:rsidRPr="00116970">
          <w:rPr>
            <w:i/>
            <w:color w:val="000000" w:themeColor="text1"/>
          </w:rPr>
          <w:t>,</w:t>
        </w:r>
        <w:r w:rsidRPr="00116970">
          <w:rPr>
            <w:color w:val="000000" w:themeColor="text1"/>
          </w:rPr>
          <w:t xml:space="preserve"> </w:t>
        </w:r>
        <w:r w:rsidR="007B7F90">
          <w:rPr>
            <w:color w:val="000000" w:themeColor="text1"/>
          </w:rPr>
          <w:t xml:space="preserve">418 F.2d </w:t>
        </w:r>
        <w:r w:rsidRPr="00116970">
          <w:rPr>
            <w:color w:val="000000" w:themeColor="text1"/>
          </w:rPr>
          <w:t>at 1157-59</w:t>
        </w:r>
      </w:hyperlink>
      <w:r w:rsidRPr="00116970">
        <w:rPr>
          <w:color w:val="000000" w:themeColor="text1"/>
        </w:rPr>
        <w:t>.</w:t>
      </w:r>
    </w:p>
  </w:footnote>
  <w:footnote w:id="22">
    <w:p w:rsidR="006A4EC8" w:rsidRPr="00116970" w:rsidP="00CD2EE7" w14:paraId="2E3FFADE"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116970">
        <w:rPr>
          <w:i/>
          <w:color w:val="000000" w:themeColor="text1"/>
        </w:rPr>
        <w:t>See</w:t>
      </w:r>
      <w:r w:rsidRPr="0062216B">
        <w:rPr>
          <w:color w:val="000000" w:themeColor="text1"/>
        </w:rPr>
        <w:t>, e.g.</w:t>
      </w:r>
      <w:r w:rsidRPr="00116970">
        <w:rPr>
          <w:i/>
          <w:color w:val="000000" w:themeColor="text1"/>
        </w:rPr>
        <w:t>, WAIT Radio</w:t>
      </w:r>
      <w:r w:rsidRPr="00116970">
        <w:rPr>
          <w:color w:val="000000" w:themeColor="text1"/>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116970">
        <w:rPr>
          <w:i/>
          <w:color w:val="000000" w:themeColor="text1"/>
        </w:rPr>
        <w:t>Northeast Cellular</w:t>
      </w:r>
      <w:r w:rsidRPr="00116970">
        <w:rPr>
          <w:color w:val="000000" w:themeColor="text1"/>
        </w:rPr>
        <w:t>, 897 F.2d at 1166 (stating that in granting a waiver, an agency must explain why deviation from the general rule better serves the public interest than would strict adherence to the rule).</w:t>
      </w:r>
    </w:p>
  </w:footnote>
  <w:footnote w:id="23">
    <w:p w:rsidR="006A4EC8" w14:paraId="6787E88B" w14:textId="77777777">
      <w:pPr>
        <w:pStyle w:val="FootnoteText"/>
      </w:pPr>
      <w:r>
        <w:rPr>
          <w:rStyle w:val="FootnoteReference"/>
        </w:rPr>
        <w:footnoteRef/>
      </w:r>
      <w:r>
        <w:t xml:space="preserve"> Unlicensed devices operating in the 57</w:t>
      </w:r>
      <w:r>
        <w:noBreakHyphen/>
        <w:t xml:space="preserve">71 GHz frequency band may not </w:t>
      </w:r>
      <w:r w:rsidRPr="00E245EC">
        <w:rPr>
          <w:color w:val="000000" w:themeColor="text1"/>
        </w:rPr>
        <w:t>operat</w:t>
      </w:r>
      <w:r>
        <w:rPr>
          <w:color w:val="000000" w:themeColor="text1"/>
        </w:rPr>
        <w:t>e</w:t>
      </w:r>
      <w:r w:rsidRPr="00E245EC">
        <w:rPr>
          <w:color w:val="000000" w:themeColor="text1"/>
        </w:rPr>
        <w:t xml:space="preserve"> on</w:t>
      </w:r>
      <w:r w:rsidRPr="00E245EC">
        <w:rPr>
          <w:color w:val="000000" w:themeColor="text1"/>
        </w:rPr>
        <w:noBreakHyphen/>
        <w:t>board satellites</w:t>
      </w:r>
      <w:r>
        <w:rPr>
          <w:color w:val="000000" w:themeColor="text1"/>
        </w:rPr>
        <w:t xml:space="preserve"> nor</w:t>
      </w:r>
      <w:r w:rsidRPr="00E245EC">
        <w:rPr>
          <w:color w:val="000000" w:themeColor="text1"/>
        </w:rPr>
        <w:t xml:space="preserve"> as vehic</w:t>
      </w:r>
      <w:r>
        <w:rPr>
          <w:color w:val="000000" w:themeColor="text1"/>
        </w:rPr>
        <w:t>ular</w:t>
      </w:r>
      <w:r w:rsidRPr="00E245EC">
        <w:rPr>
          <w:color w:val="000000" w:themeColor="text1"/>
        </w:rPr>
        <w:t xml:space="preserve"> radars.</w:t>
      </w:r>
      <w:r>
        <w:rPr>
          <w:color w:val="000000" w:themeColor="text1"/>
        </w:rPr>
        <w:t xml:space="preserve">  </w:t>
      </w:r>
      <w:r w:rsidRPr="00116970">
        <w:rPr>
          <w:i/>
          <w:color w:val="000000" w:themeColor="text1"/>
        </w:rPr>
        <w:t>See</w:t>
      </w:r>
      <w:r w:rsidRPr="00116970">
        <w:rPr>
          <w:color w:val="000000" w:themeColor="text1"/>
        </w:rPr>
        <w:t xml:space="preserve"> 47 </w:t>
      </w:r>
      <w:r>
        <w:rPr>
          <w:color w:val="000000" w:themeColor="text1"/>
        </w:rPr>
        <w:t>CFR</w:t>
      </w:r>
      <w:r w:rsidRPr="00116970">
        <w:rPr>
          <w:color w:val="000000" w:themeColor="text1"/>
        </w:rPr>
        <w:t xml:space="preserve"> §</w:t>
      </w:r>
      <w:r>
        <w:rPr>
          <w:color w:val="000000" w:themeColor="text1"/>
        </w:rPr>
        <w:t xml:space="preserve"> </w:t>
      </w:r>
      <w:r w:rsidRPr="00116970">
        <w:rPr>
          <w:color w:val="000000" w:themeColor="text1"/>
        </w:rPr>
        <w:t>15.255(a).</w:t>
      </w:r>
    </w:p>
  </w:footnote>
  <w:footnote w:id="24">
    <w:p w:rsidR="006A4EC8" w:rsidP="00FD1FA6" w14:paraId="63F10ACA" w14:textId="311009D8">
      <w:pPr>
        <w:pStyle w:val="FootnoteText"/>
      </w:pPr>
      <w:r>
        <w:rPr>
          <w:rStyle w:val="FootnoteReference"/>
        </w:rPr>
        <w:footnoteRef/>
      </w:r>
      <w:r>
        <w:t xml:space="preserve"> </w:t>
      </w:r>
      <w:r w:rsidR="007B7F90">
        <w:t>D</w:t>
      </w:r>
      <w:r>
        <w:t>evices operating under our unlicensed rules are not entitled to protection from harmful interference</w:t>
      </w:r>
      <w:r w:rsidR="007B7F90">
        <w:t xml:space="preserve">.  Nevertheless, we seek </w:t>
      </w:r>
      <w:r>
        <w:t xml:space="preserve">to foster an environment that encourages co-existence among a wide range of different unlicensed device types.  </w:t>
      </w:r>
    </w:p>
  </w:footnote>
  <w:footnote w:id="25">
    <w:p w:rsidR="006A4EC8" w:rsidRPr="00116970" w:rsidP="00F00023" w14:paraId="3137CF9C"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CORF </w:t>
      </w:r>
      <w:r>
        <w:rPr>
          <w:color w:val="000000" w:themeColor="text1"/>
        </w:rPr>
        <w:t xml:space="preserve">Comments </w:t>
      </w:r>
      <w:r w:rsidRPr="00116970">
        <w:rPr>
          <w:color w:val="000000" w:themeColor="text1"/>
        </w:rPr>
        <w:t>at 3</w:t>
      </w:r>
      <w:r w:rsidR="007B7F90">
        <w:rPr>
          <w:color w:val="000000" w:themeColor="text1"/>
        </w:rPr>
        <w:t>,</w:t>
      </w:r>
      <w:r>
        <w:rPr>
          <w:color w:val="000000" w:themeColor="text1"/>
        </w:rPr>
        <w:t xml:space="preserve"> 7.</w:t>
      </w:r>
      <w:r>
        <w:rPr>
          <w:color w:val="000000" w:themeColor="text1"/>
          <w:shd w:val="clear" w:color="auto" w:fill="FFFFFF"/>
        </w:rPr>
        <w:t xml:space="preserve"> </w:t>
      </w:r>
    </w:p>
  </w:footnote>
  <w:footnote w:id="26">
    <w:p w:rsidR="006A4EC8" w14:paraId="4524608C" w14:textId="68131DBC">
      <w:pPr>
        <w:pStyle w:val="FootnoteText"/>
      </w:pPr>
      <w:r>
        <w:rPr>
          <w:rStyle w:val="FootnoteReference"/>
        </w:rPr>
        <w:footnoteRef/>
      </w:r>
      <w:r>
        <w:t xml:space="preserve"> </w:t>
      </w:r>
      <w:r w:rsidRPr="00E15C33">
        <w:rPr>
          <w:i/>
        </w:rPr>
        <w:t>Id</w:t>
      </w:r>
      <w:r>
        <w:t>. at 6-7.</w:t>
      </w:r>
      <w:r w:rsidRPr="00116970">
        <w:rPr>
          <w:color w:val="000000" w:themeColor="text1"/>
        </w:rPr>
        <w:t xml:space="preserve">  </w:t>
      </w:r>
      <w:r>
        <w:rPr>
          <w:color w:val="000000" w:themeColor="text1"/>
        </w:rPr>
        <w:t>T</w:t>
      </w:r>
      <w:r w:rsidRPr="00116970">
        <w:rPr>
          <w:color w:val="000000" w:themeColor="text1"/>
        </w:rPr>
        <w:t>he Commission addressed the effects of operations of 60 GHz transmitters on-board aircraft in GN Docket No. 14</w:t>
      </w:r>
      <w:r w:rsidRPr="00116970">
        <w:rPr>
          <w:color w:val="000000" w:themeColor="text1"/>
        </w:rPr>
        <w:noBreakHyphen/>
        <w:t xml:space="preserve">177.  </w:t>
      </w:r>
      <w:r w:rsidRPr="00116970">
        <w:rPr>
          <w:i/>
          <w:color w:val="000000" w:themeColor="text1"/>
        </w:rPr>
        <w:t>See Use of Spectrum Bands Above 24 GHz For Mobile Radio Services</w:t>
      </w:r>
      <w:r w:rsidRPr="00116970">
        <w:rPr>
          <w:color w:val="000000" w:themeColor="text1"/>
        </w:rPr>
        <w:t xml:space="preserve">, </w:t>
      </w:r>
      <w:r w:rsidRPr="00116970">
        <w:rPr>
          <w:bCs/>
          <w:color w:val="000000" w:themeColor="text1"/>
        </w:rPr>
        <w:t>Second Report and Order</w:t>
      </w:r>
      <w:r w:rsidRPr="00116970">
        <w:rPr>
          <w:color w:val="000000" w:themeColor="text1"/>
        </w:rPr>
        <w:t xml:space="preserve">, </w:t>
      </w:r>
      <w:r w:rsidRPr="00116970">
        <w:rPr>
          <w:color w:val="000000" w:themeColor="text1"/>
          <w:shd w:val="clear" w:color="auto" w:fill="FFFFFF"/>
        </w:rPr>
        <w:t xml:space="preserve">32 FCC </w:t>
      </w:r>
      <w:r w:rsidRPr="00116970">
        <w:rPr>
          <w:color w:val="000000" w:themeColor="text1"/>
          <w:shd w:val="clear" w:color="auto" w:fill="FFFFFF"/>
        </w:rPr>
        <w:t>Rcd</w:t>
      </w:r>
      <w:r w:rsidRPr="00116970">
        <w:rPr>
          <w:color w:val="000000" w:themeColor="text1"/>
          <w:shd w:val="clear" w:color="auto" w:fill="FFFFFF"/>
        </w:rPr>
        <w:t xml:space="preserve"> 10988, 11012</w:t>
      </w:r>
      <w:r w:rsidRPr="00116970">
        <w:rPr>
          <w:color w:val="000000" w:themeColor="text1"/>
          <w:shd w:val="clear" w:color="auto" w:fill="FFFFFF"/>
        </w:rPr>
        <w:noBreakHyphen/>
        <w:t xml:space="preserve">11017, </w:t>
      </w:r>
      <w:r>
        <w:rPr>
          <w:color w:val="000000" w:themeColor="text1"/>
          <w:shd w:val="clear" w:color="auto" w:fill="FFFFFF"/>
        </w:rPr>
        <w:t xml:space="preserve">at </w:t>
      </w:r>
      <w:r w:rsidRPr="00116970">
        <w:rPr>
          <w:color w:val="000000" w:themeColor="text1"/>
          <w:shd w:val="clear" w:color="auto" w:fill="FFFFFF"/>
        </w:rPr>
        <w:t>paras</w:t>
      </w:r>
      <w:r>
        <w:rPr>
          <w:color w:val="000000" w:themeColor="text1"/>
          <w:shd w:val="clear" w:color="auto" w:fill="FFFFFF"/>
        </w:rPr>
        <w:t>.</w:t>
      </w:r>
      <w:r w:rsidRPr="00116970">
        <w:rPr>
          <w:color w:val="000000" w:themeColor="text1"/>
          <w:shd w:val="clear" w:color="auto" w:fill="FFFFFF"/>
        </w:rPr>
        <w:t xml:space="preserve"> 75</w:t>
      </w:r>
      <w:r w:rsidRPr="00116970">
        <w:rPr>
          <w:color w:val="000000" w:themeColor="text1"/>
          <w:shd w:val="clear" w:color="auto" w:fill="FFFFFF"/>
        </w:rPr>
        <w:noBreakHyphen/>
        <w:t>87 (2018)</w:t>
      </w:r>
      <w:r>
        <w:rPr>
          <w:color w:val="000000" w:themeColor="text1"/>
          <w:shd w:val="clear" w:color="auto" w:fill="FFFFFF"/>
        </w:rPr>
        <w:t xml:space="preserve"> (</w:t>
      </w:r>
      <w:r w:rsidRPr="00BB3358">
        <w:rPr>
          <w:i/>
          <w:color w:val="000000" w:themeColor="text1"/>
          <w:shd w:val="clear" w:color="auto" w:fill="FFFFFF"/>
        </w:rPr>
        <w:t>24</w:t>
      </w:r>
      <w:r w:rsidR="00830A72">
        <w:rPr>
          <w:i/>
          <w:color w:val="000000" w:themeColor="text1"/>
          <w:shd w:val="clear" w:color="auto" w:fill="FFFFFF"/>
        </w:rPr>
        <w:t xml:space="preserve"> </w:t>
      </w:r>
      <w:r w:rsidRPr="00BB3358">
        <w:rPr>
          <w:i/>
          <w:color w:val="000000" w:themeColor="text1"/>
          <w:shd w:val="clear" w:color="auto" w:fill="FFFFFF"/>
        </w:rPr>
        <w:t>GHz Second R&amp;O</w:t>
      </w:r>
      <w:r>
        <w:rPr>
          <w:color w:val="000000" w:themeColor="text1"/>
          <w:shd w:val="clear" w:color="auto" w:fill="FFFFFF"/>
        </w:rPr>
        <w:t>)</w:t>
      </w:r>
      <w:r w:rsidRPr="00116970">
        <w:rPr>
          <w:color w:val="000000" w:themeColor="text1"/>
          <w:shd w:val="clear" w:color="auto" w:fill="FFFFFF"/>
        </w:rPr>
        <w:t>.</w:t>
      </w:r>
    </w:p>
  </w:footnote>
  <w:footnote w:id="27">
    <w:p w:rsidR="006A4EC8" w14:paraId="1F98C2A3" w14:textId="77777777">
      <w:pPr>
        <w:pStyle w:val="FootnoteText"/>
      </w:pPr>
      <w:r>
        <w:rPr>
          <w:rStyle w:val="FootnoteReference"/>
        </w:rPr>
        <w:footnoteRef/>
      </w:r>
      <w:r>
        <w:t xml:space="preserve"> </w:t>
      </w:r>
      <w:r w:rsidRPr="00BB3358" w:rsidR="007B7F90">
        <w:t>CORF Comments</w:t>
      </w:r>
      <w:r>
        <w:t xml:space="preserve"> at 7.</w:t>
      </w:r>
    </w:p>
  </w:footnote>
  <w:footnote w:id="28">
    <w:p w:rsidR="00076FF1" w14:paraId="426FB0A5" w14:textId="70D37189">
      <w:pPr>
        <w:pStyle w:val="FootnoteText"/>
      </w:pPr>
      <w:r>
        <w:rPr>
          <w:rStyle w:val="FootnoteReference"/>
        </w:rPr>
        <w:footnoteRef/>
      </w:r>
      <w:r>
        <w:t xml:space="preserve"> Harmonic</w:t>
      </w:r>
      <w:r w:rsidR="00410F69">
        <w:t xml:space="preserve"> </w:t>
      </w:r>
      <w:r>
        <w:t xml:space="preserve">frequencies </w:t>
      </w:r>
      <w:r w:rsidR="00410F69">
        <w:t xml:space="preserve">are </w:t>
      </w:r>
      <w:r>
        <w:t>radio frequency signal</w:t>
      </w:r>
      <w:r w:rsidR="00A5471B">
        <w:t>s</w:t>
      </w:r>
      <w:r>
        <w:t xml:space="preserve"> that are integer multiples of the </w:t>
      </w:r>
      <w:r w:rsidR="00A5471B">
        <w:t xml:space="preserve">original </w:t>
      </w:r>
      <w:r>
        <w:t>frequency</w:t>
      </w:r>
      <w:r w:rsidR="00A5471B">
        <w:t xml:space="preserve"> (also known as the fundamental frequency)</w:t>
      </w:r>
      <w:r>
        <w:t>.</w:t>
      </w:r>
      <w:r w:rsidR="00D1325C">
        <w:t xml:space="preserve">  For example, </w:t>
      </w:r>
      <w:r w:rsidR="00A5471B">
        <w:t xml:space="preserve">a 57 GHz Soli device also produces a signal at </w:t>
      </w:r>
      <w:r w:rsidR="00D1325C">
        <w:t>114 GHz</w:t>
      </w:r>
      <w:r w:rsidR="00A5471B">
        <w:t xml:space="preserve"> (second harmonic)</w:t>
      </w:r>
      <w:r w:rsidR="00D1325C">
        <w:t>, and</w:t>
      </w:r>
      <w:r w:rsidR="00DF1C65">
        <w:t xml:space="preserve"> </w:t>
      </w:r>
      <w:r w:rsidR="00D1325C">
        <w:t>228 GHz</w:t>
      </w:r>
      <w:r w:rsidR="00A5471B">
        <w:t xml:space="preserve"> (fourth harmonic)</w:t>
      </w:r>
      <w:r w:rsidR="00D1325C">
        <w:t>.</w:t>
      </w:r>
      <w:r w:rsidR="00410F69">
        <w:t xml:space="preserve">  Harmonic frequencies have increasingly lower power than the original signal.  The second harmonic has less power than the original signal and the fourth harmonic exhibits less power than the second harmonic.</w:t>
      </w:r>
    </w:p>
  </w:footnote>
  <w:footnote w:id="29">
    <w:p w:rsidR="00F87F0F" w:rsidRPr="00116970" w:rsidP="00F87F0F" w14:paraId="51D88414"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NRAO </w:t>
      </w:r>
      <w:r>
        <w:rPr>
          <w:color w:val="000000" w:themeColor="text1"/>
        </w:rPr>
        <w:t>C</w:t>
      </w:r>
      <w:r w:rsidRPr="00116970">
        <w:rPr>
          <w:color w:val="000000" w:themeColor="text1"/>
        </w:rPr>
        <w:t>omments at 2</w:t>
      </w:r>
      <w:r>
        <w:rPr>
          <w:color w:val="000000" w:themeColor="text1"/>
        </w:rPr>
        <w:t xml:space="preserve">; </w:t>
      </w:r>
      <w:r w:rsidRPr="00093DAB">
        <w:rPr>
          <w:i/>
        </w:rPr>
        <w:t>see also</w:t>
      </w:r>
      <w:r>
        <w:rPr>
          <w:color w:val="000000" w:themeColor="text1"/>
        </w:rPr>
        <w:t xml:space="preserve"> </w:t>
      </w:r>
      <w:r>
        <w:t>FARS Reply at 1 (</w:t>
      </w:r>
      <w:r w:rsidRPr="002C204F">
        <w:t>agree</w:t>
      </w:r>
      <w:r>
        <w:t>ing</w:t>
      </w:r>
      <w:r w:rsidRPr="002C204F">
        <w:t xml:space="preserve"> that such effects merit additional study</w:t>
      </w:r>
      <w:r>
        <w:t>).</w:t>
      </w:r>
    </w:p>
  </w:footnote>
  <w:footnote w:id="30">
    <w:p w:rsidR="007029D5" w:rsidP="007029D5" w14:paraId="7A4FE0CF" w14:textId="7AB7933F">
      <w:pPr>
        <w:pStyle w:val="FootnoteText"/>
      </w:pPr>
      <w:r>
        <w:rPr>
          <w:rStyle w:val="FootnoteReference"/>
        </w:rPr>
        <w:footnoteRef/>
      </w:r>
      <w:r>
        <w:t xml:space="preserve"> NRAO Comments at 2</w:t>
      </w:r>
      <w:r w:rsidR="00525537">
        <w:t>.</w:t>
      </w:r>
      <w:r w:rsidR="006431A9">
        <w:t xml:space="preserve">  </w:t>
      </w:r>
      <w:r w:rsidRPr="00116970" w:rsidR="006431A9">
        <w:rPr>
          <w:i/>
          <w:color w:val="000000" w:themeColor="text1"/>
        </w:rPr>
        <w:t>See</w:t>
      </w:r>
      <w:r w:rsidR="00F506CD">
        <w:rPr>
          <w:i/>
          <w:color w:val="000000" w:themeColor="text1"/>
        </w:rPr>
        <w:t xml:space="preserve"> also,</w:t>
      </w:r>
      <w:r w:rsidRPr="00116970" w:rsidR="006431A9">
        <w:rPr>
          <w:i/>
          <w:color w:val="000000" w:themeColor="text1"/>
        </w:rPr>
        <w:t xml:space="preserve"> </w:t>
      </w:r>
      <w:r w:rsidRPr="00236C3C" w:rsidR="006431A9">
        <w:rPr>
          <w:i/>
          <w:color w:val="000000" w:themeColor="text1"/>
        </w:rPr>
        <w:t>Amendment of Parts 2, 15, and 97 of the Commission's Rules to Permit Use of Frequencies Above 40 GHz for New Radio Applications</w:t>
      </w:r>
      <w:r w:rsidRPr="00116970" w:rsidR="006431A9">
        <w:rPr>
          <w:i/>
          <w:color w:val="000000" w:themeColor="text1"/>
        </w:rPr>
        <w:t xml:space="preserve">, </w:t>
      </w:r>
      <w:r w:rsidRPr="00236C3C" w:rsidR="006431A9">
        <w:rPr>
          <w:color w:val="000000" w:themeColor="text1"/>
        </w:rPr>
        <w:t>First Report &amp; Order and Second Notice of Proposed Rulemaking,</w:t>
      </w:r>
      <w:r w:rsidRPr="00116970" w:rsidR="006431A9">
        <w:rPr>
          <w:i/>
          <w:color w:val="000000" w:themeColor="text1"/>
        </w:rPr>
        <w:t xml:space="preserve"> </w:t>
      </w:r>
      <w:r w:rsidRPr="00116970" w:rsidR="006431A9">
        <w:rPr>
          <w:color w:val="000000" w:themeColor="text1"/>
        </w:rPr>
        <w:t xml:space="preserve">11 FCC </w:t>
      </w:r>
      <w:r w:rsidRPr="00116970" w:rsidR="006431A9">
        <w:rPr>
          <w:color w:val="000000" w:themeColor="text1"/>
        </w:rPr>
        <w:t>Rcd</w:t>
      </w:r>
      <w:r w:rsidRPr="00116970" w:rsidR="006431A9">
        <w:rPr>
          <w:color w:val="000000" w:themeColor="text1"/>
        </w:rPr>
        <w:t xml:space="preserve"> 4481 (1995)</w:t>
      </w:r>
      <w:r w:rsidR="006431A9">
        <w:rPr>
          <w:color w:val="000000" w:themeColor="text1"/>
        </w:rPr>
        <w:t>.</w:t>
      </w:r>
    </w:p>
  </w:footnote>
  <w:footnote w:id="31">
    <w:p w:rsidR="006A4EC8" w:rsidRPr="00BA29BD" w14:paraId="65705477" w14:textId="355872C5">
      <w:pPr>
        <w:pStyle w:val="FootnoteText"/>
      </w:pPr>
      <w:r>
        <w:rPr>
          <w:rStyle w:val="FootnoteReference"/>
        </w:rPr>
        <w:footnoteRef/>
      </w:r>
      <w:r>
        <w:t xml:space="preserve"> </w:t>
      </w:r>
      <w:r w:rsidRPr="00BB3358" w:rsidR="007B7F90">
        <w:rPr>
          <w:i/>
        </w:rPr>
        <w:t>See</w:t>
      </w:r>
      <w:r w:rsidR="007B7F90">
        <w:t xml:space="preserve"> </w:t>
      </w:r>
      <w:r w:rsidRPr="00093DAB" w:rsidR="007B7F90">
        <w:rPr>
          <w:i/>
        </w:rPr>
        <w:t xml:space="preserve">Google-Facebook Joint </w:t>
      </w:r>
      <w:r w:rsidR="00616B3E">
        <w:rPr>
          <w:i/>
        </w:rPr>
        <w:t xml:space="preserve">ex </w:t>
      </w:r>
      <w:r w:rsidR="00616B3E">
        <w:rPr>
          <w:i/>
        </w:rPr>
        <w:t>parte</w:t>
      </w:r>
      <w:r w:rsidR="007B7F90">
        <w:rPr>
          <w:i/>
        </w:rPr>
        <w:t xml:space="preserve"> </w:t>
      </w:r>
      <w:r w:rsidRPr="00093DAB" w:rsidR="007B7F90">
        <w:rPr>
          <w:i/>
        </w:rPr>
        <w:t>Filing</w:t>
      </w:r>
      <w:r w:rsidR="00BA29BD">
        <w:rPr>
          <w:i/>
        </w:rPr>
        <w:t xml:space="preserve"> </w:t>
      </w:r>
      <w:r w:rsidR="00BA29BD">
        <w:t>at 2.</w:t>
      </w:r>
    </w:p>
  </w:footnote>
  <w:footnote w:id="32">
    <w:p w:rsidR="006A4EC8" w:rsidRPr="00116970" w:rsidP="001F4249" w14:paraId="21654F65" w14:textId="1D37C8A9">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bookmarkStart w:id="12" w:name="_Hlk531099967"/>
      <w:r w:rsidRPr="00116970">
        <w:rPr>
          <w:color w:val="000000" w:themeColor="text1"/>
        </w:rPr>
        <w:t xml:space="preserve">Supplemental </w:t>
      </w:r>
      <w:r w:rsidRPr="00116970" w:rsidR="006B4324">
        <w:rPr>
          <w:color w:val="000000" w:themeColor="text1"/>
        </w:rPr>
        <w:t xml:space="preserve">Google </w:t>
      </w:r>
      <w:r>
        <w:rPr>
          <w:color w:val="000000" w:themeColor="text1"/>
        </w:rPr>
        <w:t>Study</w:t>
      </w:r>
      <w:r w:rsidRPr="00116970">
        <w:rPr>
          <w:color w:val="000000" w:themeColor="text1"/>
        </w:rPr>
        <w:t xml:space="preserve">, Attachment C, </w:t>
      </w:r>
      <w:r w:rsidRPr="00116970">
        <w:rPr>
          <w:bCs/>
          <w:i/>
          <w:color w:val="000000" w:themeColor="text1"/>
        </w:rPr>
        <w:t>Compatibility between Earth Exploration-Satellite Service Sensors and Airborne Use of Project Soli Devices at 57.5 to 63.5 GHz</w:t>
      </w:r>
      <w:r w:rsidRPr="00116970">
        <w:rPr>
          <w:color w:val="000000" w:themeColor="text1"/>
        </w:rPr>
        <w:t>,</w:t>
      </w:r>
      <w:bookmarkEnd w:id="12"/>
      <w:r w:rsidRPr="00116970">
        <w:rPr>
          <w:color w:val="000000" w:themeColor="text1"/>
        </w:rPr>
        <w:t xml:space="preserve"> at 16.</w:t>
      </w:r>
    </w:p>
  </w:footnote>
  <w:footnote w:id="33">
    <w:p w:rsidR="007B7F90" w:rsidRPr="00FB4A54" w14:paraId="46A39A53" w14:textId="7B992265">
      <w:pPr>
        <w:pStyle w:val="FootnoteText"/>
      </w:pPr>
      <w:r>
        <w:rPr>
          <w:rStyle w:val="FootnoteReference"/>
        </w:rPr>
        <w:footnoteRef/>
      </w:r>
      <w:r>
        <w:t xml:space="preserve"> </w:t>
      </w:r>
      <w:r w:rsidR="00FB4A54">
        <w:t xml:space="preserve"> </w:t>
      </w:r>
      <w:r w:rsidR="00FB4A54">
        <w:rPr>
          <w:i/>
        </w:rPr>
        <w:t>Id.</w:t>
      </w:r>
      <w:r w:rsidR="00FB4A54">
        <w:t xml:space="preserve"> at 15.</w:t>
      </w:r>
    </w:p>
  </w:footnote>
  <w:footnote w:id="34">
    <w:p w:rsidR="006A4EC8" w:rsidRPr="00116970" w:rsidP="00331F2F" w14:paraId="0D644AAE" w14:textId="189583ED">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116970" w:rsidR="009B0126">
        <w:rPr>
          <w:color w:val="000000" w:themeColor="text1"/>
        </w:rPr>
        <w:t xml:space="preserve">Supplemental </w:t>
      </w:r>
      <w:r w:rsidRPr="00116970" w:rsidR="006B4324">
        <w:rPr>
          <w:color w:val="000000" w:themeColor="text1"/>
        </w:rPr>
        <w:t xml:space="preserve">Google </w:t>
      </w:r>
      <w:r w:rsidR="009B0126">
        <w:rPr>
          <w:color w:val="000000" w:themeColor="text1"/>
        </w:rPr>
        <w:t>Study</w:t>
      </w:r>
      <w:r w:rsidRPr="00116970" w:rsidR="009B0126">
        <w:rPr>
          <w:color w:val="000000" w:themeColor="text1"/>
        </w:rPr>
        <w:t xml:space="preserve">, Attachment C, </w:t>
      </w:r>
      <w:r w:rsidRPr="00116970" w:rsidR="009B0126">
        <w:rPr>
          <w:bCs/>
          <w:i/>
          <w:color w:val="000000" w:themeColor="text1"/>
        </w:rPr>
        <w:t>Compatibility between Earth Exploration-Satellite Service Sensors and Airborne Use of Project Soli Devices at 57.5 to 63.5 GHz</w:t>
      </w:r>
      <w:r w:rsidRPr="00116970" w:rsidR="009B0126">
        <w:rPr>
          <w:color w:val="000000" w:themeColor="text1"/>
        </w:rPr>
        <w:t>,</w:t>
      </w:r>
      <w:r w:rsidR="009B0126">
        <w:rPr>
          <w:color w:val="000000" w:themeColor="text1"/>
        </w:rPr>
        <w:t xml:space="preserve"> at</w:t>
      </w:r>
      <w:r w:rsidRPr="00116970">
        <w:rPr>
          <w:color w:val="000000" w:themeColor="text1"/>
        </w:rPr>
        <w:t xml:space="preserve"> 17</w:t>
      </w:r>
      <w:r w:rsidRPr="00116970">
        <w:rPr>
          <w:color w:val="000000" w:themeColor="text1"/>
        </w:rPr>
        <w:noBreakHyphen/>
        <w:t xml:space="preserve">18.  </w:t>
      </w:r>
      <w:r w:rsidRPr="00F51089">
        <w:rPr>
          <w:i/>
          <w:color w:val="000000" w:themeColor="text1"/>
        </w:rPr>
        <w:t xml:space="preserve">See </w:t>
      </w:r>
      <w:r w:rsidRPr="00F51089">
        <w:rPr>
          <w:color w:val="000000" w:themeColor="text1"/>
        </w:rPr>
        <w:t xml:space="preserve">ITU Recommendation ITU-R RS.2017-0, Performance and Interference Criteria for Satellite Passive Remote Sensing, Recommendation (Aug. 2012) at 5, https://www.itu.int/dms </w:t>
      </w:r>
      <w:r w:rsidRPr="00F51089">
        <w:rPr>
          <w:color w:val="000000" w:themeColor="text1"/>
        </w:rPr>
        <w:t>pubrec</w:t>
      </w:r>
      <w:r w:rsidRPr="00F51089">
        <w:rPr>
          <w:color w:val="000000" w:themeColor="text1"/>
        </w:rPr>
        <w:t>/</w:t>
      </w:r>
      <w:r w:rsidRPr="00F51089">
        <w:rPr>
          <w:color w:val="000000" w:themeColor="text1"/>
        </w:rPr>
        <w:t>itu</w:t>
      </w:r>
      <w:r w:rsidRPr="00F51089">
        <w:rPr>
          <w:color w:val="000000" w:themeColor="text1"/>
        </w:rPr>
        <w:t>-r/rec/</w:t>
      </w:r>
      <w:r w:rsidRPr="00F51089">
        <w:rPr>
          <w:color w:val="000000" w:themeColor="text1"/>
        </w:rPr>
        <w:t>rs</w:t>
      </w:r>
      <w:r w:rsidRPr="00F51089">
        <w:rPr>
          <w:color w:val="000000" w:themeColor="text1"/>
        </w:rPr>
        <w:t>/R-REC-RS.2017-0-201208-I!!PDF-E.pdf (ITU-R RS.2017-0.  The interference criterion for passive EESS sensors operating in the 57 GHz band is -139 dBm in 100 MHz, not to be exceeded for more than 0.01% of the time.</w:t>
      </w:r>
    </w:p>
  </w:footnote>
  <w:footnote w:id="35">
    <w:p w:rsidR="00D224A7" w14:paraId="5B91B799" w14:textId="12CB8DF8">
      <w:pPr>
        <w:pStyle w:val="FootnoteText"/>
      </w:pPr>
      <w:r>
        <w:rPr>
          <w:rStyle w:val="FootnoteReference"/>
        </w:rPr>
        <w:footnoteRef/>
      </w:r>
      <w:r>
        <w:t xml:space="preserve"> </w:t>
      </w:r>
      <w:r w:rsidRPr="00116970" w:rsidR="00071D09">
        <w:rPr>
          <w:color w:val="000000" w:themeColor="text1"/>
        </w:rPr>
        <w:t xml:space="preserve">Supplemental </w:t>
      </w:r>
      <w:r w:rsidR="004C6B32">
        <w:rPr>
          <w:color w:val="000000" w:themeColor="text1"/>
        </w:rPr>
        <w:t xml:space="preserve">Google </w:t>
      </w:r>
      <w:r w:rsidR="00071D09">
        <w:rPr>
          <w:color w:val="000000" w:themeColor="text1"/>
        </w:rPr>
        <w:t>Stud</w:t>
      </w:r>
      <w:r w:rsidR="00CB6973">
        <w:rPr>
          <w:color w:val="000000" w:themeColor="text1"/>
        </w:rPr>
        <w:t>y</w:t>
      </w:r>
      <w:r w:rsidRPr="00116970" w:rsidR="00071D09">
        <w:rPr>
          <w:color w:val="000000" w:themeColor="text1"/>
        </w:rPr>
        <w:t xml:space="preserve">, Attachment C, </w:t>
      </w:r>
      <w:r w:rsidRPr="00116970" w:rsidR="00071D09">
        <w:rPr>
          <w:bCs/>
          <w:i/>
          <w:color w:val="000000" w:themeColor="text1"/>
        </w:rPr>
        <w:t>Compatibility between Earth Exploration-Satellite Service Sensors and Airborne Use of Project Soli Devices at 57.5 to 63.5 GHz</w:t>
      </w:r>
      <w:r w:rsidRPr="00116970" w:rsidR="00071D09">
        <w:rPr>
          <w:color w:val="000000" w:themeColor="text1"/>
        </w:rPr>
        <w:t xml:space="preserve">, at </w:t>
      </w:r>
      <w:r w:rsidR="00071D09">
        <w:rPr>
          <w:color w:val="000000" w:themeColor="text1"/>
        </w:rPr>
        <w:t>8-12</w:t>
      </w:r>
      <w:r w:rsidRPr="00116970" w:rsidR="00071D09">
        <w:rPr>
          <w:color w:val="000000" w:themeColor="text1"/>
        </w:rPr>
        <w:t>.</w:t>
      </w:r>
    </w:p>
  </w:footnote>
  <w:footnote w:id="36">
    <w:p w:rsidR="006A4EC8" w:rsidRPr="00302C1F" w14:paraId="003D3FE1" w14:textId="21C75062">
      <w:pPr>
        <w:pStyle w:val="FootnoteText"/>
        <w:rPr>
          <w:b/>
        </w:rPr>
      </w:pPr>
      <w:r>
        <w:rPr>
          <w:rStyle w:val="FootnoteReference"/>
        </w:rPr>
        <w:footnoteRef/>
      </w:r>
      <w:r>
        <w:t xml:space="preserve"> </w:t>
      </w:r>
      <w:r w:rsidR="00082ECA">
        <w:t xml:space="preserve">Researchers have found that “at millimeter waves, </w:t>
      </w:r>
      <w:r w:rsidR="00082ECA">
        <w:rPr>
          <w:rFonts w:ascii="Times-Roman" w:hAnsi="Times-Roman" w:cs="Times-Roman"/>
        </w:rPr>
        <w:t>shorter wavelengths result in a very short penetration depth” through human bodies.</w:t>
      </w:r>
      <w:r w:rsidR="00E227D2">
        <w:t xml:space="preserve">  </w:t>
      </w:r>
      <w:r w:rsidR="00CB4F2A">
        <w:rPr>
          <w:i/>
        </w:rPr>
        <w:t xml:space="preserve">See </w:t>
      </w:r>
      <w:r w:rsidR="00CB4F2A">
        <w:rPr>
          <w:rFonts w:ascii="Times-Roman" w:hAnsi="Times-Roman" w:cs="Times-Roman"/>
          <w:szCs w:val="22"/>
        </w:rPr>
        <w:t>Aliye</w:t>
      </w:r>
      <w:r w:rsidR="00CB4F2A">
        <w:rPr>
          <w:rFonts w:ascii="Times-Roman" w:hAnsi="Times-Roman" w:cs="Times-Roman"/>
          <w:szCs w:val="22"/>
        </w:rPr>
        <w:t xml:space="preserve"> </w:t>
      </w:r>
      <w:r w:rsidR="00CB4F2A">
        <w:rPr>
          <w:rFonts w:ascii="Times-Roman" w:hAnsi="Times-Roman" w:cs="Times-Roman"/>
          <w:szCs w:val="22"/>
        </w:rPr>
        <w:t>Özge</w:t>
      </w:r>
      <w:r w:rsidR="00CB4F2A">
        <w:rPr>
          <w:rFonts w:ascii="Times-Roman" w:hAnsi="Times-Roman" w:cs="Times-Roman"/>
          <w:szCs w:val="22"/>
        </w:rPr>
        <w:t xml:space="preserve"> Kaya et al., </w:t>
      </w:r>
      <w:r w:rsidRPr="00CF63C8" w:rsidR="00CB4F2A">
        <w:rPr>
          <w:i/>
        </w:rPr>
        <w:t>Coverage and Capacity Impact of Mobility and Human Body Blocking at Millimeter Waves</w:t>
      </w:r>
      <w:r w:rsidR="00CB4F2A">
        <w:t xml:space="preserve">, </w:t>
      </w:r>
      <w:r w:rsidR="008B032E">
        <w:t>GLOBECOM</w:t>
      </w:r>
      <w:r w:rsidR="007746C7">
        <w:t xml:space="preserve"> 2017 - </w:t>
      </w:r>
      <w:r w:rsidR="00CB4F2A">
        <w:rPr>
          <w:rFonts w:ascii="Times-Roman" w:hAnsi="Times-Roman" w:cs="Times-Roman"/>
          <w:szCs w:val="22"/>
        </w:rPr>
        <w:t>2017 IEEE Global Communications Conference</w:t>
      </w:r>
      <w:r w:rsidR="008B032E">
        <w:rPr>
          <w:rFonts w:ascii="Times-Roman" w:hAnsi="Times-Roman" w:cs="Times-Roman"/>
          <w:szCs w:val="22"/>
        </w:rPr>
        <w:t>, Singapore, at 1</w:t>
      </w:r>
      <w:r w:rsidR="008B032E">
        <w:rPr>
          <w:rFonts w:ascii="Times-Roman" w:hAnsi="Times-Roman" w:cs="Times-Roman"/>
          <w:szCs w:val="22"/>
        </w:rPr>
        <w:noBreakHyphen/>
        <w:t>7</w:t>
      </w:r>
      <w:r w:rsidR="00CB4F2A">
        <w:rPr>
          <w:rFonts w:ascii="Times-Roman" w:hAnsi="Times-Roman" w:cs="Times-Roman"/>
          <w:szCs w:val="22"/>
        </w:rPr>
        <w:t xml:space="preserve"> (2017).</w:t>
      </w:r>
    </w:p>
  </w:footnote>
  <w:footnote w:id="37">
    <w:p w:rsidR="00D7069C" w14:paraId="48C83F4E" w14:textId="7663782B">
      <w:pPr>
        <w:pStyle w:val="FootnoteText"/>
      </w:pPr>
      <w:r>
        <w:rPr>
          <w:rStyle w:val="FootnoteReference"/>
        </w:rPr>
        <w:footnoteRef/>
      </w:r>
      <w:r>
        <w:t xml:space="preserve"> 47 CFR § 15.255(b). </w:t>
      </w:r>
      <w:r w:rsidR="00916C4D">
        <w:t xml:space="preserve">As the Soli </w:t>
      </w:r>
      <w:r w:rsidR="00F506BB">
        <w:t xml:space="preserve">sensor </w:t>
      </w:r>
      <w:r w:rsidR="00916C4D">
        <w:t xml:space="preserve">operates independent of any </w:t>
      </w:r>
      <w:r w:rsidRPr="00E16422" w:rsidR="00A5235A">
        <w:rPr>
          <w:color w:val="000000"/>
          <w:szCs w:val="22"/>
        </w:rPr>
        <w:t>exclusive on-board communication network</w:t>
      </w:r>
      <w:r w:rsidR="00916C4D">
        <w:rPr>
          <w:color w:val="000000"/>
          <w:szCs w:val="22"/>
        </w:rPr>
        <w:t>s</w:t>
      </w:r>
      <w:r w:rsidRPr="00E16422" w:rsidR="00A5235A">
        <w:rPr>
          <w:color w:val="000000"/>
          <w:szCs w:val="22"/>
        </w:rPr>
        <w:t xml:space="preserve"> within the aircraft</w:t>
      </w:r>
      <w:r w:rsidR="00A5235A">
        <w:rPr>
          <w:color w:val="000000"/>
          <w:szCs w:val="22"/>
        </w:rPr>
        <w:t xml:space="preserve"> (such as airplane Wi</w:t>
      </w:r>
      <w:r w:rsidR="00916C4D">
        <w:rPr>
          <w:color w:val="000000"/>
          <w:szCs w:val="22"/>
        </w:rPr>
        <w:t>-</w:t>
      </w:r>
      <w:r w:rsidR="00A5235A">
        <w:rPr>
          <w:color w:val="000000"/>
          <w:szCs w:val="22"/>
        </w:rPr>
        <w:t>Fi system</w:t>
      </w:r>
      <w:r w:rsidR="00916C4D">
        <w:rPr>
          <w:color w:val="000000"/>
          <w:szCs w:val="22"/>
        </w:rPr>
        <w:t>s</w:t>
      </w:r>
      <w:r w:rsidR="00A5235A">
        <w:rPr>
          <w:color w:val="000000"/>
          <w:szCs w:val="22"/>
        </w:rPr>
        <w:t>)</w:t>
      </w:r>
      <w:r w:rsidR="00F506BB">
        <w:rPr>
          <w:color w:val="000000"/>
          <w:szCs w:val="22"/>
        </w:rPr>
        <w:t>,</w:t>
      </w:r>
      <w:r w:rsidR="00A5235A">
        <w:rPr>
          <w:color w:val="000000"/>
          <w:szCs w:val="22"/>
        </w:rPr>
        <w:t xml:space="preserve"> a waiver of this rule is</w:t>
      </w:r>
      <w:r w:rsidR="00916C4D">
        <w:rPr>
          <w:color w:val="000000"/>
          <w:szCs w:val="22"/>
        </w:rPr>
        <w:t xml:space="preserve"> needed.</w:t>
      </w:r>
      <w:r w:rsidR="00A5235A">
        <w:rPr>
          <w:color w:val="000000"/>
          <w:szCs w:val="22"/>
        </w:rPr>
        <w:t xml:space="preserve">  </w:t>
      </w:r>
    </w:p>
  </w:footnote>
  <w:footnote w:id="38">
    <w:p w:rsidR="006A4EC8" w14:paraId="45315F64" w14:textId="407FCC4B">
      <w:pPr>
        <w:pStyle w:val="FootnoteText"/>
      </w:pPr>
      <w:r>
        <w:rPr>
          <w:rStyle w:val="FootnoteReference"/>
        </w:rPr>
        <w:footnoteRef/>
      </w:r>
      <w:r>
        <w:t xml:space="preserve"> </w:t>
      </w:r>
      <w:r w:rsidRPr="006031E5" w:rsidR="006031E5">
        <w:rPr>
          <w:i/>
        </w:rPr>
        <w:t xml:space="preserve"> </w:t>
      </w:r>
      <w:r w:rsidR="006031E5">
        <w:rPr>
          <w:i/>
        </w:rPr>
        <w:t xml:space="preserve">See </w:t>
      </w:r>
      <w:r w:rsidRPr="00E95640" w:rsidR="006031E5">
        <w:rPr>
          <w:i/>
        </w:rPr>
        <w:t>Use of Spectrum Bands Above 24 GHz For Mobile Radio Services, et al</w:t>
      </w:r>
      <w:r w:rsidRPr="00E95640" w:rsidR="006031E5">
        <w:t xml:space="preserve">., Report and Order and Further Notice of Proposed Rulemaking, 31 FCC </w:t>
      </w:r>
      <w:r w:rsidRPr="00E95640" w:rsidR="006031E5">
        <w:t>Rcd</w:t>
      </w:r>
      <w:r w:rsidRPr="00E95640" w:rsidR="006031E5">
        <w:t xml:space="preserve"> </w:t>
      </w:r>
      <w:r w:rsidR="00A844E1">
        <w:t xml:space="preserve">at </w:t>
      </w:r>
      <w:r w:rsidR="006031E5">
        <w:t>8131</w:t>
      </w:r>
      <w:r w:rsidR="006031E5">
        <w:noBreakHyphen/>
        <w:t>8132, paras. 331</w:t>
      </w:r>
      <w:r w:rsidR="006031E5">
        <w:noBreakHyphen/>
        <w:t>33</w:t>
      </w:r>
      <w:r w:rsidRPr="00E95640" w:rsidR="006031E5">
        <w:t xml:space="preserve"> (2016)</w:t>
      </w:r>
      <w:r w:rsidR="00EF2FC6">
        <w:t xml:space="preserve"> (</w:t>
      </w:r>
      <w:r w:rsidR="00977167">
        <w:t>requesting further sharing studies and data</w:t>
      </w:r>
      <w:r w:rsidR="00EF2FC6">
        <w:t xml:space="preserve"> </w:t>
      </w:r>
      <w:r w:rsidR="00977167">
        <w:t>before allowing unlicensed 60 GHz operations on</w:t>
      </w:r>
      <w:r w:rsidR="00977167">
        <w:noBreakHyphen/>
        <w:t>board aircraft)</w:t>
      </w:r>
      <w:r w:rsidR="006031E5">
        <w:t xml:space="preserve">; and </w:t>
      </w:r>
      <w:r w:rsidRPr="00093DAB" w:rsidR="00A844E1">
        <w:rPr>
          <w:i/>
          <w:color w:val="000000" w:themeColor="text1"/>
          <w:shd w:val="clear" w:color="auto" w:fill="FFFFFF"/>
        </w:rPr>
        <w:t>24</w:t>
      </w:r>
      <w:r w:rsidR="00916C4D">
        <w:rPr>
          <w:i/>
          <w:color w:val="000000" w:themeColor="text1"/>
          <w:shd w:val="clear" w:color="auto" w:fill="FFFFFF"/>
        </w:rPr>
        <w:t xml:space="preserve"> </w:t>
      </w:r>
      <w:r w:rsidRPr="00093DAB" w:rsidR="00A844E1">
        <w:rPr>
          <w:i/>
          <w:color w:val="000000" w:themeColor="text1"/>
          <w:shd w:val="clear" w:color="auto" w:fill="FFFFFF"/>
        </w:rPr>
        <w:t>GHz Second R&amp;O</w:t>
      </w:r>
      <w:r w:rsidR="00A844E1">
        <w:rPr>
          <w:i/>
          <w:color w:val="000000" w:themeColor="text1"/>
          <w:shd w:val="clear" w:color="auto" w:fill="FFFFFF"/>
        </w:rPr>
        <w:t xml:space="preserve">, </w:t>
      </w:r>
      <w:r w:rsidRPr="00E95640" w:rsidR="00A844E1">
        <w:t>3</w:t>
      </w:r>
      <w:r w:rsidR="00A844E1">
        <w:t>2</w:t>
      </w:r>
      <w:r w:rsidRPr="00E95640" w:rsidR="00A844E1">
        <w:t xml:space="preserve"> FCC </w:t>
      </w:r>
      <w:r w:rsidRPr="00E95640" w:rsidR="00A844E1">
        <w:t>Rcd</w:t>
      </w:r>
      <w:r w:rsidRPr="00E95640" w:rsidR="00A844E1">
        <w:t xml:space="preserve"> </w:t>
      </w:r>
      <w:r w:rsidR="00A844E1">
        <w:t>at 11012</w:t>
      </w:r>
      <w:r w:rsidR="00A844E1">
        <w:noBreakHyphen/>
        <w:t>11017,</w:t>
      </w:r>
      <w:r w:rsidRPr="00E95640" w:rsidR="00A844E1">
        <w:t xml:space="preserve"> </w:t>
      </w:r>
      <w:r w:rsidR="00A844E1">
        <w:t>paras. 75</w:t>
      </w:r>
      <w:r w:rsidR="00A844E1">
        <w:noBreakHyphen/>
        <w:t>87</w:t>
      </w:r>
      <w:r w:rsidR="006B3AE9">
        <w:t xml:space="preserve"> (2017)</w:t>
      </w:r>
      <w:r w:rsidR="00977167">
        <w:t xml:space="preserve"> (</w:t>
      </w:r>
      <w:r w:rsidRPr="00CF63C8" w:rsidR="00977167">
        <w:t>finding that “allowing unlicensed use of this spectrum on</w:t>
      </w:r>
      <w:r w:rsidRPr="00CF63C8" w:rsidR="00977167">
        <w:noBreakHyphen/>
        <w:t>board aircraft while airborne, with certain limitations, will facilitate air travelers’ expanded access to broadband/internet services during flight”)</w:t>
      </w:r>
      <w:r w:rsidR="00834368">
        <w:t>.</w:t>
      </w:r>
    </w:p>
  </w:footnote>
  <w:footnote w:id="39">
    <w:p w:rsidR="006A4EC8" w:rsidRPr="00A220B5" w:rsidP="007D3070" w14:paraId="12254F34" w14:textId="73DF79B1">
      <w:pPr>
        <w:pStyle w:val="FootnoteText"/>
      </w:pPr>
      <w:r>
        <w:rPr>
          <w:rStyle w:val="FootnoteReference"/>
        </w:rPr>
        <w:footnoteRef/>
      </w:r>
      <w:r>
        <w:t xml:space="preserve"> </w:t>
      </w:r>
      <w:r w:rsidRPr="00643961">
        <w:rPr>
          <w:i/>
        </w:rPr>
        <w:t>See</w:t>
      </w:r>
      <w:r>
        <w:t xml:space="preserve"> </w:t>
      </w:r>
      <w:r w:rsidRPr="00093DAB">
        <w:rPr>
          <w:i/>
          <w:color w:val="000000" w:themeColor="text1"/>
          <w:shd w:val="clear" w:color="auto" w:fill="FFFFFF"/>
        </w:rPr>
        <w:t>24</w:t>
      </w:r>
      <w:r w:rsidR="00830A72">
        <w:rPr>
          <w:i/>
          <w:color w:val="000000" w:themeColor="text1"/>
          <w:shd w:val="clear" w:color="auto" w:fill="FFFFFF"/>
        </w:rPr>
        <w:t xml:space="preserve"> </w:t>
      </w:r>
      <w:r w:rsidRPr="00093DAB">
        <w:rPr>
          <w:i/>
          <w:color w:val="000000" w:themeColor="text1"/>
          <w:shd w:val="clear" w:color="auto" w:fill="FFFFFF"/>
        </w:rPr>
        <w:t>GHz Second R&amp;O</w:t>
      </w:r>
      <w:r>
        <w:rPr>
          <w:i/>
          <w:color w:val="000000" w:themeColor="text1"/>
          <w:shd w:val="clear" w:color="auto" w:fill="FFFFFF"/>
        </w:rPr>
        <w:t xml:space="preserve">, </w:t>
      </w:r>
      <w:r w:rsidRPr="00E95640">
        <w:t>3</w:t>
      </w:r>
      <w:r>
        <w:t>2</w:t>
      </w:r>
      <w:r w:rsidRPr="00E95640">
        <w:t xml:space="preserve"> FCC </w:t>
      </w:r>
      <w:r w:rsidRPr="00E95640">
        <w:t>Rcd</w:t>
      </w:r>
      <w:r w:rsidRPr="00E95640">
        <w:t xml:space="preserve"> </w:t>
      </w:r>
      <w:r>
        <w:t>at 11012</w:t>
      </w:r>
      <w:r>
        <w:noBreakHyphen/>
        <w:t>11017,</w:t>
      </w:r>
      <w:r w:rsidRPr="00E95640">
        <w:t xml:space="preserve"> </w:t>
      </w:r>
      <w:r>
        <w:t>paras. 75</w:t>
      </w:r>
      <w:r>
        <w:noBreakHyphen/>
        <w:t>87</w:t>
      </w:r>
      <w:r w:rsidRPr="00E95640">
        <w:t xml:space="preserve">.  </w:t>
      </w:r>
      <w:r>
        <w:t xml:space="preserve">Google’s Supplemental Study provides further confirmation of the </w:t>
      </w:r>
      <w:r w:rsidRPr="00A86A74" w:rsidR="00315EBD">
        <w:t>Aerospace Vehicle Spectrum Institute</w:t>
      </w:r>
      <w:r w:rsidR="00315EBD">
        <w:t xml:space="preserve"> (</w:t>
      </w:r>
      <w:r>
        <w:t>AVSI</w:t>
      </w:r>
      <w:r w:rsidR="00315EBD">
        <w:t>)</w:t>
      </w:r>
      <w:r>
        <w:t xml:space="preserve"> Study </w:t>
      </w:r>
      <w:r w:rsidR="00DD6A28">
        <w:t xml:space="preserve">(demonstrating that </w:t>
      </w:r>
      <w:r w:rsidRPr="00A86A74" w:rsidR="00DD6A28">
        <w:t xml:space="preserve">the use of </w:t>
      </w:r>
      <w:r w:rsidRPr="00A86A74" w:rsidR="00DD6A28">
        <w:t>WiGig</w:t>
      </w:r>
      <w:r w:rsidRPr="00A86A74" w:rsidR="00DD6A28">
        <w:t xml:space="preserve"> equipment on-board aircraft in the 57</w:t>
      </w:r>
      <w:r w:rsidRPr="00A86A74" w:rsidR="00DD6A28">
        <w:noBreakHyphen/>
        <w:t>71 GHz band does not cause harmful interference to passive services</w:t>
      </w:r>
      <w:r w:rsidR="00DD6A28">
        <w:t>)</w:t>
      </w:r>
      <w:r w:rsidR="00F51089">
        <w:t>.</w:t>
      </w:r>
      <w:r w:rsidR="00DD6A28">
        <w:t xml:space="preserve"> </w:t>
      </w:r>
    </w:p>
  </w:footnote>
  <w:footnote w:id="40">
    <w:p w:rsidR="006A4EC8" w14:paraId="3C5C497E" w14:textId="77777777">
      <w:pPr>
        <w:pStyle w:val="FootnoteText"/>
      </w:pPr>
      <w:r>
        <w:rPr>
          <w:rStyle w:val="FootnoteReference"/>
        </w:rPr>
        <w:footnoteRef/>
      </w:r>
      <w:r>
        <w:t xml:space="preserve"> 47 CFR </w:t>
      </w:r>
      <w:r>
        <w:rPr>
          <w:color w:val="000000" w:themeColor="text1"/>
        </w:rPr>
        <w:t>§ 15.255(d</w:t>
      </w:r>
      <w:r w:rsidRPr="00116970">
        <w:rPr>
          <w:color w:val="000000" w:themeColor="text1"/>
        </w:rPr>
        <w:t>)</w:t>
      </w:r>
      <w:r w:rsidR="00916C4D">
        <w:rPr>
          <w:color w:val="000000" w:themeColor="text1"/>
        </w:rPr>
        <w:t>.</w:t>
      </w:r>
    </w:p>
  </w:footnote>
  <w:footnote w:id="41">
    <w:p w:rsidR="006A4EC8" w:rsidRPr="00116970" w:rsidP="004B743D" w14:paraId="3B7C4B2E"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47 CFR § 15.255(b)(2)(</w:t>
      </w:r>
      <w:r w:rsidRPr="00116970">
        <w:rPr>
          <w:color w:val="000000" w:themeColor="text1"/>
        </w:rPr>
        <w:t>i</w:t>
      </w:r>
      <w:r w:rsidRPr="00116970">
        <w:rPr>
          <w:color w:val="000000" w:themeColor="text1"/>
        </w:rPr>
        <w:t xml:space="preserve">) prohibits operation of 60 GHz devices such as cameras or sensors mounted on the outside of an aircraft structure.  47 CFR § 15.255(b)(2)(ii) prohibits operation of 60 GHz devices on </w:t>
      </w:r>
      <w:r w:rsidRPr="00116970">
        <w:rPr>
          <w:color w:val="000000" w:themeColor="text1"/>
          <w:szCs w:val="22"/>
        </w:rPr>
        <w:t>aircraft where there is little attenuation of RF signals by the body/fuselage of the aircraft.</w:t>
      </w:r>
    </w:p>
  </w:footnote>
  <w:footnote w:id="42">
    <w:p w:rsidR="006A4EC8" w:rsidP="007D3070" w14:paraId="2A5CE679" w14:textId="3C54005E">
      <w:pPr>
        <w:pStyle w:val="FootnoteText"/>
      </w:pPr>
      <w:r>
        <w:rPr>
          <w:rStyle w:val="FootnoteReference"/>
        </w:rPr>
        <w:footnoteRef/>
      </w:r>
      <w:r>
        <w:t xml:space="preserve"> </w:t>
      </w:r>
      <w:r w:rsidR="003C6E97">
        <w:t xml:space="preserve">Consistent with </w:t>
      </w:r>
      <w:r w:rsidR="00C24506">
        <w:t xml:space="preserve">the </w:t>
      </w:r>
      <w:r w:rsidR="003C6E97">
        <w:t>Google</w:t>
      </w:r>
      <w:r w:rsidR="003C6E97">
        <w:noBreakHyphen/>
        <w:t xml:space="preserve">Facebook </w:t>
      </w:r>
      <w:r w:rsidR="00C24506">
        <w:t xml:space="preserve">Joint </w:t>
      </w:r>
      <w:r w:rsidR="00473C7D">
        <w:rPr>
          <w:i/>
        </w:rPr>
        <w:t xml:space="preserve">ex </w:t>
      </w:r>
      <w:r w:rsidR="00473C7D">
        <w:rPr>
          <w:i/>
        </w:rPr>
        <w:t>parte</w:t>
      </w:r>
      <w:r w:rsidR="00473C7D">
        <w:rPr>
          <w:i/>
        </w:rPr>
        <w:t xml:space="preserve"> </w:t>
      </w:r>
      <w:r w:rsidR="00C24506">
        <w:t>Filing, t</w:t>
      </w:r>
      <w:r>
        <w:t xml:space="preserve">he Google Soli will operate at an EIRP level that is 27 dB lower than </w:t>
      </w:r>
      <w:r w:rsidR="00C03DBF">
        <w:t xml:space="preserve">the </w:t>
      </w:r>
      <w:r>
        <w:t xml:space="preserve">existing </w:t>
      </w:r>
      <w:r w:rsidR="00F04646">
        <w:t xml:space="preserve">average EIRP limit for </w:t>
      </w:r>
      <w:r>
        <w:t xml:space="preserve">60 GHz </w:t>
      </w:r>
      <w:r>
        <w:t>WiGig</w:t>
      </w:r>
      <w:r>
        <w:t xml:space="preserve"> devices.  </w:t>
      </w:r>
      <w:r w:rsidRPr="00116970">
        <w:rPr>
          <w:i/>
          <w:color w:val="000000" w:themeColor="text1"/>
        </w:rPr>
        <w:t>See</w:t>
      </w:r>
      <w:r w:rsidRPr="00116970">
        <w:rPr>
          <w:color w:val="000000" w:themeColor="text1"/>
        </w:rPr>
        <w:t xml:space="preserve"> 47 </w:t>
      </w:r>
      <w:r>
        <w:rPr>
          <w:color w:val="000000" w:themeColor="text1"/>
        </w:rPr>
        <w:t>CFR</w:t>
      </w:r>
      <w:r w:rsidRPr="00116970">
        <w:rPr>
          <w:color w:val="000000" w:themeColor="text1"/>
        </w:rPr>
        <w:t xml:space="preserve"> §§ 15.255(b) and (e)(1).</w:t>
      </w:r>
    </w:p>
  </w:footnote>
  <w:footnote w:id="43">
    <w:p w:rsidR="00C51813" w14:paraId="490283BA" w14:textId="380117C2">
      <w:pPr>
        <w:pStyle w:val="FootnoteText"/>
      </w:pPr>
      <w:r>
        <w:rPr>
          <w:rStyle w:val="FootnoteReference"/>
        </w:rPr>
        <w:footnoteRef/>
      </w:r>
      <w:r>
        <w:t xml:space="preserve"> </w:t>
      </w:r>
      <w:r w:rsidRPr="00116970">
        <w:rPr>
          <w:color w:val="000000" w:themeColor="text1"/>
        </w:rPr>
        <w:t xml:space="preserve">Google </w:t>
      </w:r>
      <w:r>
        <w:rPr>
          <w:color w:val="000000" w:themeColor="text1"/>
        </w:rPr>
        <w:t>R</w:t>
      </w:r>
      <w:r w:rsidRPr="00116970">
        <w:rPr>
          <w:color w:val="000000" w:themeColor="text1"/>
        </w:rPr>
        <w:t>eply</w:t>
      </w:r>
      <w:r>
        <w:rPr>
          <w:color w:val="000000" w:themeColor="text1"/>
        </w:rPr>
        <w:t xml:space="preserve"> </w:t>
      </w:r>
      <w:r w:rsidRPr="00116970">
        <w:rPr>
          <w:color w:val="000000" w:themeColor="text1"/>
        </w:rPr>
        <w:t>at 2</w:t>
      </w:r>
      <w:r w:rsidRPr="00116970">
        <w:rPr>
          <w:color w:val="000000" w:themeColor="text1"/>
        </w:rPr>
        <w:noBreakHyphen/>
        <w:t>5.</w:t>
      </w:r>
      <w:r>
        <w:rPr>
          <w:color w:val="000000" w:themeColor="text1"/>
        </w:rPr>
        <w:t xml:space="preserve"> </w:t>
      </w:r>
    </w:p>
  </w:footnote>
  <w:footnote w:id="44">
    <w:p w:rsidR="006A4EC8" w:rsidRPr="00FC42B1" w14:paraId="00845343" w14:textId="77777777">
      <w:pPr>
        <w:pStyle w:val="FootnoteText"/>
      </w:pPr>
      <w:r>
        <w:rPr>
          <w:rStyle w:val="FootnoteReference"/>
        </w:rPr>
        <w:footnoteRef/>
      </w:r>
      <w:r>
        <w:t xml:space="preserve"> </w:t>
      </w:r>
      <w:r>
        <w:t>WiGig</w:t>
      </w:r>
      <w:r>
        <w:t xml:space="preserve"> devices operate pursuant to the 802.11ad standard.  </w:t>
      </w:r>
      <w:r>
        <w:rPr>
          <w:i/>
        </w:rPr>
        <w:t xml:space="preserve">See </w:t>
      </w:r>
      <w:r w:rsidRPr="00B25358">
        <w:t>IEEE 802.11ad-2012 - IEEE Standard for Information technology--Telecommunications and information exchange between systems--Local and metropolitan area networks--Specific requirements</w:t>
      </w:r>
      <w:r w:rsidR="00B32B95">
        <w:t xml:space="preserve"> </w:t>
      </w:r>
      <w:r w:rsidRPr="00B25358">
        <w:t>-</w:t>
      </w:r>
      <w:r w:rsidR="00B32B95">
        <w:t xml:space="preserve"> </w:t>
      </w:r>
      <w:r w:rsidRPr="00B25358">
        <w:t>Part 11: Wireless LAN Medium Access Control (MAC) and Physical Layer (PHY) Specifications Amendment 3: Enhancements for Very High Throughput in the 60 GHz Band</w:t>
      </w:r>
      <w:r w:rsidR="00DE63B3">
        <w:t xml:space="preserve">.  </w:t>
      </w:r>
      <w:r w:rsidRPr="00FC42B1" w:rsidR="00DE63B3">
        <w:rPr>
          <w:bCs/>
          <w:color w:val="000000" w:themeColor="text1"/>
          <w:szCs w:val="22"/>
        </w:rPr>
        <w:t xml:space="preserve">IEEE 802 argues that although the </w:t>
      </w:r>
      <w:r w:rsidR="00DE63B3">
        <w:rPr>
          <w:bCs/>
          <w:color w:val="000000" w:themeColor="text1"/>
          <w:szCs w:val="22"/>
        </w:rPr>
        <w:t xml:space="preserve">Project Soli </w:t>
      </w:r>
      <w:r w:rsidRPr="00FC42B1" w:rsidR="00DE63B3">
        <w:rPr>
          <w:bCs/>
          <w:color w:val="000000" w:themeColor="text1"/>
          <w:szCs w:val="22"/>
        </w:rPr>
        <w:t xml:space="preserve">OFDM modulation </w:t>
      </w:r>
      <w:r w:rsidR="00DE63B3">
        <w:rPr>
          <w:bCs/>
          <w:color w:val="000000" w:themeColor="text1"/>
          <w:szCs w:val="22"/>
        </w:rPr>
        <w:t>is supported by the 802.11ad standard</w:t>
      </w:r>
      <w:r w:rsidRPr="00DE63B3" w:rsidR="00DE63B3">
        <w:rPr>
          <w:bCs/>
          <w:color w:val="000000" w:themeColor="text1"/>
          <w:szCs w:val="22"/>
        </w:rPr>
        <w:t xml:space="preserve"> </w:t>
      </w:r>
      <w:r w:rsidR="00DE63B3">
        <w:rPr>
          <w:bCs/>
          <w:color w:val="000000" w:themeColor="text1"/>
          <w:szCs w:val="22"/>
        </w:rPr>
        <w:t xml:space="preserve">most 57-64 GHz devices do not use that modulation </w:t>
      </w:r>
      <w:r w:rsidRPr="00FC42B1" w:rsidR="00DE63B3">
        <w:rPr>
          <w:bCs/>
          <w:color w:val="000000" w:themeColor="text1"/>
          <w:szCs w:val="22"/>
        </w:rPr>
        <w:t>scheme</w:t>
      </w:r>
      <w:r w:rsidR="00DE63B3">
        <w:rPr>
          <w:bCs/>
          <w:color w:val="000000" w:themeColor="text1"/>
          <w:szCs w:val="22"/>
        </w:rPr>
        <w:t xml:space="preserve"> and given the requested power increase and assuming a 100% duty cycle, it is not clear that such devices will share the spectrum fairly.  IEEE 802 Comments at 1-2. </w:t>
      </w:r>
      <w:r w:rsidR="00001F0F">
        <w:rPr>
          <w:bCs/>
          <w:color w:val="000000" w:themeColor="text1"/>
          <w:szCs w:val="22"/>
        </w:rPr>
        <w:t xml:space="preserve">Facebook initially raised similar concerns, prior to the </w:t>
      </w:r>
      <w:r w:rsidRPr="00BB3358" w:rsidR="00001F0F">
        <w:rPr>
          <w:bCs/>
          <w:i/>
          <w:color w:val="000000" w:themeColor="text1"/>
          <w:szCs w:val="22"/>
        </w:rPr>
        <w:t>Google</w:t>
      </w:r>
      <w:r w:rsidR="003D6032">
        <w:rPr>
          <w:bCs/>
          <w:i/>
          <w:color w:val="000000" w:themeColor="text1"/>
          <w:szCs w:val="22"/>
        </w:rPr>
        <w:t>-</w:t>
      </w:r>
      <w:r w:rsidRPr="00BB3358" w:rsidR="00001F0F">
        <w:rPr>
          <w:bCs/>
          <w:i/>
          <w:color w:val="000000" w:themeColor="text1"/>
          <w:szCs w:val="22"/>
        </w:rPr>
        <w:t xml:space="preserve">Facebook </w:t>
      </w:r>
      <w:r w:rsidR="000A1333">
        <w:rPr>
          <w:bCs/>
          <w:i/>
          <w:color w:val="000000" w:themeColor="text1"/>
          <w:szCs w:val="22"/>
        </w:rPr>
        <w:t xml:space="preserve">Joint </w:t>
      </w:r>
      <w:r w:rsidRPr="00BB3358" w:rsidR="00001F0F">
        <w:rPr>
          <w:bCs/>
          <w:i/>
          <w:color w:val="000000" w:themeColor="text1"/>
          <w:szCs w:val="22"/>
        </w:rPr>
        <w:t>ex</w:t>
      </w:r>
      <w:r w:rsidR="000A1333">
        <w:rPr>
          <w:bCs/>
          <w:i/>
          <w:color w:val="000000" w:themeColor="text1"/>
          <w:szCs w:val="22"/>
        </w:rPr>
        <w:t xml:space="preserve"> </w:t>
      </w:r>
      <w:r w:rsidRPr="00BB3358" w:rsidR="00001F0F">
        <w:rPr>
          <w:bCs/>
          <w:i/>
          <w:color w:val="000000" w:themeColor="text1"/>
          <w:szCs w:val="22"/>
        </w:rPr>
        <w:t>parte</w:t>
      </w:r>
      <w:r w:rsidRPr="00BB3358" w:rsidR="00001F0F">
        <w:rPr>
          <w:bCs/>
          <w:i/>
          <w:color w:val="000000" w:themeColor="text1"/>
          <w:szCs w:val="22"/>
        </w:rPr>
        <w:t xml:space="preserve"> Filing</w:t>
      </w:r>
      <w:r w:rsidR="00001F0F">
        <w:rPr>
          <w:bCs/>
          <w:color w:val="000000" w:themeColor="text1"/>
          <w:szCs w:val="22"/>
        </w:rPr>
        <w:t xml:space="preserve">.  </w:t>
      </w:r>
      <w:r w:rsidRPr="00BB3358" w:rsidR="00001F0F">
        <w:rPr>
          <w:bCs/>
          <w:i/>
          <w:color w:val="000000" w:themeColor="text1"/>
          <w:szCs w:val="22"/>
        </w:rPr>
        <w:t>See</w:t>
      </w:r>
      <w:r w:rsidR="00001F0F">
        <w:rPr>
          <w:bCs/>
          <w:color w:val="000000" w:themeColor="text1"/>
          <w:szCs w:val="22"/>
        </w:rPr>
        <w:t xml:space="preserve"> Facebook Comments at 1; Facebook Reply at 2.    </w:t>
      </w:r>
    </w:p>
  </w:footnote>
  <w:footnote w:id="45">
    <w:p w:rsidR="00001F0F" w:rsidP="00001F0F" w14:paraId="6F7AD8E6" w14:textId="77777777">
      <w:pPr>
        <w:pStyle w:val="FootnoteText"/>
      </w:pPr>
      <w:r>
        <w:rPr>
          <w:rStyle w:val="FootnoteReference"/>
        </w:rPr>
        <w:footnoteRef/>
      </w:r>
      <w:r>
        <w:t xml:space="preserve"> </w:t>
      </w:r>
      <w:r w:rsidRPr="00116970">
        <w:rPr>
          <w:color w:val="000000" w:themeColor="text1"/>
        </w:rPr>
        <w:t xml:space="preserve">IEEE 802 </w:t>
      </w:r>
      <w:r>
        <w:rPr>
          <w:color w:val="000000" w:themeColor="text1"/>
        </w:rPr>
        <w:t>C</w:t>
      </w:r>
      <w:r w:rsidRPr="00116970">
        <w:rPr>
          <w:color w:val="000000" w:themeColor="text1"/>
        </w:rPr>
        <w:t>omments</w:t>
      </w:r>
      <w:r>
        <w:t xml:space="preserve"> at 2.</w:t>
      </w:r>
    </w:p>
  </w:footnote>
  <w:footnote w:id="46">
    <w:p w:rsidR="006A4EC8" w:rsidRPr="0002335B" w14:paraId="56DFEC29" w14:textId="135EBEB8">
      <w:pPr>
        <w:pStyle w:val="FootnoteText"/>
      </w:pPr>
      <w:r>
        <w:rPr>
          <w:rStyle w:val="FootnoteReference"/>
        </w:rPr>
        <w:footnoteRef/>
      </w:r>
      <w:r>
        <w:t xml:space="preserve"> </w:t>
      </w:r>
      <w:r w:rsidR="004C6B32">
        <w:rPr>
          <w:i/>
        </w:rPr>
        <w:t>See</w:t>
      </w:r>
      <w:r w:rsidR="00F51089">
        <w:rPr>
          <w:i/>
        </w:rPr>
        <w:t xml:space="preserve"> generally</w:t>
      </w:r>
      <w:r w:rsidR="004C6B32">
        <w:rPr>
          <w:i/>
        </w:rPr>
        <w:t xml:space="preserve"> </w:t>
      </w:r>
      <w:r w:rsidR="004C6B32">
        <w:t>Supplemental Google Stud</w:t>
      </w:r>
      <w:r w:rsidR="00CB6973">
        <w:t>y</w:t>
      </w:r>
      <w:r w:rsidR="00F51089">
        <w:t>;</w:t>
      </w:r>
      <w:r w:rsidR="004C6B32">
        <w:t xml:space="preserve"> Additional Google Stud</w:t>
      </w:r>
      <w:r w:rsidR="00CB6973">
        <w:t>y</w:t>
      </w:r>
      <w:r w:rsidR="004C6B32">
        <w:t>.</w:t>
      </w:r>
    </w:p>
  </w:footnote>
  <w:footnote w:id="47">
    <w:p w:rsidR="006A4EC8" w:rsidP="00FB4777" w14:paraId="6773C8F8" w14:textId="77777777">
      <w:pPr>
        <w:pStyle w:val="FootnoteText"/>
      </w:pPr>
      <w:r>
        <w:rPr>
          <w:rStyle w:val="FootnoteReference"/>
        </w:rPr>
        <w:footnoteRef/>
      </w:r>
      <w:r>
        <w:t xml:space="preserve"> </w:t>
      </w:r>
      <w:r w:rsidRPr="00BB3358" w:rsidR="00001F0F">
        <w:rPr>
          <w:i/>
        </w:rPr>
        <w:t>Google</w:t>
      </w:r>
      <w:r w:rsidR="003D6032">
        <w:rPr>
          <w:i/>
        </w:rPr>
        <w:t>-</w:t>
      </w:r>
      <w:r w:rsidRPr="00BB3358" w:rsidR="00001F0F">
        <w:rPr>
          <w:i/>
        </w:rPr>
        <w:t xml:space="preserve">Facebook </w:t>
      </w:r>
      <w:r w:rsidR="005D7FBD">
        <w:rPr>
          <w:i/>
        </w:rPr>
        <w:t xml:space="preserve">Joint </w:t>
      </w:r>
      <w:r w:rsidRPr="00BB3358" w:rsidR="00001F0F">
        <w:rPr>
          <w:i/>
        </w:rPr>
        <w:t>ex</w:t>
      </w:r>
      <w:r w:rsidR="005D7FBD">
        <w:rPr>
          <w:i/>
        </w:rPr>
        <w:t xml:space="preserve"> </w:t>
      </w:r>
      <w:r w:rsidRPr="00BB3358" w:rsidR="00001F0F">
        <w:rPr>
          <w:i/>
        </w:rPr>
        <w:t>parte</w:t>
      </w:r>
      <w:r w:rsidRPr="00BB3358" w:rsidR="00001F0F">
        <w:rPr>
          <w:i/>
        </w:rPr>
        <w:t xml:space="preserve"> </w:t>
      </w:r>
      <w:r w:rsidRPr="00BB3358">
        <w:rPr>
          <w:i/>
        </w:rPr>
        <w:t>Filing</w:t>
      </w:r>
      <w:r>
        <w:t xml:space="preserve"> at 1-2.  </w:t>
      </w:r>
      <w:r w:rsidR="0040028C">
        <w:t xml:space="preserve">Qualcomm also supports these updated operational parameters.  </w:t>
      </w:r>
      <w:r w:rsidR="005D7FBD">
        <w:t xml:space="preserve">Letter from John W. Kuzin, Vice President and Regulatory Counsel, </w:t>
      </w:r>
      <w:r w:rsidR="0040028C">
        <w:t xml:space="preserve">Qualcomm </w:t>
      </w:r>
      <w:r w:rsidR="0040028C">
        <w:rPr>
          <w:color w:val="000000" w:themeColor="text1"/>
        </w:rPr>
        <w:t>Incorporated</w:t>
      </w:r>
      <w:r w:rsidR="00762A9A">
        <w:rPr>
          <w:color w:val="000000" w:themeColor="text1"/>
        </w:rPr>
        <w:t xml:space="preserve"> to Marlene Dortch, Secretary, FCC, ET Docket 18-70</w:t>
      </w:r>
      <w:r w:rsidR="0040028C">
        <w:rPr>
          <w:color w:val="000000" w:themeColor="text1"/>
        </w:rPr>
        <w:t xml:space="preserve"> (filed Nov. 16, 2018) </w:t>
      </w:r>
      <w:r w:rsidR="00762A9A">
        <w:rPr>
          <w:color w:val="000000" w:themeColor="text1"/>
        </w:rPr>
        <w:t xml:space="preserve">(stating that </w:t>
      </w:r>
      <w:r w:rsidR="0040028C">
        <w:t>Qualcomm and Google have agreed to work together to resolve any technical concerns with coexistence of Soli radar and 802.11 devices operating in the 57 to 64 GHz portion of the 60 GHz unlicensed band</w:t>
      </w:r>
      <w:r w:rsidR="00762A9A">
        <w:t>)</w:t>
      </w:r>
      <w:r w:rsidR="0040028C">
        <w:t>.</w:t>
      </w:r>
      <w:r w:rsidR="005D7FBD">
        <w:t xml:space="preserve"> </w:t>
      </w:r>
    </w:p>
  </w:footnote>
  <w:footnote w:id="48">
    <w:p w:rsidR="006A4EC8" w:rsidP="00E2196F" w14:paraId="5FF1B765" w14:textId="77777777">
      <w:pPr>
        <w:pStyle w:val="FootnoteText"/>
      </w:pPr>
      <w:r>
        <w:rPr>
          <w:rStyle w:val="FootnoteReference"/>
        </w:rPr>
        <w:footnoteRef/>
      </w:r>
      <w:r>
        <w:t xml:space="preserve"> </w:t>
      </w:r>
      <w:r w:rsidRPr="00F63168">
        <w:rPr>
          <w:i/>
        </w:rPr>
        <w:t>See</w:t>
      </w:r>
      <w:r>
        <w:rPr>
          <w:i/>
        </w:rPr>
        <w:t xml:space="preserve"> </w:t>
      </w:r>
      <w:r w:rsidRPr="00490839" w:rsidR="00001F0F">
        <w:rPr>
          <w:i/>
        </w:rPr>
        <w:t>Google</w:t>
      </w:r>
      <w:r w:rsidR="003D6032">
        <w:rPr>
          <w:i/>
        </w:rPr>
        <w:t>-</w:t>
      </w:r>
      <w:r w:rsidRPr="00490839" w:rsidR="00001F0F">
        <w:rPr>
          <w:i/>
        </w:rPr>
        <w:t xml:space="preserve">Facebook Joint </w:t>
      </w:r>
      <w:r w:rsidR="005D7FBD">
        <w:rPr>
          <w:i/>
        </w:rPr>
        <w:t xml:space="preserve">ex </w:t>
      </w:r>
      <w:r w:rsidR="005D7FBD">
        <w:rPr>
          <w:i/>
        </w:rPr>
        <w:t>parte</w:t>
      </w:r>
      <w:r w:rsidR="005D7FBD">
        <w:rPr>
          <w:i/>
        </w:rPr>
        <w:t xml:space="preserve"> </w:t>
      </w:r>
      <w:r w:rsidRPr="00490839" w:rsidR="00001F0F">
        <w:rPr>
          <w:i/>
        </w:rPr>
        <w:t>Filing</w:t>
      </w:r>
      <w:r w:rsidR="00001F0F">
        <w:t xml:space="preserve"> </w:t>
      </w:r>
      <w:r>
        <w:t>at 1</w:t>
      </w:r>
      <w:r>
        <w:noBreakHyphen/>
        <w:t xml:space="preserve">2. </w:t>
      </w:r>
    </w:p>
  </w:footnote>
  <w:footnote w:id="49">
    <w:p w:rsidR="006A4EC8" w:rsidRPr="004A6F3D" w:rsidP="00710CE2" w14:paraId="57158DB5" w14:textId="3166F936">
      <w:pPr>
        <w:pStyle w:val="FootnoteText"/>
        <w:rPr>
          <w:color w:val="000000" w:themeColor="text1"/>
        </w:rPr>
      </w:pPr>
      <w:r w:rsidRPr="00116970">
        <w:rPr>
          <w:rStyle w:val="FootnoteReference"/>
          <w:color w:val="000000" w:themeColor="text1"/>
        </w:rPr>
        <w:footnoteRef/>
      </w:r>
      <w:r w:rsidRPr="00116970">
        <w:rPr>
          <w:color w:val="000000" w:themeColor="text1"/>
        </w:rPr>
        <w:t xml:space="preserve"> We note that </w:t>
      </w:r>
      <w:r>
        <w:rPr>
          <w:color w:val="000000" w:themeColor="text1"/>
        </w:rPr>
        <w:t xml:space="preserve">ETSI has permitted </w:t>
      </w:r>
      <w:r w:rsidRPr="00116970">
        <w:rPr>
          <w:color w:val="000000" w:themeColor="text1"/>
        </w:rPr>
        <w:t>short</w:t>
      </w:r>
      <w:r w:rsidRPr="00116970">
        <w:rPr>
          <w:color w:val="000000" w:themeColor="text1"/>
        </w:rPr>
        <w:noBreakHyphen/>
        <w:t>range devices in the 57</w:t>
      </w:r>
      <w:r w:rsidRPr="00116970">
        <w:rPr>
          <w:color w:val="000000" w:themeColor="text1"/>
        </w:rPr>
        <w:noBreakHyphen/>
        <w:t xml:space="preserve">64 GHz band to operate in Europe since 2014 at Google’s </w:t>
      </w:r>
      <w:r>
        <w:rPr>
          <w:color w:val="000000" w:themeColor="text1"/>
        </w:rPr>
        <w:t xml:space="preserve">originally </w:t>
      </w:r>
      <w:r w:rsidRPr="00116970">
        <w:rPr>
          <w:color w:val="000000" w:themeColor="text1"/>
        </w:rPr>
        <w:t xml:space="preserve">requested power levels without adverse interference effects.  </w:t>
      </w:r>
      <w:r w:rsidR="004A6F3D">
        <w:rPr>
          <w:i/>
          <w:color w:val="000000" w:themeColor="text1"/>
        </w:rPr>
        <w:t xml:space="preserve">See supra </w:t>
      </w:r>
      <w:r w:rsidR="004A6F3D">
        <w:rPr>
          <w:color w:val="000000" w:themeColor="text1"/>
        </w:rPr>
        <w:t xml:space="preserve">note </w:t>
      </w:r>
      <w:r w:rsidR="004A6F3D">
        <w:rPr>
          <w:color w:val="000000" w:themeColor="text1"/>
        </w:rPr>
        <w:fldChar w:fldCharType="begin"/>
      </w:r>
      <w:r w:rsidR="004A6F3D">
        <w:rPr>
          <w:color w:val="000000" w:themeColor="text1"/>
        </w:rPr>
        <w:instrText xml:space="preserve"> NOTEREF _Ref531256016 \h </w:instrText>
      </w:r>
      <w:r w:rsidR="004A6F3D">
        <w:rPr>
          <w:color w:val="000000" w:themeColor="text1"/>
        </w:rPr>
        <w:fldChar w:fldCharType="separate"/>
      </w:r>
      <w:r w:rsidR="00A80476">
        <w:rPr>
          <w:color w:val="000000" w:themeColor="text1"/>
        </w:rPr>
        <w:t>9</w:t>
      </w:r>
      <w:r w:rsidR="004A6F3D">
        <w:rPr>
          <w:color w:val="000000" w:themeColor="text1"/>
        </w:rPr>
        <w:fldChar w:fldCharType="end"/>
      </w:r>
      <w:r w:rsidR="004A6F3D">
        <w:rPr>
          <w:color w:val="000000" w:themeColor="text1"/>
        </w:rPr>
        <w:t>.</w:t>
      </w:r>
    </w:p>
  </w:footnote>
  <w:footnote w:id="50">
    <w:p w:rsidR="006A4EC8" w:rsidRPr="00116970" w:rsidP="00C864A2" w14:paraId="70EA47CC"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505DB6">
        <w:rPr>
          <w:i/>
          <w:color w:val="000000" w:themeColor="text1"/>
        </w:rPr>
        <w:t>Google Waiver Request</w:t>
      </w:r>
      <w:r w:rsidRPr="00116970">
        <w:rPr>
          <w:color w:val="000000" w:themeColor="text1"/>
        </w:rPr>
        <w:t xml:space="preserve"> at 2.</w:t>
      </w:r>
    </w:p>
  </w:footnote>
  <w:footnote w:id="51">
    <w:p w:rsidR="0068669E" w:rsidP="0068669E" w14:paraId="66D13E4A" w14:textId="34C763EC">
      <w:pPr>
        <w:pStyle w:val="FootnoteText"/>
      </w:pPr>
      <w:r>
        <w:rPr>
          <w:rStyle w:val="FootnoteReference"/>
        </w:rPr>
        <w:footnoteRef/>
      </w:r>
      <w:r>
        <w:t xml:space="preserve"> </w:t>
      </w:r>
      <w:r>
        <w:rPr>
          <w:i/>
        </w:rPr>
        <w:t xml:space="preserve">See </w:t>
      </w:r>
      <w:r w:rsidRPr="00116970">
        <w:rPr>
          <w:color w:val="000000" w:themeColor="text1"/>
        </w:rPr>
        <w:t xml:space="preserve">Continental </w:t>
      </w:r>
      <w:r>
        <w:rPr>
          <w:color w:val="000000" w:themeColor="text1"/>
        </w:rPr>
        <w:t>C</w:t>
      </w:r>
      <w:r w:rsidRPr="00116970">
        <w:rPr>
          <w:color w:val="000000" w:themeColor="text1"/>
        </w:rPr>
        <w:t xml:space="preserve">omments at </w:t>
      </w:r>
      <w:r>
        <w:rPr>
          <w:color w:val="000000" w:themeColor="text1"/>
        </w:rPr>
        <w:t>1</w:t>
      </w:r>
      <w:r>
        <w:rPr>
          <w:color w:val="000000" w:themeColor="text1"/>
        </w:rPr>
        <w:noBreakHyphen/>
      </w:r>
      <w:r>
        <w:rPr>
          <w:color w:val="000000" w:themeColor="text1"/>
        </w:rPr>
        <w:t>3</w:t>
      </w:r>
      <w:r w:rsidR="00F51089">
        <w:rPr>
          <w:color w:val="000000" w:themeColor="text1"/>
        </w:rPr>
        <w:t>;</w:t>
      </w:r>
      <w:r>
        <w:rPr>
          <w:color w:val="000000" w:themeColor="text1"/>
        </w:rPr>
        <w:t xml:space="preserve">  </w:t>
      </w:r>
      <w:r w:rsidRPr="00116970">
        <w:rPr>
          <w:color w:val="000000" w:themeColor="text1"/>
        </w:rPr>
        <w:t>OmniPresen</w:t>
      </w:r>
      <w:r>
        <w:rPr>
          <w:color w:val="000000" w:themeColor="text1"/>
        </w:rPr>
        <w:t>s</w:t>
      </w:r>
      <w:r w:rsidRPr="00116970">
        <w:rPr>
          <w:color w:val="000000" w:themeColor="text1"/>
        </w:rPr>
        <w:t>e</w:t>
      </w:r>
      <w:r w:rsidRPr="00116970">
        <w:rPr>
          <w:color w:val="000000" w:themeColor="text1"/>
        </w:rPr>
        <w:t xml:space="preserve"> </w:t>
      </w:r>
      <w:r>
        <w:rPr>
          <w:color w:val="000000" w:themeColor="text1"/>
        </w:rPr>
        <w:t>C</w:t>
      </w:r>
      <w:r w:rsidRPr="00116970">
        <w:rPr>
          <w:color w:val="000000" w:themeColor="text1"/>
        </w:rPr>
        <w:t>omments at 1</w:t>
      </w:r>
      <w:r>
        <w:rPr>
          <w:color w:val="000000" w:themeColor="text1"/>
        </w:rPr>
        <w:t xml:space="preserve">.  </w:t>
      </w:r>
    </w:p>
  </w:footnote>
  <w:footnote w:id="52">
    <w:p w:rsidR="0068669E" w:rsidRPr="00C864A2" w:rsidP="0068669E" w14:paraId="044F8D5B" w14:textId="77777777">
      <w:pPr>
        <w:pStyle w:val="FootnoteText"/>
        <w:rPr>
          <w:i/>
        </w:rPr>
      </w:pPr>
      <w:r>
        <w:rPr>
          <w:rStyle w:val="FootnoteReference"/>
        </w:rPr>
        <w:footnoteRef/>
      </w:r>
      <w:r>
        <w:t xml:space="preserve"> </w:t>
      </w:r>
      <w:r>
        <w:rPr>
          <w:color w:val="000000" w:themeColor="text1"/>
        </w:rPr>
        <w:t>T</w:t>
      </w:r>
      <w:r w:rsidRPr="00A2227F">
        <w:rPr>
          <w:color w:val="000000" w:themeColor="text1"/>
          <w:szCs w:val="22"/>
        </w:rPr>
        <w:t>he Commission recently decided to consolidate radars used in vehicular applications into a single frequency band at 76</w:t>
      </w:r>
      <w:r w:rsidRPr="00A2227F">
        <w:rPr>
          <w:color w:val="000000" w:themeColor="text1"/>
          <w:szCs w:val="22"/>
        </w:rPr>
        <w:noBreakHyphen/>
        <w:t>81 GHz under Part 95 of the rules</w:t>
      </w:r>
      <w:r>
        <w:rPr>
          <w:color w:val="000000" w:themeColor="text1"/>
          <w:szCs w:val="22"/>
        </w:rPr>
        <w:t xml:space="preserve">.  </w:t>
      </w:r>
      <w:r w:rsidRPr="00116970">
        <w:rPr>
          <w:i/>
          <w:color w:val="000000" w:themeColor="text1"/>
        </w:rPr>
        <w:t>See</w:t>
      </w:r>
      <w:r w:rsidRPr="00116970">
        <w:rPr>
          <w:color w:val="000000" w:themeColor="text1"/>
        </w:rPr>
        <w:t xml:space="preserve"> </w:t>
      </w:r>
      <w:r w:rsidRPr="00116970">
        <w:rPr>
          <w:i/>
          <w:color w:val="000000" w:themeColor="text1"/>
        </w:rPr>
        <w:t>Amendment of Parts 1, 2, 15, 90 and 95 of the Commission’s Rules to Permit Radar Services in the 76-81 GHz Band</w:t>
      </w:r>
      <w:r w:rsidRPr="00116970">
        <w:rPr>
          <w:color w:val="000000" w:themeColor="text1"/>
        </w:rPr>
        <w:t xml:space="preserve">, ET Docket No. 15-26, Report and Order, </w:t>
      </w:r>
      <w:r w:rsidRPr="00116970">
        <w:rPr>
          <w:color w:val="000000" w:themeColor="text1"/>
          <w:shd w:val="clear" w:color="auto" w:fill="FFFFFF"/>
        </w:rPr>
        <w:t xml:space="preserve">32 FCC </w:t>
      </w:r>
      <w:r w:rsidRPr="00116970">
        <w:rPr>
          <w:color w:val="000000" w:themeColor="text1"/>
          <w:shd w:val="clear" w:color="auto" w:fill="FFFFFF"/>
        </w:rPr>
        <w:t>Rcd</w:t>
      </w:r>
      <w:r w:rsidRPr="00116970">
        <w:rPr>
          <w:color w:val="000000" w:themeColor="text1"/>
          <w:shd w:val="clear" w:color="auto" w:fill="FFFFFF"/>
        </w:rPr>
        <w:t xml:space="preserve"> 8822</w:t>
      </w:r>
      <w:r>
        <w:rPr>
          <w:color w:val="000000" w:themeColor="text1"/>
          <w:shd w:val="clear" w:color="auto" w:fill="FFFFFF"/>
        </w:rPr>
        <w:t>.</w:t>
      </w:r>
      <w:r w:rsidRPr="00116970">
        <w:rPr>
          <w:color w:val="000000" w:themeColor="text1"/>
          <w:shd w:val="clear" w:color="auto" w:fill="FFFFFF"/>
        </w:rPr>
        <w:t xml:space="preserve"> (2017).  The Commission </w:t>
      </w:r>
      <w:r>
        <w:rPr>
          <w:color w:val="000000" w:themeColor="text1"/>
          <w:shd w:val="clear" w:color="auto" w:fill="FFFFFF"/>
        </w:rPr>
        <w:t>stopped</w:t>
      </w:r>
      <w:r w:rsidRPr="00116970">
        <w:rPr>
          <w:color w:val="000000" w:themeColor="text1"/>
          <w:shd w:val="clear" w:color="auto" w:fill="FFFFFF"/>
        </w:rPr>
        <w:t xml:space="preserve"> accepting new applications for certification of vehicle radars under 47 </w:t>
      </w:r>
      <w:r>
        <w:rPr>
          <w:color w:val="000000" w:themeColor="text1"/>
          <w:shd w:val="clear" w:color="auto" w:fill="FFFFFF"/>
        </w:rPr>
        <w:t>CFR</w:t>
      </w:r>
      <w:r w:rsidRPr="00116970">
        <w:rPr>
          <w:color w:val="000000" w:themeColor="text1"/>
          <w:shd w:val="clear" w:color="auto" w:fill="FFFFFF"/>
        </w:rPr>
        <w:t xml:space="preserve"> </w:t>
      </w:r>
      <w:r w:rsidRPr="00116970">
        <w:rPr>
          <w:color w:val="000000" w:themeColor="text1"/>
        </w:rPr>
        <w:t>§§ 15.252 and 15.</w:t>
      </w:r>
      <w:r>
        <w:rPr>
          <w:color w:val="000000" w:themeColor="text1"/>
        </w:rPr>
        <w:t>515 after Sep 20, 2018</w:t>
      </w:r>
      <w:r w:rsidRPr="00116970">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EC8" w14:paraId="769FD7C9" w14:textId="711C6047">
    <w:pPr>
      <w:pStyle w:val="Header"/>
      <w:rPr>
        <w:b w:val="0"/>
      </w:rPr>
    </w:pPr>
    <w:r>
      <w:tab/>
      <w:t>Federal Communications Commission</w:t>
    </w:r>
    <w:r>
      <w:tab/>
      <w:t>DA 18-</w:t>
    </w:r>
    <w:r w:rsidR="00B65385">
      <w:t>1308</w:t>
    </w:r>
    <w:r>
      <w:t xml:space="preserve"> </w:t>
    </w:r>
  </w:p>
  <w:p w:rsidR="006A4EC8" w14:paraId="6D262ADC"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A4EC8" w14:paraId="6C4729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EC8" w14:paraId="0D309841" w14:textId="3B76E8C1">
    <w:pPr>
      <w:pStyle w:val="Header"/>
      <w:rPr>
        <w:b w:val="0"/>
      </w:rPr>
    </w:pPr>
    <w:r>
      <w:tab/>
      <w:t>Federal Communications Commission</w:t>
    </w:r>
    <w:r>
      <w:tab/>
      <w:t>DA 18-</w:t>
    </w:r>
    <w:r w:rsidR="00B65385">
      <w:t>1308</w:t>
    </w:r>
  </w:p>
  <w:p w:rsidR="006A4EC8" w14:paraId="1C4DA1E6"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DA780B"/>
    <w:multiLevelType w:val="hybridMultilevel"/>
    <w:tmpl w:val="D5FEF9A8"/>
    <w:lvl w:ilvl="0">
      <w:start w:val="121"/>
      <w:numFmt w:val="bullet"/>
      <w:lvlText w:val="-"/>
      <w:lvlJc w:val="left"/>
      <w:pPr>
        <w:ind w:left="1074" w:hanging="360"/>
      </w:pPr>
      <w:rPr>
        <w:rFonts w:ascii="Times New Roman" w:eastAsia="Times New Roman" w:hAnsi="Times New Roman" w:cs="Times New Roman"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8"/>
  </w:num>
  <w:num w:numId="3">
    <w:abstractNumId w:val="4"/>
  </w:num>
  <w:num w:numId="4">
    <w:abstractNumId w:val="21"/>
  </w:num>
  <w:num w:numId="5">
    <w:abstractNumId w:val="9"/>
  </w:num>
  <w:num w:numId="6">
    <w:abstractNumId w:val="24"/>
  </w:num>
  <w:num w:numId="7">
    <w:abstractNumId w:val="17"/>
  </w:num>
  <w:num w:numId="8">
    <w:abstractNumId w:val="10"/>
  </w:num>
  <w:num w:numId="9">
    <w:abstractNumId w:val="23"/>
  </w:num>
  <w:num w:numId="10">
    <w:abstractNumId w:val="15"/>
  </w:num>
  <w:num w:numId="11">
    <w:abstractNumId w:val="14"/>
  </w:num>
  <w:num w:numId="12">
    <w:abstractNumId w:val="11"/>
  </w:num>
  <w:num w:numId="13">
    <w:abstractNumId w:val="16"/>
  </w:num>
  <w:num w:numId="14">
    <w:abstractNumId w:val="22"/>
  </w:num>
  <w:num w:numId="15">
    <w:abstractNumId w:val="2"/>
  </w:num>
  <w:num w:numId="16">
    <w:abstractNumId w:val="3"/>
  </w:num>
  <w:num w:numId="17">
    <w:abstractNumId w:val="12"/>
  </w:num>
  <w:num w:numId="18">
    <w:abstractNumId w:val="1"/>
  </w:num>
  <w:num w:numId="19">
    <w:abstractNumId w:val="13"/>
  </w:num>
  <w:num w:numId="20">
    <w:abstractNumId w:val="18"/>
  </w:num>
  <w:num w:numId="21">
    <w:abstractNumId w:val="20"/>
  </w:num>
  <w:num w:numId="22">
    <w:abstractNumId w:val="27"/>
  </w:num>
  <w:num w:numId="23">
    <w:abstractNumId w:val="8"/>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num>
  <w:num w:numId="28">
    <w:abstractNumId w:val="16"/>
    <w:lvlOverride w:ilvl="0">
      <w:startOverride w:val="1"/>
    </w:lvlOverride>
  </w:num>
  <w:num w:numId="29">
    <w:abstractNumId w:val="5"/>
  </w:num>
  <w:num w:numId="30">
    <w:abstractNumId w:val="25"/>
  </w:num>
  <w:num w:numId="31">
    <w:abstractNumId w:val="7"/>
  </w:num>
  <w:num w:numId="32">
    <w:abstractNumId w:val="19"/>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14"/>
    <w:rsid w:val="00001969"/>
    <w:rsid w:val="00001F0F"/>
    <w:rsid w:val="00002C61"/>
    <w:rsid w:val="00005A98"/>
    <w:rsid w:val="00006365"/>
    <w:rsid w:val="00007D50"/>
    <w:rsid w:val="00011E84"/>
    <w:rsid w:val="00012189"/>
    <w:rsid w:val="00012ABB"/>
    <w:rsid w:val="00014778"/>
    <w:rsid w:val="00015B7B"/>
    <w:rsid w:val="00017883"/>
    <w:rsid w:val="00020A5F"/>
    <w:rsid w:val="000212CC"/>
    <w:rsid w:val="00021E23"/>
    <w:rsid w:val="0002335B"/>
    <w:rsid w:val="0002375D"/>
    <w:rsid w:val="00025BBC"/>
    <w:rsid w:val="00027887"/>
    <w:rsid w:val="0003199D"/>
    <w:rsid w:val="00032446"/>
    <w:rsid w:val="0003463A"/>
    <w:rsid w:val="000356BE"/>
    <w:rsid w:val="0003669A"/>
    <w:rsid w:val="00036A35"/>
    <w:rsid w:val="00036A66"/>
    <w:rsid w:val="000372A0"/>
    <w:rsid w:val="000402FD"/>
    <w:rsid w:val="00040CDE"/>
    <w:rsid w:val="0004138F"/>
    <w:rsid w:val="00041B20"/>
    <w:rsid w:val="000435C4"/>
    <w:rsid w:val="00044F0E"/>
    <w:rsid w:val="0004715B"/>
    <w:rsid w:val="0005061A"/>
    <w:rsid w:val="000572C9"/>
    <w:rsid w:val="000607B4"/>
    <w:rsid w:val="000607E5"/>
    <w:rsid w:val="0006146F"/>
    <w:rsid w:val="00061497"/>
    <w:rsid w:val="00063B69"/>
    <w:rsid w:val="00067485"/>
    <w:rsid w:val="00070002"/>
    <w:rsid w:val="00071452"/>
    <w:rsid w:val="00071932"/>
    <w:rsid w:val="00071D09"/>
    <w:rsid w:val="00073036"/>
    <w:rsid w:val="00073622"/>
    <w:rsid w:val="00073CB1"/>
    <w:rsid w:val="000756B2"/>
    <w:rsid w:val="0007617E"/>
    <w:rsid w:val="00076FF1"/>
    <w:rsid w:val="0007744C"/>
    <w:rsid w:val="0007757C"/>
    <w:rsid w:val="00077BCC"/>
    <w:rsid w:val="0008016C"/>
    <w:rsid w:val="000805C6"/>
    <w:rsid w:val="00080AFC"/>
    <w:rsid w:val="00080B2D"/>
    <w:rsid w:val="00082E0D"/>
    <w:rsid w:val="00082ECA"/>
    <w:rsid w:val="000832FA"/>
    <w:rsid w:val="0008332F"/>
    <w:rsid w:val="00084A74"/>
    <w:rsid w:val="000869A5"/>
    <w:rsid w:val="00087A9A"/>
    <w:rsid w:val="00090942"/>
    <w:rsid w:val="00090D5C"/>
    <w:rsid w:val="00090ECD"/>
    <w:rsid w:val="0009230F"/>
    <w:rsid w:val="000923B5"/>
    <w:rsid w:val="00093A53"/>
    <w:rsid w:val="00093DAB"/>
    <w:rsid w:val="000944D9"/>
    <w:rsid w:val="00094E4F"/>
    <w:rsid w:val="0009514C"/>
    <w:rsid w:val="00097D10"/>
    <w:rsid w:val="000A01F5"/>
    <w:rsid w:val="000A1333"/>
    <w:rsid w:val="000A1AAF"/>
    <w:rsid w:val="000A232E"/>
    <w:rsid w:val="000A3771"/>
    <w:rsid w:val="000A392A"/>
    <w:rsid w:val="000A47F6"/>
    <w:rsid w:val="000A5238"/>
    <w:rsid w:val="000A6CC8"/>
    <w:rsid w:val="000B0E9F"/>
    <w:rsid w:val="000B1911"/>
    <w:rsid w:val="000B19B3"/>
    <w:rsid w:val="000B1FFB"/>
    <w:rsid w:val="000B222F"/>
    <w:rsid w:val="000B4805"/>
    <w:rsid w:val="000B507D"/>
    <w:rsid w:val="000B67E9"/>
    <w:rsid w:val="000B7503"/>
    <w:rsid w:val="000C062C"/>
    <w:rsid w:val="000C16A4"/>
    <w:rsid w:val="000C1A82"/>
    <w:rsid w:val="000C253C"/>
    <w:rsid w:val="000C2B51"/>
    <w:rsid w:val="000C6A59"/>
    <w:rsid w:val="000C7D82"/>
    <w:rsid w:val="000D056C"/>
    <w:rsid w:val="000D0A40"/>
    <w:rsid w:val="000D273B"/>
    <w:rsid w:val="000D29CA"/>
    <w:rsid w:val="000D2C50"/>
    <w:rsid w:val="000D4733"/>
    <w:rsid w:val="000D5FB3"/>
    <w:rsid w:val="000D6CA6"/>
    <w:rsid w:val="000D7423"/>
    <w:rsid w:val="000D7D0A"/>
    <w:rsid w:val="000D7D4D"/>
    <w:rsid w:val="000E050F"/>
    <w:rsid w:val="000E055D"/>
    <w:rsid w:val="000E1050"/>
    <w:rsid w:val="000E2BAF"/>
    <w:rsid w:val="000E3C8F"/>
    <w:rsid w:val="000E6266"/>
    <w:rsid w:val="000E65DA"/>
    <w:rsid w:val="000E6AFE"/>
    <w:rsid w:val="000E77F6"/>
    <w:rsid w:val="000F0E66"/>
    <w:rsid w:val="000F16B1"/>
    <w:rsid w:val="000F6271"/>
    <w:rsid w:val="000F6A3C"/>
    <w:rsid w:val="000F7591"/>
    <w:rsid w:val="00102414"/>
    <w:rsid w:val="0010356C"/>
    <w:rsid w:val="00104085"/>
    <w:rsid w:val="00104723"/>
    <w:rsid w:val="00107E26"/>
    <w:rsid w:val="0011059C"/>
    <w:rsid w:val="0011064E"/>
    <w:rsid w:val="001118BE"/>
    <w:rsid w:val="00112A1D"/>
    <w:rsid w:val="001135E6"/>
    <w:rsid w:val="0011490C"/>
    <w:rsid w:val="00116425"/>
    <w:rsid w:val="00116970"/>
    <w:rsid w:val="001177C1"/>
    <w:rsid w:val="00117C23"/>
    <w:rsid w:val="00120618"/>
    <w:rsid w:val="001209A9"/>
    <w:rsid w:val="0012104D"/>
    <w:rsid w:val="00123C3A"/>
    <w:rsid w:val="00125D06"/>
    <w:rsid w:val="00126816"/>
    <w:rsid w:val="00127943"/>
    <w:rsid w:val="00127AC9"/>
    <w:rsid w:val="00134086"/>
    <w:rsid w:val="001340EF"/>
    <w:rsid w:val="0013445D"/>
    <w:rsid w:val="00135C85"/>
    <w:rsid w:val="00136466"/>
    <w:rsid w:val="001379F3"/>
    <w:rsid w:val="00137FE5"/>
    <w:rsid w:val="00141A35"/>
    <w:rsid w:val="00142C36"/>
    <w:rsid w:val="00145BEC"/>
    <w:rsid w:val="001471C5"/>
    <w:rsid w:val="00147814"/>
    <w:rsid w:val="001501B5"/>
    <w:rsid w:val="00151100"/>
    <w:rsid w:val="0015240F"/>
    <w:rsid w:val="00153B96"/>
    <w:rsid w:val="00154923"/>
    <w:rsid w:val="00156DA5"/>
    <w:rsid w:val="001575A9"/>
    <w:rsid w:val="00157E27"/>
    <w:rsid w:val="001600C2"/>
    <w:rsid w:val="00160365"/>
    <w:rsid w:val="00163534"/>
    <w:rsid w:val="00164382"/>
    <w:rsid w:val="001645C7"/>
    <w:rsid w:val="001646A1"/>
    <w:rsid w:val="00164AF5"/>
    <w:rsid w:val="0016678F"/>
    <w:rsid w:val="00167BB3"/>
    <w:rsid w:val="00167BE4"/>
    <w:rsid w:val="001716A5"/>
    <w:rsid w:val="00171D87"/>
    <w:rsid w:val="001728B3"/>
    <w:rsid w:val="001733A3"/>
    <w:rsid w:val="00180DFB"/>
    <w:rsid w:val="00180F2C"/>
    <w:rsid w:val="00181333"/>
    <w:rsid w:val="00181A12"/>
    <w:rsid w:val="001822A2"/>
    <w:rsid w:val="00182B93"/>
    <w:rsid w:val="001845AA"/>
    <w:rsid w:val="00186343"/>
    <w:rsid w:val="001869A3"/>
    <w:rsid w:val="00187268"/>
    <w:rsid w:val="00190807"/>
    <w:rsid w:val="001936B3"/>
    <w:rsid w:val="00193C9F"/>
    <w:rsid w:val="001974DF"/>
    <w:rsid w:val="001976BD"/>
    <w:rsid w:val="00197B4C"/>
    <w:rsid w:val="001A1953"/>
    <w:rsid w:val="001A2306"/>
    <w:rsid w:val="001A31ED"/>
    <w:rsid w:val="001A54C1"/>
    <w:rsid w:val="001A5C96"/>
    <w:rsid w:val="001A7D2A"/>
    <w:rsid w:val="001B173B"/>
    <w:rsid w:val="001B354D"/>
    <w:rsid w:val="001B652F"/>
    <w:rsid w:val="001C09A8"/>
    <w:rsid w:val="001C0D92"/>
    <w:rsid w:val="001C1AA3"/>
    <w:rsid w:val="001C5E1B"/>
    <w:rsid w:val="001C65A1"/>
    <w:rsid w:val="001C7C93"/>
    <w:rsid w:val="001D1C49"/>
    <w:rsid w:val="001D1D7B"/>
    <w:rsid w:val="001D2D5E"/>
    <w:rsid w:val="001D35CD"/>
    <w:rsid w:val="001D505D"/>
    <w:rsid w:val="001D7319"/>
    <w:rsid w:val="001D7766"/>
    <w:rsid w:val="001D7D34"/>
    <w:rsid w:val="001E16A7"/>
    <w:rsid w:val="001E16FD"/>
    <w:rsid w:val="001E279D"/>
    <w:rsid w:val="001E3488"/>
    <w:rsid w:val="001E74F3"/>
    <w:rsid w:val="001F2FC0"/>
    <w:rsid w:val="001F4249"/>
    <w:rsid w:val="0020282F"/>
    <w:rsid w:val="002028BF"/>
    <w:rsid w:val="0020295C"/>
    <w:rsid w:val="002038E0"/>
    <w:rsid w:val="0020763B"/>
    <w:rsid w:val="0021112B"/>
    <w:rsid w:val="002115D8"/>
    <w:rsid w:val="00211E0A"/>
    <w:rsid w:val="002137F7"/>
    <w:rsid w:val="00217C5D"/>
    <w:rsid w:val="002205FE"/>
    <w:rsid w:val="00221B76"/>
    <w:rsid w:val="00223636"/>
    <w:rsid w:val="002236FC"/>
    <w:rsid w:val="00223A24"/>
    <w:rsid w:val="00224E45"/>
    <w:rsid w:val="00224E67"/>
    <w:rsid w:val="00225081"/>
    <w:rsid w:val="002250A8"/>
    <w:rsid w:val="002265DE"/>
    <w:rsid w:val="00230872"/>
    <w:rsid w:val="00231061"/>
    <w:rsid w:val="002326ED"/>
    <w:rsid w:val="002338D0"/>
    <w:rsid w:val="00234958"/>
    <w:rsid w:val="00234D4A"/>
    <w:rsid w:val="00235B97"/>
    <w:rsid w:val="002360D2"/>
    <w:rsid w:val="002367B7"/>
    <w:rsid w:val="00236936"/>
    <w:rsid w:val="00236C3C"/>
    <w:rsid w:val="00237882"/>
    <w:rsid w:val="0024198A"/>
    <w:rsid w:val="00241BB1"/>
    <w:rsid w:val="00241CC2"/>
    <w:rsid w:val="00243379"/>
    <w:rsid w:val="00243589"/>
    <w:rsid w:val="0024713F"/>
    <w:rsid w:val="00250187"/>
    <w:rsid w:val="00250B22"/>
    <w:rsid w:val="002523A3"/>
    <w:rsid w:val="0025451E"/>
    <w:rsid w:val="002548E2"/>
    <w:rsid w:val="00260235"/>
    <w:rsid w:val="002615D5"/>
    <w:rsid w:val="002621DC"/>
    <w:rsid w:val="00264B7B"/>
    <w:rsid w:val="0026686B"/>
    <w:rsid w:val="00266B02"/>
    <w:rsid w:val="00266F40"/>
    <w:rsid w:val="00267AE9"/>
    <w:rsid w:val="00270505"/>
    <w:rsid w:val="00271DDA"/>
    <w:rsid w:val="00273B74"/>
    <w:rsid w:val="00274840"/>
    <w:rsid w:val="0027663C"/>
    <w:rsid w:val="00277EE6"/>
    <w:rsid w:val="00280130"/>
    <w:rsid w:val="002801E9"/>
    <w:rsid w:val="0028026C"/>
    <w:rsid w:val="002858AD"/>
    <w:rsid w:val="00285A30"/>
    <w:rsid w:val="002910C2"/>
    <w:rsid w:val="00291AF2"/>
    <w:rsid w:val="00291FBF"/>
    <w:rsid w:val="002930E4"/>
    <w:rsid w:val="00293B8B"/>
    <w:rsid w:val="00295B83"/>
    <w:rsid w:val="0029784A"/>
    <w:rsid w:val="00297A3B"/>
    <w:rsid w:val="002A1326"/>
    <w:rsid w:val="002A45F8"/>
    <w:rsid w:val="002B0925"/>
    <w:rsid w:val="002B12B5"/>
    <w:rsid w:val="002B1815"/>
    <w:rsid w:val="002B2ED8"/>
    <w:rsid w:val="002B61F9"/>
    <w:rsid w:val="002B7E6D"/>
    <w:rsid w:val="002B7F3A"/>
    <w:rsid w:val="002C068C"/>
    <w:rsid w:val="002C0DCE"/>
    <w:rsid w:val="002C0F7D"/>
    <w:rsid w:val="002C1843"/>
    <w:rsid w:val="002C204F"/>
    <w:rsid w:val="002C323C"/>
    <w:rsid w:val="002C3FED"/>
    <w:rsid w:val="002C56FC"/>
    <w:rsid w:val="002C6CEA"/>
    <w:rsid w:val="002D004A"/>
    <w:rsid w:val="002D032A"/>
    <w:rsid w:val="002D1700"/>
    <w:rsid w:val="002D1C97"/>
    <w:rsid w:val="002D5AD4"/>
    <w:rsid w:val="002D68DB"/>
    <w:rsid w:val="002D70C0"/>
    <w:rsid w:val="002D7FB3"/>
    <w:rsid w:val="002E109D"/>
    <w:rsid w:val="002E1B7B"/>
    <w:rsid w:val="002F4DEE"/>
    <w:rsid w:val="002F535C"/>
    <w:rsid w:val="002F53F4"/>
    <w:rsid w:val="002F731F"/>
    <w:rsid w:val="00300301"/>
    <w:rsid w:val="00300891"/>
    <w:rsid w:val="00300A9F"/>
    <w:rsid w:val="00301154"/>
    <w:rsid w:val="003019D5"/>
    <w:rsid w:val="00301D19"/>
    <w:rsid w:val="00302C1F"/>
    <w:rsid w:val="00303286"/>
    <w:rsid w:val="003034B1"/>
    <w:rsid w:val="00303A37"/>
    <w:rsid w:val="00303D84"/>
    <w:rsid w:val="00305A66"/>
    <w:rsid w:val="003069CE"/>
    <w:rsid w:val="00307039"/>
    <w:rsid w:val="003076AC"/>
    <w:rsid w:val="003104FA"/>
    <w:rsid w:val="0031068F"/>
    <w:rsid w:val="00310D87"/>
    <w:rsid w:val="00311489"/>
    <w:rsid w:val="00315EBD"/>
    <w:rsid w:val="0031619C"/>
    <w:rsid w:val="00316806"/>
    <w:rsid w:val="00316852"/>
    <w:rsid w:val="00316CC1"/>
    <w:rsid w:val="003215FD"/>
    <w:rsid w:val="0032252B"/>
    <w:rsid w:val="0032325B"/>
    <w:rsid w:val="00324978"/>
    <w:rsid w:val="00325B78"/>
    <w:rsid w:val="00325E77"/>
    <w:rsid w:val="003265FA"/>
    <w:rsid w:val="0033142B"/>
    <w:rsid w:val="00331F2F"/>
    <w:rsid w:val="00334847"/>
    <w:rsid w:val="00336362"/>
    <w:rsid w:val="003367A5"/>
    <w:rsid w:val="00340C3F"/>
    <w:rsid w:val="00341074"/>
    <w:rsid w:val="003444C9"/>
    <w:rsid w:val="0034772A"/>
    <w:rsid w:val="00347733"/>
    <w:rsid w:val="003503DA"/>
    <w:rsid w:val="003504DB"/>
    <w:rsid w:val="00350762"/>
    <w:rsid w:val="003507A2"/>
    <w:rsid w:val="00351463"/>
    <w:rsid w:val="00352CDE"/>
    <w:rsid w:val="00353F31"/>
    <w:rsid w:val="0035455C"/>
    <w:rsid w:val="00355A5E"/>
    <w:rsid w:val="00356A8C"/>
    <w:rsid w:val="00363686"/>
    <w:rsid w:val="00364B03"/>
    <w:rsid w:val="00366F45"/>
    <w:rsid w:val="0037087F"/>
    <w:rsid w:val="00382CC8"/>
    <w:rsid w:val="003845FB"/>
    <w:rsid w:val="003864A9"/>
    <w:rsid w:val="003867AB"/>
    <w:rsid w:val="003878B2"/>
    <w:rsid w:val="00393AEC"/>
    <w:rsid w:val="0039432A"/>
    <w:rsid w:val="00394B16"/>
    <w:rsid w:val="0039555A"/>
    <w:rsid w:val="0039673A"/>
    <w:rsid w:val="003A2766"/>
    <w:rsid w:val="003A38CF"/>
    <w:rsid w:val="003A49AE"/>
    <w:rsid w:val="003A64E4"/>
    <w:rsid w:val="003A728C"/>
    <w:rsid w:val="003A78B5"/>
    <w:rsid w:val="003A79F6"/>
    <w:rsid w:val="003A7ACC"/>
    <w:rsid w:val="003B0DC7"/>
    <w:rsid w:val="003B1B69"/>
    <w:rsid w:val="003B1BF8"/>
    <w:rsid w:val="003B3D4D"/>
    <w:rsid w:val="003B630B"/>
    <w:rsid w:val="003B64D8"/>
    <w:rsid w:val="003B6B1F"/>
    <w:rsid w:val="003B7072"/>
    <w:rsid w:val="003B7D87"/>
    <w:rsid w:val="003C17EF"/>
    <w:rsid w:val="003C2A8C"/>
    <w:rsid w:val="003C4BF5"/>
    <w:rsid w:val="003C611B"/>
    <w:rsid w:val="003C638F"/>
    <w:rsid w:val="003C6E97"/>
    <w:rsid w:val="003D0C10"/>
    <w:rsid w:val="003D3F37"/>
    <w:rsid w:val="003D6032"/>
    <w:rsid w:val="003D6769"/>
    <w:rsid w:val="003E1550"/>
    <w:rsid w:val="003E5FD3"/>
    <w:rsid w:val="003E6603"/>
    <w:rsid w:val="003E6BBD"/>
    <w:rsid w:val="003E7AF0"/>
    <w:rsid w:val="003F0289"/>
    <w:rsid w:val="003F12AE"/>
    <w:rsid w:val="003F2D8B"/>
    <w:rsid w:val="003F30D2"/>
    <w:rsid w:val="0040028C"/>
    <w:rsid w:val="004010FE"/>
    <w:rsid w:val="00401B42"/>
    <w:rsid w:val="004055CB"/>
    <w:rsid w:val="00405811"/>
    <w:rsid w:val="00405C2A"/>
    <w:rsid w:val="00410F69"/>
    <w:rsid w:val="00412E1C"/>
    <w:rsid w:val="00413660"/>
    <w:rsid w:val="00413A83"/>
    <w:rsid w:val="0041463A"/>
    <w:rsid w:val="00415E28"/>
    <w:rsid w:val="004179AA"/>
    <w:rsid w:val="004179AF"/>
    <w:rsid w:val="0042061B"/>
    <w:rsid w:val="00421155"/>
    <w:rsid w:val="00426588"/>
    <w:rsid w:val="00433D08"/>
    <w:rsid w:val="0043484B"/>
    <w:rsid w:val="00434C95"/>
    <w:rsid w:val="00434E25"/>
    <w:rsid w:val="0043547D"/>
    <w:rsid w:val="00436504"/>
    <w:rsid w:val="00440A8D"/>
    <w:rsid w:val="00440E77"/>
    <w:rsid w:val="0044140D"/>
    <w:rsid w:val="00441B64"/>
    <w:rsid w:val="004440D2"/>
    <w:rsid w:val="00445BF0"/>
    <w:rsid w:val="0044622E"/>
    <w:rsid w:val="00446E17"/>
    <w:rsid w:val="00450366"/>
    <w:rsid w:val="00450520"/>
    <w:rsid w:val="00452A8F"/>
    <w:rsid w:val="00456342"/>
    <w:rsid w:val="00457AD1"/>
    <w:rsid w:val="004602CA"/>
    <w:rsid w:val="004607B2"/>
    <w:rsid w:val="004607CB"/>
    <w:rsid w:val="00462CFF"/>
    <w:rsid w:val="00463F19"/>
    <w:rsid w:val="00464217"/>
    <w:rsid w:val="004652B8"/>
    <w:rsid w:val="0046770B"/>
    <w:rsid w:val="00470555"/>
    <w:rsid w:val="00471242"/>
    <w:rsid w:val="00473C7D"/>
    <w:rsid w:val="00474C3D"/>
    <w:rsid w:val="00480472"/>
    <w:rsid w:val="00480687"/>
    <w:rsid w:val="00480D9C"/>
    <w:rsid w:val="0048147E"/>
    <w:rsid w:val="004820C1"/>
    <w:rsid w:val="00482394"/>
    <w:rsid w:val="00483BA3"/>
    <w:rsid w:val="00485979"/>
    <w:rsid w:val="00485AD5"/>
    <w:rsid w:val="004877CF"/>
    <w:rsid w:val="004903AA"/>
    <w:rsid w:val="00490839"/>
    <w:rsid w:val="00491269"/>
    <w:rsid w:val="00491A83"/>
    <w:rsid w:val="00491BCA"/>
    <w:rsid w:val="00493AC0"/>
    <w:rsid w:val="004A0459"/>
    <w:rsid w:val="004A1CD0"/>
    <w:rsid w:val="004A1FEE"/>
    <w:rsid w:val="004A202D"/>
    <w:rsid w:val="004A3440"/>
    <w:rsid w:val="004A5559"/>
    <w:rsid w:val="004A5A10"/>
    <w:rsid w:val="004A5D91"/>
    <w:rsid w:val="004A6F3D"/>
    <w:rsid w:val="004A7C43"/>
    <w:rsid w:val="004B3396"/>
    <w:rsid w:val="004B5057"/>
    <w:rsid w:val="004B60D4"/>
    <w:rsid w:val="004B6648"/>
    <w:rsid w:val="004B66A1"/>
    <w:rsid w:val="004B742F"/>
    <w:rsid w:val="004B743D"/>
    <w:rsid w:val="004B74D0"/>
    <w:rsid w:val="004C0298"/>
    <w:rsid w:val="004C1CCE"/>
    <w:rsid w:val="004C38A7"/>
    <w:rsid w:val="004C4547"/>
    <w:rsid w:val="004C4E49"/>
    <w:rsid w:val="004C6B32"/>
    <w:rsid w:val="004D42E3"/>
    <w:rsid w:val="004D595E"/>
    <w:rsid w:val="004D64FA"/>
    <w:rsid w:val="004D7907"/>
    <w:rsid w:val="004E1481"/>
    <w:rsid w:val="004E215D"/>
    <w:rsid w:val="004E2C20"/>
    <w:rsid w:val="004E4F6B"/>
    <w:rsid w:val="004E4FA4"/>
    <w:rsid w:val="004E5C1C"/>
    <w:rsid w:val="004E6666"/>
    <w:rsid w:val="004E7E06"/>
    <w:rsid w:val="004F0A46"/>
    <w:rsid w:val="004F2FE2"/>
    <w:rsid w:val="004F3468"/>
    <w:rsid w:val="004F34F8"/>
    <w:rsid w:val="004F7477"/>
    <w:rsid w:val="004F754B"/>
    <w:rsid w:val="0050103B"/>
    <w:rsid w:val="0050104B"/>
    <w:rsid w:val="00502423"/>
    <w:rsid w:val="0050331B"/>
    <w:rsid w:val="00505DB6"/>
    <w:rsid w:val="00506611"/>
    <w:rsid w:val="005077E8"/>
    <w:rsid w:val="005100A2"/>
    <w:rsid w:val="0051042B"/>
    <w:rsid w:val="00513673"/>
    <w:rsid w:val="0051424A"/>
    <w:rsid w:val="00516C6C"/>
    <w:rsid w:val="005170DA"/>
    <w:rsid w:val="005174C3"/>
    <w:rsid w:val="005209A9"/>
    <w:rsid w:val="005210DD"/>
    <w:rsid w:val="00523DE6"/>
    <w:rsid w:val="005242F8"/>
    <w:rsid w:val="00525537"/>
    <w:rsid w:val="00527507"/>
    <w:rsid w:val="00530D4A"/>
    <w:rsid w:val="005331BD"/>
    <w:rsid w:val="00533902"/>
    <w:rsid w:val="00534D97"/>
    <w:rsid w:val="005357F2"/>
    <w:rsid w:val="00535A38"/>
    <w:rsid w:val="00535A8E"/>
    <w:rsid w:val="0053606A"/>
    <w:rsid w:val="005361E0"/>
    <w:rsid w:val="00536887"/>
    <w:rsid w:val="00537070"/>
    <w:rsid w:val="00537D6B"/>
    <w:rsid w:val="0054086B"/>
    <w:rsid w:val="00540EF2"/>
    <w:rsid w:val="0054297A"/>
    <w:rsid w:val="0054646C"/>
    <w:rsid w:val="005469E8"/>
    <w:rsid w:val="005478CF"/>
    <w:rsid w:val="00552C42"/>
    <w:rsid w:val="00552FE9"/>
    <w:rsid w:val="00555819"/>
    <w:rsid w:val="00555B64"/>
    <w:rsid w:val="00557E25"/>
    <w:rsid w:val="0056027B"/>
    <w:rsid w:val="00560BAA"/>
    <w:rsid w:val="00561369"/>
    <w:rsid w:val="0056200F"/>
    <w:rsid w:val="0056223E"/>
    <w:rsid w:val="00563472"/>
    <w:rsid w:val="005638B0"/>
    <w:rsid w:val="00564AFA"/>
    <w:rsid w:val="00566A36"/>
    <w:rsid w:val="005672C3"/>
    <w:rsid w:val="0057189E"/>
    <w:rsid w:val="00572727"/>
    <w:rsid w:val="00574094"/>
    <w:rsid w:val="005768F5"/>
    <w:rsid w:val="00576BF4"/>
    <w:rsid w:val="005779D1"/>
    <w:rsid w:val="00577AB9"/>
    <w:rsid w:val="00577B69"/>
    <w:rsid w:val="005839C8"/>
    <w:rsid w:val="0058471B"/>
    <w:rsid w:val="00585C62"/>
    <w:rsid w:val="00586A2E"/>
    <w:rsid w:val="00587074"/>
    <w:rsid w:val="00590D17"/>
    <w:rsid w:val="005910E9"/>
    <w:rsid w:val="00591CBA"/>
    <w:rsid w:val="00591F95"/>
    <w:rsid w:val="00594E89"/>
    <w:rsid w:val="00597739"/>
    <w:rsid w:val="00597C1A"/>
    <w:rsid w:val="005A00DD"/>
    <w:rsid w:val="005A395F"/>
    <w:rsid w:val="005A49D7"/>
    <w:rsid w:val="005A62B8"/>
    <w:rsid w:val="005B222F"/>
    <w:rsid w:val="005B229C"/>
    <w:rsid w:val="005B402E"/>
    <w:rsid w:val="005B4441"/>
    <w:rsid w:val="005B5408"/>
    <w:rsid w:val="005B702D"/>
    <w:rsid w:val="005C2320"/>
    <w:rsid w:val="005C3D93"/>
    <w:rsid w:val="005C5B96"/>
    <w:rsid w:val="005C6580"/>
    <w:rsid w:val="005D08E9"/>
    <w:rsid w:val="005D21C0"/>
    <w:rsid w:val="005D2455"/>
    <w:rsid w:val="005D3E49"/>
    <w:rsid w:val="005D5A91"/>
    <w:rsid w:val="005D7AFE"/>
    <w:rsid w:val="005D7FBD"/>
    <w:rsid w:val="005E08CB"/>
    <w:rsid w:val="005E187A"/>
    <w:rsid w:val="005E2348"/>
    <w:rsid w:val="005E2917"/>
    <w:rsid w:val="005E3EBD"/>
    <w:rsid w:val="005E5A6E"/>
    <w:rsid w:val="005E7022"/>
    <w:rsid w:val="005F03D2"/>
    <w:rsid w:val="005F07CE"/>
    <w:rsid w:val="005F0E3D"/>
    <w:rsid w:val="005F1383"/>
    <w:rsid w:val="005F1C9D"/>
    <w:rsid w:val="005F1FA8"/>
    <w:rsid w:val="005F28DA"/>
    <w:rsid w:val="005F2AD3"/>
    <w:rsid w:val="005F35C4"/>
    <w:rsid w:val="005F397B"/>
    <w:rsid w:val="005F3AE8"/>
    <w:rsid w:val="005F4747"/>
    <w:rsid w:val="005F6650"/>
    <w:rsid w:val="005F77D3"/>
    <w:rsid w:val="00600A47"/>
    <w:rsid w:val="006014CD"/>
    <w:rsid w:val="00602164"/>
    <w:rsid w:val="00602BCF"/>
    <w:rsid w:val="006031E5"/>
    <w:rsid w:val="00603223"/>
    <w:rsid w:val="0060328D"/>
    <w:rsid w:val="00603542"/>
    <w:rsid w:val="006045E8"/>
    <w:rsid w:val="006075F1"/>
    <w:rsid w:val="00611042"/>
    <w:rsid w:val="00611994"/>
    <w:rsid w:val="00612FB5"/>
    <w:rsid w:val="00613EE5"/>
    <w:rsid w:val="0061598C"/>
    <w:rsid w:val="00615DEC"/>
    <w:rsid w:val="00616B3E"/>
    <w:rsid w:val="00617778"/>
    <w:rsid w:val="0061777F"/>
    <w:rsid w:val="0062076B"/>
    <w:rsid w:val="00620D91"/>
    <w:rsid w:val="0062216B"/>
    <w:rsid w:val="006235C5"/>
    <w:rsid w:val="00623743"/>
    <w:rsid w:val="00623D77"/>
    <w:rsid w:val="00624BCE"/>
    <w:rsid w:val="006263AA"/>
    <w:rsid w:val="00626DE4"/>
    <w:rsid w:val="00630CE9"/>
    <w:rsid w:val="006313A1"/>
    <w:rsid w:val="006329FA"/>
    <w:rsid w:val="00633019"/>
    <w:rsid w:val="00633525"/>
    <w:rsid w:val="0063507A"/>
    <w:rsid w:val="00636D7B"/>
    <w:rsid w:val="00641E60"/>
    <w:rsid w:val="00642DE6"/>
    <w:rsid w:val="006431A9"/>
    <w:rsid w:val="00643961"/>
    <w:rsid w:val="006448FD"/>
    <w:rsid w:val="0064691D"/>
    <w:rsid w:val="00646C6D"/>
    <w:rsid w:val="0064700A"/>
    <w:rsid w:val="00651630"/>
    <w:rsid w:val="006519D3"/>
    <w:rsid w:val="00653376"/>
    <w:rsid w:val="00653597"/>
    <w:rsid w:val="00657476"/>
    <w:rsid w:val="0065750C"/>
    <w:rsid w:val="0066068C"/>
    <w:rsid w:val="006617E1"/>
    <w:rsid w:val="00661844"/>
    <w:rsid w:val="00661A16"/>
    <w:rsid w:val="00662066"/>
    <w:rsid w:val="00663749"/>
    <w:rsid w:val="006637AF"/>
    <w:rsid w:val="006643FC"/>
    <w:rsid w:val="00664C09"/>
    <w:rsid w:val="00666313"/>
    <w:rsid w:val="006666BC"/>
    <w:rsid w:val="00666BB6"/>
    <w:rsid w:val="00667BC1"/>
    <w:rsid w:val="00667E78"/>
    <w:rsid w:val="00667FC8"/>
    <w:rsid w:val="00671279"/>
    <w:rsid w:val="006719F6"/>
    <w:rsid w:val="006722C7"/>
    <w:rsid w:val="006763B7"/>
    <w:rsid w:val="006804CB"/>
    <w:rsid w:val="00681D5A"/>
    <w:rsid w:val="00682042"/>
    <w:rsid w:val="006842E7"/>
    <w:rsid w:val="00684ABA"/>
    <w:rsid w:val="0068669E"/>
    <w:rsid w:val="0068772C"/>
    <w:rsid w:val="006946FA"/>
    <w:rsid w:val="00695158"/>
    <w:rsid w:val="00695BBC"/>
    <w:rsid w:val="00695F97"/>
    <w:rsid w:val="00696426"/>
    <w:rsid w:val="00697B9F"/>
    <w:rsid w:val="006A1517"/>
    <w:rsid w:val="006A470F"/>
    <w:rsid w:val="006A4C09"/>
    <w:rsid w:val="006A4DE7"/>
    <w:rsid w:val="006A4EC8"/>
    <w:rsid w:val="006A50A4"/>
    <w:rsid w:val="006A61A6"/>
    <w:rsid w:val="006A7C89"/>
    <w:rsid w:val="006B1D0D"/>
    <w:rsid w:val="006B2668"/>
    <w:rsid w:val="006B30BF"/>
    <w:rsid w:val="006B35E2"/>
    <w:rsid w:val="006B3AE9"/>
    <w:rsid w:val="006B4324"/>
    <w:rsid w:val="006B7936"/>
    <w:rsid w:val="006C083F"/>
    <w:rsid w:val="006C282D"/>
    <w:rsid w:val="006C3C7A"/>
    <w:rsid w:val="006C3CF6"/>
    <w:rsid w:val="006C43C7"/>
    <w:rsid w:val="006C610A"/>
    <w:rsid w:val="006C67A4"/>
    <w:rsid w:val="006D043D"/>
    <w:rsid w:val="006D0A55"/>
    <w:rsid w:val="006D4E53"/>
    <w:rsid w:val="006D4EBE"/>
    <w:rsid w:val="006D668A"/>
    <w:rsid w:val="006D725D"/>
    <w:rsid w:val="006E04AD"/>
    <w:rsid w:val="006E050D"/>
    <w:rsid w:val="006E0C6C"/>
    <w:rsid w:val="006E33BD"/>
    <w:rsid w:val="006E66BA"/>
    <w:rsid w:val="006E6B57"/>
    <w:rsid w:val="006F0C7B"/>
    <w:rsid w:val="006F0FCA"/>
    <w:rsid w:val="006F0FD9"/>
    <w:rsid w:val="006F18DE"/>
    <w:rsid w:val="006F29E9"/>
    <w:rsid w:val="006F407C"/>
    <w:rsid w:val="006F64FB"/>
    <w:rsid w:val="006F7FAD"/>
    <w:rsid w:val="00700177"/>
    <w:rsid w:val="007001D5"/>
    <w:rsid w:val="00700917"/>
    <w:rsid w:val="00701577"/>
    <w:rsid w:val="007027C1"/>
    <w:rsid w:val="007029D5"/>
    <w:rsid w:val="0070365D"/>
    <w:rsid w:val="007041A2"/>
    <w:rsid w:val="00704515"/>
    <w:rsid w:val="00710CE2"/>
    <w:rsid w:val="00710E47"/>
    <w:rsid w:val="00712313"/>
    <w:rsid w:val="00712815"/>
    <w:rsid w:val="007136D8"/>
    <w:rsid w:val="00714EC2"/>
    <w:rsid w:val="00715182"/>
    <w:rsid w:val="00715527"/>
    <w:rsid w:val="0071741F"/>
    <w:rsid w:val="00720B09"/>
    <w:rsid w:val="00720D38"/>
    <w:rsid w:val="00722DC8"/>
    <w:rsid w:val="00724396"/>
    <w:rsid w:val="00724D7C"/>
    <w:rsid w:val="00725F04"/>
    <w:rsid w:val="00726095"/>
    <w:rsid w:val="00730BAD"/>
    <w:rsid w:val="0073299A"/>
    <w:rsid w:val="00733539"/>
    <w:rsid w:val="0073388D"/>
    <w:rsid w:val="00735BCC"/>
    <w:rsid w:val="007360B5"/>
    <w:rsid w:val="00737B74"/>
    <w:rsid w:val="00740000"/>
    <w:rsid w:val="0074174D"/>
    <w:rsid w:val="007450A8"/>
    <w:rsid w:val="007450DC"/>
    <w:rsid w:val="007466A6"/>
    <w:rsid w:val="00746E0F"/>
    <w:rsid w:val="0075081A"/>
    <w:rsid w:val="00752D61"/>
    <w:rsid w:val="007545E5"/>
    <w:rsid w:val="007558FB"/>
    <w:rsid w:val="00756D02"/>
    <w:rsid w:val="0076047A"/>
    <w:rsid w:val="00762714"/>
    <w:rsid w:val="00762A9A"/>
    <w:rsid w:val="00763814"/>
    <w:rsid w:val="007660D4"/>
    <w:rsid w:val="00766931"/>
    <w:rsid w:val="00767558"/>
    <w:rsid w:val="007709C9"/>
    <w:rsid w:val="007746C7"/>
    <w:rsid w:val="00774A65"/>
    <w:rsid w:val="0077632E"/>
    <w:rsid w:val="00776FD4"/>
    <w:rsid w:val="0079348C"/>
    <w:rsid w:val="00793753"/>
    <w:rsid w:val="00793C6A"/>
    <w:rsid w:val="00794626"/>
    <w:rsid w:val="007946A7"/>
    <w:rsid w:val="00794BB8"/>
    <w:rsid w:val="00795878"/>
    <w:rsid w:val="007961AA"/>
    <w:rsid w:val="00796E0C"/>
    <w:rsid w:val="007A077F"/>
    <w:rsid w:val="007A2857"/>
    <w:rsid w:val="007A2DF7"/>
    <w:rsid w:val="007A3A97"/>
    <w:rsid w:val="007B3ABE"/>
    <w:rsid w:val="007B49F7"/>
    <w:rsid w:val="007B5D5F"/>
    <w:rsid w:val="007B7F90"/>
    <w:rsid w:val="007C4E1C"/>
    <w:rsid w:val="007C5B39"/>
    <w:rsid w:val="007C603B"/>
    <w:rsid w:val="007D12E2"/>
    <w:rsid w:val="007D3070"/>
    <w:rsid w:val="007D3D07"/>
    <w:rsid w:val="007D4917"/>
    <w:rsid w:val="007D62EA"/>
    <w:rsid w:val="007D6310"/>
    <w:rsid w:val="007D7CC8"/>
    <w:rsid w:val="007D7E24"/>
    <w:rsid w:val="007E01E8"/>
    <w:rsid w:val="007E1810"/>
    <w:rsid w:val="007E23C6"/>
    <w:rsid w:val="007E3108"/>
    <w:rsid w:val="007E372B"/>
    <w:rsid w:val="007E431E"/>
    <w:rsid w:val="007E6147"/>
    <w:rsid w:val="007F1B54"/>
    <w:rsid w:val="007F207D"/>
    <w:rsid w:val="007F540C"/>
    <w:rsid w:val="007F5820"/>
    <w:rsid w:val="007F58BD"/>
    <w:rsid w:val="00800861"/>
    <w:rsid w:val="00800BE0"/>
    <w:rsid w:val="0080287E"/>
    <w:rsid w:val="00802DAA"/>
    <w:rsid w:val="00804AE6"/>
    <w:rsid w:val="00805A1B"/>
    <w:rsid w:val="008061CF"/>
    <w:rsid w:val="008062E7"/>
    <w:rsid w:val="00806AA3"/>
    <w:rsid w:val="00807AF6"/>
    <w:rsid w:val="00811227"/>
    <w:rsid w:val="00811498"/>
    <w:rsid w:val="00811F5B"/>
    <w:rsid w:val="00813297"/>
    <w:rsid w:val="0081490E"/>
    <w:rsid w:val="008151F9"/>
    <w:rsid w:val="008160AD"/>
    <w:rsid w:val="00821B34"/>
    <w:rsid w:val="0082297B"/>
    <w:rsid w:val="0082299F"/>
    <w:rsid w:val="0082506F"/>
    <w:rsid w:val="00830A72"/>
    <w:rsid w:val="00831A1B"/>
    <w:rsid w:val="00833F44"/>
    <w:rsid w:val="00834368"/>
    <w:rsid w:val="0083452D"/>
    <w:rsid w:val="008374E8"/>
    <w:rsid w:val="00840DAA"/>
    <w:rsid w:val="0084376C"/>
    <w:rsid w:val="0084473D"/>
    <w:rsid w:val="00851C8D"/>
    <w:rsid w:val="00851F85"/>
    <w:rsid w:val="008544B1"/>
    <w:rsid w:val="00854A96"/>
    <w:rsid w:val="00856138"/>
    <w:rsid w:val="00857538"/>
    <w:rsid w:val="008579EB"/>
    <w:rsid w:val="0086447F"/>
    <w:rsid w:val="00865380"/>
    <w:rsid w:val="00870877"/>
    <w:rsid w:val="008714B3"/>
    <w:rsid w:val="00873AC7"/>
    <w:rsid w:val="008757B8"/>
    <w:rsid w:val="00875EF3"/>
    <w:rsid w:val="008807C8"/>
    <w:rsid w:val="0088094B"/>
    <w:rsid w:val="00882305"/>
    <w:rsid w:val="00882401"/>
    <w:rsid w:val="008826A3"/>
    <w:rsid w:val="00882A21"/>
    <w:rsid w:val="00886718"/>
    <w:rsid w:val="00891154"/>
    <w:rsid w:val="00892F38"/>
    <w:rsid w:val="00893264"/>
    <w:rsid w:val="00893F25"/>
    <w:rsid w:val="00894732"/>
    <w:rsid w:val="00895F29"/>
    <w:rsid w:val="0089737E"/>
    <w:rsid w:val="008A0A9A"/>
    <w:rsid w:val="008A0BD7"/>
    <w:rsid w:val="008A0E10"/>
    <w:rsid w:val="008A1A16"/>
    <w:rsid w:val="008A1FBA"/>
    <w:rsid w:val="008A266F"/>
    <w:rsid w:val="008A4DEE"/>
    <w:rsid w:val="008A647C"/>
    <w:rsid w:val="008A789B"/>
    <w:rsid w:val="008A7E74"/>
    <w:rsid w:val="008B032E"/>
    <w:rsid w:val="008B3DDC"/>
    <w:rsid w:val="008B4252"/>
    <w:rsid w:val="008B5273"/>
    <w:rsid w:val="008B62A7"/>
    <w:rsid w:val="008B7B24"/>
    <w:rsid w:val="008C050E"/>
    <w:rsid w:val="008C0B97"/>
    <w:rsid w:val="008C1F68"/>
    <w:rsid w:val="008C20B5"/>
    <w:rsid w:val="008C224C"/>
    <w:rsid w:val="008C29AC"/>
    <w:rsid w:val="008C2B56"/>
    <w:rsid w:val="008C386D"/>
    <w:rsid w:val="008C40A0"/>
    <w:rsid w:val="008C44F8"/>
    <w:rsid w:val="008C46A0"/>
    <w:rsid w:val="008C4A20"/>
    <w:rsid w:val="008C5E7E"/>
    <w:rsid w:val="008C6206"/>
    <w:rsid w:val="008C6D12"/>
    <w:rsid w:val="008C7840"/>
    <w:rsid w:val="008D00AD"/>
    <w:rsid w:val="008D00EA"/>
    <w:rsid w:val="008D1981"/>
    <w:rsid w:val="008D4CA6"/>
    <w:rsid w:val="008D4DF1"/>
    <w:rsid w:val="008D504B"/>
    <w:rsid w:val="008D5674"/>
    <w:rsid w:val="008D6B12"/>
    <w:rsid w:val="008D71AD"/>
    <w:rsid w:val="008E0F52"/>
    <w:rsid w:val="008E1E8B"/>
    <w:rsid w:val="008E1EFC"/>
    <w:rsid w:val="008E3E25"/>
    <w:rsid w:val="008E4BC4"/>
    <w:rsid w:val="008E4C0B"/>
    <w:rsid w:val="008F3F9D"/>
    <w:rsid w:val="008F45A7"/>
    <w:rsid w:val="008F6756"/>
    <w:rsid w:val="008F7503"/>
    <w:rsid w:val="009014ED"/>
    <w:rsid w:val="00901F6F"/>
    <w:rsid w:val="00902A41"/>
    <w:rsid w:val="00903770"/>
    <w:rsid w:val="009055D8"/>
    <w:rsid w:val="009061BB"/>
    <w:rsid w:val="0090781F"/>
    <w:rsid w:val="00910D18"/>
    <w:rsid w:val="00911F70"/>
    <w:rsid w:val="009132DD"/>
    <w:rsid w:val="00913EFF"/>
    <w:rsid w:val="0091481A"/>
    <w:rsid w:val="00914A9D"/>
    <w:rsid w:val="009156E6"/>
    <w:rsid w:val="009166DB"/>
    <w:rsid w:val="009166F3"/>
    <w:rsid w:val="00916BF9"/>
    <w:rsid w:val="00916C4D"/>
    <w:rsid w:val="00916EA8"/>
    <w:rsid w:val="00917014"/>
    <w:rsid w:val="00920EAC"/>
    <w:rsid w:val="0092265D"/>
    <w:rsid w:val="00924E94"/>
    <w:rsid w:val="0092528E"/>
    <w:rsid w:val="00926184"/>
    <w:rsid w:val="009268AD"/>
    <w:rsid w:val="00927F38"/>
    <w:rsid w:val="00930851"/>
    <w:rsid w:val="009333FD"/>
    <w:rsid w:val="00935F4D"/>
    <w:rsid w:val="00936537"/>
    <w:rsid w:val="009372FE"/>
    <w:rsid w:val="009375C9"/>
    <w:rsid w:val="0094061C"/>
    <w:rsid w:val="00941150"/>
    <w:rsid w:val="009427FF"/>
    <w:rsid w:val="009459D4"/>
    <w:rsid w:val="00946889"/>
    <w:rsid w:val="00946D70"/>
    <w:rsid w:val="00947D78"/>
    <w:rsid w:val="0095088A"/>
    <w:rsid w:val="00951216"/>
    <w:rsid w:val="00952DCA"/>
    <w:rsid w:val="00953C44"/>
    <w:rsid w:val="0095617A"/>
    <w:rsid w:val="00956577"/>
    <w:rsid w:val="00956A45"/>
    <w:rsid w:val="00956C94"/>
    <w:rsid w:val="009573D6"/>
    <w:rsid w:val="00957713"/>
    <w:rsid w:val="00960B18"/>
    <w:rsid w:val="00961AD3"/>
    <w:rsid w:val="00961D03"/>
    <w:rsid w:val="00962440"/>
    <w:rsid w:val="009634DB"/>
    <w:rsid w:val="0096486A"/>
    <w:rsid w:val="009650C1"/>
    <w:rsid w:val="00965F25"/>
    <w:rsid w:val="00971B51"/>
    <w:rsid w:val="00972C0C"/>
    <w:rsid w:val="0097340E"/>
    <w:rsid w:val="009750DF"/>
    <w:rsid w:val="00975E68"/>
    <w:rsid w:val="00976A77"/>
    <w:rsid w:val="00977167"/>
    <w:rsid w:val="00977911"/>
    <w:rsid w:val="00977F21"/>
    <w:rsid w:val="00981C27"/>
    <w:rsid w:val="00982276"/>
    <w:rsid w:val="0098487F"/>
    <w:rsid w:val="00984DAC"/>
    <w:rsid w:val="00984E3C"/>
    <w:rsid w:val="00986328"/>
    <w:rsid w:val="00986450"/>
    <w:rsid w:val="009874A8"/>
    <w:rsid w:val="00990E29"/>
    <w:rsid w:val="00991E2A"/>
    <w:rsid w:val="00992525"/>
    <w:rsid w:val="00992768"/>
    <w:rsid w:val="00997A1D"/>
    <w:rsid w:val="009A1248"/>
    <w:rsid w:val="009A1EB0"/>
    <w:rsid w:val="009A24EE"/>
    <w:rsid w:val="009A2623"/>
    <w:rsid w:val="009A3041"/>
    <w:rsid w:val="009A43DB"/>
    <w:rsid w:val="009A4B8B"/>
    <w:rsid w:val="009B0126"/>
    <w:rsid w:val="009B02AC"/>
    <w:rsid w:val="009B10C2"/>
    <w:rsid w:val="009B12A2"/>
    <w:rsid w:val="009B1485"/>
    <w:rsid w:val="009B25E2"/>
    <w:rsid w:val="009B273B"/>
    <w:rsid w:val="009B719F"/>
    <w:rsid w:val="009C00AF"/>
    <w:rsid w:val="009C0E1F"/>
    <w:rsid w:val="009C1206"/>
    <w:rsid w:val="009C1E3D"/>
    <w:rsid w:val="009C21AC"/>
    <w:rsid w:val="009C4073"/>
    <w:rsid w:val="009C411B"/>
    <w:rsid w:val="009C53BF"/>
    <w:rsid w:val="009C5CDE"/>
    <w:rsid w:val="009C6F27"/>
    <w:rsid w:val="009C70BF"/>
    <w:rsid w:val="009D3355"/>
    <w:rsid w:val="009D45FF"/>
    <w:rsid w:val="009D5220"/>
    <w:rsid w:val="009D532F"/>
    <w:rsid w:val="009D57B9"/>
    <w:rsid w:val="009D74A5"/>
    <w:rsid w:val="009E15D6"/>
    <w:rsid w:val="009E1ECE"/>
    <w:rsid w:val="009E3C01"/>
    <w:rsid w:val="009E402C"/>
    <w:rsid w:val="009E4455"/>
    <w:rsid w:val="009E6138"/>
    <w:rsid w:val="009F0138"/>
    <w:rsid w:val="009F0310"/>
    <w:rsid w:val="009F15BC"/>
    <w:rsid w:val="009F3F88"/>
    <w:rsid w:val="009F4DA7"/>
    <w:rsid w:val="009F4E3F"/>
    <w:rsid w:val="009F590F"/>
    <w:rsid w:val="009F6189"/>
    <w:rsid w:val="009F62E2"/>
    <w:rsid w:val="009F67A7"/>
    <w:rsid w:val="00A0124A"/>
    <w:rsid w:val="00A02AB1"/>
    <w:rsid w:val="00A03059"/>
    <w:rsid w:val="00A03133"/>
    <w:rsid w:val="00A041FE"/>
    <w:rsid w:val="00A054FC"/>
    <w:rsid w:val="00A059BF"/>
    <w:rsid w:val="00A06991"/>
    <w:rsid w:val="00A071D2"/>
    <w:rsid w:val="00A136E7"/>
    <w:rsid w:val="00A14780"/>
    <w:rsid w:val="00A14916"/>
    <w:rsid w:val="00A14FB1"/>
    <w:rsid w:val="00A17F5E"/>
    <w:rsid w:val="00A203A9"/>
    <w:rsid w:val="00A20C73"/>
    <w:rsid w:val="00A20DF5"/>
    <w:rsid w:val="00A219E0"/>
    <w:rsid w:val="00A220B5"/>
    <w:rsid w:val="00A2227F"/>
    <w:rsid w:val="00A23FCE"/>
    <w:rsid w:val="00A270EC"/>
    <w:rsid w:val="00A273CD"/>
    <w:rsid w:val="00A3198F"/>
    <w:rsid w:val="00A34F05"/>
    <w:rsid w:val="00A35C0A"/>
    <w:rsid w:val="00A461B7"/>
    <w:rsid w:val="00A463C9"/>
    <w:rsid w:val="00A470B4"/>
    <w:rsid w:val="00A47239"/>
    <w:rsid w:val="00A47254"/>
    <w:rsid w:val="00A4730F"/>
    <w:rsid w:val="00A47987"/>
    <w:rsid w:val="00A47D2B"/>
    <w:rsid w:val="00A51B15"/>
    <w:rsid w:val="00A5235A"/>
    <w:rsid w:val="00A52ED4"/>
    <w:rsid w:val="00A53604"/>
    <w:rsid w:val="00A5471B"/>
    <w:rsid w:val="00A54E27"/>
    <w:rsid w:val="00A551D1"/>
    <w:rsid w:val="00A5570B"/>
    <w:rsid w:val="00A55B83"/>
    <w:rsid w:val="00A561A4"/>
    <w:rsid w:val="00A57C3D"/>
    <w:rsid w:val="00A60DC1"/>
    <w:rsid w:val="00A62096"/>
    <w:rsid w:val="00A62217"/>
    <w:rsid w:val="00A638F0"/>
    <w:rsid w:val="00A65D45"/>
    <w:rsid w:val="00A67765"/>
    <w:rsid w:val="00A73E5B"/>
    <w:rsid w:val="00A74F81"/>
    <w:rsid w:val="00A7588C"/>
    <w:rsid w:val="00A75A1A"/>
    <w:rsid w:val="00A80378"/>
    <w:rsid w:val="00A80466"/>
    <w:rsid w:val="00A80476"/>
    <w:rsid w:val="00A80747"/>
    <w:rsid w:val="00A81358"/>
    <w:rsid w:val="00A8165E"/>
    <w:rsid w:val="00A832E0"/>
    <w:rsid w:val="00A837C0"/>
    <w:rsid w:val="00A844E1"/>
    <w:rsid w:val="00A85B01"/>
    <w:rsid w:val="00A86A74"/>
    <w:rsid w:val="00A86F22"/>
    <w:rsid w:val="00A90BCD"/>
    <w:rsid w:val="00A91BDA"/>
    <w:rsid w:val="00A91F32"/>
    <w:rsid w:val="00A928DA"/>
    <w:rsid w:val="00A931F6"/>
    <w:rsid w:val="00A94B85"/>
    <w:rsid w:val="00A96BD0"/>
    <w:rsid w:val="00A96DD8"/>
    <w:rsid w:val="00A97571"/>
    <w:rsid w:val="00A97C4B"/>
    <w:rsid w:val="00AA11EB"/>
    <w:rsid w:val="00AA1BCD"/>
    <w:rsid w:val="00AA4255"/>
    <w:rsid w:val="00AA4840"/>
    <w:rsid w:val="00AA666F"/>
    <w:rsid w:val="00AA7B77"/>
    <w:rsid w:val="00AB065A"/>
    <w:rsid w:val="00AB11BC"/>
    <w:rsid w:val="00AB13CA"/>
    <w:rsid w:val="00AB1AEA"/>
    <w:rsid w:val="00AB277C"/>
    <w:rsid w:val="00AB5DB2"/>
    <w:rsid w:val="00AB68CA"/>
    <w:rsid w:val="00AB7113"/>
    <w:rsid w:val="00AC008D"/>
    <w:rsid w:val="00AC1449"/>
    <w:rsid w:val="00AC2650"/>
    <w:rsid w:val="00AC41FA"/>
    <w:rsid w:val="00AC63D6"/>
    <w:rsid w:val="00AC6A76"/>
    <w:rsid w:val="00AC6C95"/>
    <w:rsid w:val="00AC76B6"/>
    <w:rsid w:val="00AC7A8A"/>
    <w:rsid w:val="00AD0AEA"/>
    <w:rsid w:val="00AD1287"/>
    <w:rsid w:val="00AD2C54"/>
    <w:rsid w:val="00AD5629"/>
    <w:rsid w:val="00AD786C"/>
    <w:rsid w:val="00AD7D87"/>
    <w:rsid w:val="00AE02F1"/>
    <w:rsid w:val="00AE05EB"/>
    <w:rsid w:val="00AE1ACC"/>
    <w:rsid w:val="00AE25DB"/>
    <w:rsid w:val="00AE2EC0"/>
    <w:rsid w:val="00AE3876"/>
    <w:rsid w:val="00AE3CD7"/>
    <w:rsid w:val="00AE43FB"/>
    <w:rsid w:val="00AE4929"/>
    <w:rsid w:val="00AE4E2D"/>
    <w:rsid w:val="00AE4EB2"/>
    <w:rsid w:val="00AE590A"/>
    <w:rsid w:val="00AE6BDB"/>
    <w:rsid w:val="00AE79A8"/>
    <w:rsid w:val="00AF0DCA"/>
    <w:rsid w:val="00AF1106"/>
    <w:rsid w:val="00AF263B"/>
    <w:rsid w:val="00AF3DA0"/>
    <w:rsid w:val="00AF4681"/>
    <w:rsid w:val="00AF6CBF"/>
    <w:rsid w:val="00B0162A"/>
    <w:rsid w:val="00B0223A"/>
    <w:rsid w:val="00B04336"/>
    <w:rsid w:val="00B044FD"/>
    <w:rsid w:val="00B04D4B"/>
    <w:rsid w:val="00B07B04"/>
    <w:rsid w:val="00B108E6"/>
    <w:rsid w:val="00B12BE2"/>
    <w:rsid w:val="00B12C4B"/>
    <w:rsid w:val="00B15184"/>
    <w:rsid w:val="00B1598E"/>
    <w:rsid w:val="00B16046"/>
    <w:rsid w:val="00B17CEF"/>
    <w:rsid w:val="00B17D50"/>
    <w:rsid w:val="00B17F22"/>
    <w:rsid w:val="00B20064"/>
    <w:rsid w:val="00B20133"/>
    <w:rsid w:val="00B201C5"/>
    <w:rsid w:val="00B21FE2"/>
    <w:rsid w:val="00B25358"/>
    <w:rsid w:val="00B25B09"/>
    <w:rsid w:val="00B30D79"/>
    <w:rsid w:val="00B30F13"/>
    <w:rsid w:val="00B32B95"/>
    <w:rsid w:val="00B33C86"/>
    <w:rsid w:val="00B34F0A"/>
    <w:rsid w:val="00B3522D"/>
    <w:rsid w:val="00B36A45"/>
    <w:rsid w:val="00B37FC6"/>
    <w:rsid w:val="00B41E1D"/>
    <w:rsid w:val="00B422E7"/>
    <w:rsid w:val="00B4448E"/>
    <w:rsid w:val="00B473EB"/>
    <w:rsid w:val="00B50116"/>
    <w:rsid w:val="00B50530"/>
    <w:rsid w:val="00B51C16"/>
    <w:rsid w:val="00B53943"/>
    <w:rsid w:val="00B53BEC"/>
    <w:rsid w:val="00B550A1"/>
    <w:rsid w:val="00B575E8"/>
    <w:rsid w:val="00B608D6"/>
    <w:rsid w:val="00B60F7E"/>
    <w:rsid w:val="00B6312F"/>
    <w:rsid w:val="00B635C6"/>
    <w:rsid w:val="00B65385"/>
    <w:rsid w:val="00B65427"/>
    <w:rsid w:val="00B71630"/>
    <w:rsid w:val="00B72F00"/>
    <w:rsid w:val="00B73238"/>
    <w:rsid w:val="00B74D0E"/>
    <w:rsid w:val="00B75370"/>
    <w:rsid w:val="00B758F3"/>
    <w:rsid w:val="00B76A4D"/>
    <w:rsid w:val="00B77100"/>
    <w:rsid w:val="00B80CB3"/>
    <w:rsid w:val="00B82552"/>
    <w:rsid w:val="00B84393"/>
    <w:rsid w:val="00B85B1A"/>
    <w:rsid w:val="00B85E35"/>
    <w:rsid w:val="00B873EF"/>
    <w:rsid w:val="00B87AD4"/>
    <w:rsid w:val="00B87AE8"/>
    <w:rsid w:val="00B90A83"/>
    <w:rsid w:val="00B9358B"/>
    <w:rsid w:val="00B93EAB"/>
    <w:rsid w:val="00B9586F"/>
    <w:rsid w:val="00B95D8A"/>
    <w:rsid w:val="00B96B36"/>
    <w:rsid w:val="00BA082A"/>
    <w:rsid w:val="00BA140F"/>
    <w:rsid w:val="00BA1F9D"/>
    <w:rsid w:val="00BA2509"/>
    <w:rsid w:val="00BA29BD"/>
    <w:rsid w:val="00BA29F4"/>
    <w:rsid w:val="00BA3EEB"/>
    <w:rsid w:val="00BA51E4"/>
    <w:rsid w:val="00BA6134"/>
    <w:rsid w:val="00BA61B8"/>
    <w:rsid w:val="00BB2339"/>
    <w:rsid w:val="00BB3358"/>
    <w:rsid w:val="00BB45E0"/>
    <w:rsid w:val="00BB6920"/>
    <w:rsid w:val="00BC084C"/>
    <w:rsid w:val="00BC0AF8"/>
    <w:rsid w:val="00BC152E"/>
    <w:rsid w:val="00BC15BB"/>
    <w:rsid w:val="00BC23DC"/>
    <w:rsid w:val="00BC3451"/>
    <w:rsid w:val="00BC38F9"/>
    <w:rsid w:val="00BC3CDD"/>
    <w:rsid w:val="00BC59ED"/>
    <w:rsid w:val="00BC5D1C"/>
    <w:rsid w:val="00BC710A"/>
    <w:rsid w:val="00BD3221"/>
    <w:rsid w:val="00BD45B7"/>
    <w:rsid w:val="00BD45C9"/>
    <w:rsid w:val="00BD65CB"/>
    <w:rsid w:val="00BE10AD"/>
    <w:rsid w:val="00BE14B8"/>
    <w:rsid w:val="00BE3298"/>
    <w:rsid w:val="00BE35ED"/>
    <w:rsid w:val="00BE73AA"/>
    <w:rsid w:val="00BE74A6"/>
    <w:rsid w:val="00BF080F"/>
    <w:rsid w:val="00BF217C"/>
    <w:rsid w:val="00BF6028"/>
    <w:rsid w:val="00BF6F04"/>
    <w:rsid w:val="00C01C4E"/>
    <w:rsid w:val="00C03DBF"/>
    <w:rsid w:val="00C06D71"/>
    <w:rsid w:val="00C07B60"/>
    <w:rsid w:val="00C11133"/>
    <w:rsid w:val="00C11AA7"/>
    <w:rsid w:val="00C11AC4"/>
    <w:rsid w:val="00C11E47"/>
    <w:rsid w:val="00C12E8C"/>
    <w:rsid w:val="00C13D29"/>
    <w:rsid w:val="00C159AD"/>
    <w:rsid w:val="00C17350"/>
    <w:rsid w:val="00C17B95"/>
    <w:rsid w:val="00C20AC1"/>
    <w:rsid w:val="00C22B3C"/>
    <w:rsid w:val="00C22B45"/>
    <w:rsid w:val="00C23EA5"/>
    <w:rsid w:val="00C24506"/>
    <w:rsid w:val="00C3010A"/>
    <w:rsid w:val="00C3024C"/>
    <w:rsid w:val="00C33D9E"/>
    <w:rsid w:val="00C34F87"/>
    <w:rsid w:val="00C36B2A"/>
    <w:rsid w:val="00C36C0D"/>
    <w:rsid w:val="00C418F3"/>
    <w:rsid w:val="00C42100"/>
    <w:rsid w:val="00C42F80"/>
    <w:rsid w:val="00C479DA"/>
    <w:rsid w:val="00C50A70"/>
    <w:rsid w:val="00C514F8"/>
    <w:rsid w:val="00C51813"/>
    <w:rsid w:val="00C5207B"/>
    <w:rsid w:val="00C5393B"/>
    <w:rsid w:val="00C53BA9"/>
    <w:rsid w:val="00C552F7"/>
    <w:rsid w:val="00C55460"/>
    <w:rsid w:val="00C5572F"/>
    <w:rsid w:val="00C56646"/>
    <w:rsid w:val="00C56E35"/>
    <w:rsid w:val="00C57FD8"/>
    <w:rsid w:val="00C60AB2"/>
    <w:rsid w:val="00C60E9A"/>
    <w:rsid w:val="00C62958"/>
    <w:rsid w:val="00C63973"/>
    <w:rsid w:val="00C64270"/>
    <w:rsid w:val="00C644DE"/>
    <w:rsid w:val="00C6481F"/>
    <w:rsid w:val="00C65A6E"/>
    <w:rsid w:val="00C66DBB"/>
    <w:rsid w:val="00C67BA7"/>
    <w:rsid w:val="00C67DB4"/>
    <w:rsid w:val="00C73C6B"/>
    <w:rsid w:val="00C73D5D"/>
    <w:rsid w:val="00C74F4C"/>
    <w:rsid w:val="00C7535D"/>
    <w:rsid w:val="00C76AF1"/>
    <w:rsid w:val="00C76ECD"/>
    <w:rsid w:val="00C80D5E"/>
    <w:rsid w:val="00C825A8"/>
    <w:rsid w:val="00C83880"/>
    <w:rsid w:val="00C8423F"/>
    <w:rsid w:val="00C864A2"/>
    <w:rsid w:val="00C92BA7"/>
    <w:rsid w:val="00C948E9"/>
    <w:rsid w:val="00C97EDB"/>
    <w:rsid w:val="00CA063B"/>
    <w:rsid w:val="00CA0D1D"/>
    <w:rsid w:val="00CA18C7"/>
    <w:rsid w:val="00CA208F"/>
    <w:rsid w:val="00CA3518"/>
    <w:rsid w:val="00CA5BB5"/>
    <w:rsid w:val="00CA7830"/>
    <w:rsid w:val="00CA7D82"/>
    <w:rsid w:val="00CB0432"/>
    <w:rsid w:val="00CB1AB7"/>
    <w:rsid w:val="00CB4DA1"/>
    <w:rsid w:val="00CB4F2A"/>
    <w:rsid w:val="00CB6973"/>
    <w:rsid w:val="00CC07AB"/>
    <w:rsid w:val="00CC09AD"/>
    <w:rsid w:val="00CC09DB"/>
    <w:rsid w:val="00CC28D6"/>
    <w:rsid w:val="00CC4D43"/>
    <w:rsid w:val="00CC5413"/>
    <w:rsid w:val="00CC6AD0"/>
    <w:rsid w:val="00CC79FC"/>
    <w:rsid w:val="00CD2145"/>
    <w:rsid w:val="00CD2EE7"/>
    <w:rsid w:val="00CD3895"/>
    <w:rsid w:val="00CD38CD"/>
    <w:rsid w:val="00CD5B2E"/>
    <w:rsid w:val="00CD6CC2"/>
    <w:rsid w:val="00CD6D0F"/>
    <w:rsid w:val="00CD73CD"/>
    <w:rsid w:val="00CE0370"/>
    <w:rsid w:val="00CE3E7D"/>
    <w:rsid w:val="00CE4DFD"/>
    <w:rsid w:val="00CE7469"/>
    <w:rsid w:val="00CF11BC"/>
    <w:rsid w:val="00CF1DA9"/>
    <w:rsid w:val="00CF5557"/>
    <w:rsid w:val="00CF63C8"/>
    <w:rsid w:val="00D007BA"/>
    <w:rsid w:val="00D00E6D"/>
    <w:rsid w:val="00D015E3"/>
    <w:rsid w:val="00D018E7"/>
    <w:rsid w:val="00D027EC"/>
    <w:rsid w:val="00D06077"/>
    <w:rsid w:val="00D11030"/>
    <w:rsid w:val="00D13163"/>
    <w:rsid w:val="00D1325C"/>
    <w:rsid w:val="00D14FF9"/>
    <w:rsid w:val="00D15EA6"/>
    <w:rsid w:val="00D15ED6"/>
    <w:rsid w:val="00D16A11"/>
    <w:rsid w:val="00D16EB5"/>
    <w:rsid w:val="00D21F6F"/>
    <w:rsid w:val="00D22137"/>
    <w:rsid w:val="00D224A7"/>
    <w:rsid w:val="00D27D67"/>
    <w:rsid w:val="00D300AF"/>
    <w:rsid w:val="00D3178F"/>
    <w:rsid w:val="00D32F80"/>
    <w:rsid w:val="00D3368E"/>
    <w:rsid w:val="00D36049"/>
    <w:rsid w:val="00D360CF"/>
    <w:rsid w:val="00D37896"/>
    <w:rsid w:val="00D409C5"/>
    <w:rsid w:val="00D413D9"/>
    <w:rsid w:val="00D4266E"/>
    <w:rsid w:val="00D43F43"/>
    <w:rsid w:val="00D477F7"/>
    <w:rsid w:val="00D51FD6"/>
    <w:rsid w:val="00D52455"/>
    <w:rsid w:val="00D52485"/>
    <w:rsid w:val="00D541D9"/>
    <w:rsid w:val="00D544B4"/>
    <w:rsid w:val="00D60D2D"/>
    <w:rsid w:val="00D620FA"/>
    <w:rsid w:val="00D625BA"/>
    <w:rsid w:val="00D638FA"/>
    <w:rsid w:val="00D6521D"/>
    <w:rsid w:val="00D66B7F"/>
    <w:rsid w:val="00D67A25"/>
    <w:rsid w:val="00D7069C"/>
    <w:rsid w:val="00D70D5F"/>
    <w:rsid w:val="00D711D7"/>
    <w:rsid w:val="00D71B23"/>
    <w:rsid w:val="00D7294F"/>
    <w:rsid w:val="00D72EC6"/>
    <w:rsid w:val="00D7336E"/>
    <w:rsid w:val="00D73546"/>
    <w:rsid w:val="00D740E6"/>
    <w:rsid w:val="00D8015E"/>
    <w:rsid w:val="00D80FA3"/>
    <w:rsid w:val="00D812F4"/>
    <w:rsid w:val="00D81B2D"/>
    <w:rsid w:val="00D831C6"/>
    <w:rsid w:val="00D832A7"/>
    <w:rsid w:val="00D83688"/>
    <w:rsid w:val="00D83D7C"/>
    <w:rsid w:val="00D84708"/>
    <w:rsid w:val="00D86956"/>
    <w:rsid w:val="00D86B54"/>
    <w:rsid w:val="00D86B74"/>
    <w:rsid w:val="00D905F4"/>
    <w:rsid w:val="00D966C5"/>
    <w:rsid w:val="00D96A6F"/>
    <w:rsid w:val="00D96E46"/>
    <w:rsid w:val="00D97B8B"/>
    <w:rsid w:val="00DA0715"/>
    <w:rsid w:val="00DA136A"/>
    <w:rsid w:val="00DA1D9D"/>
    <w:rsid w:val="00DA1F29"/>
    <w:rsid w:val="00DA42E2"/>
    <w:rsid w:val="00DA4BAC"/>
    <w:rsid w:val="00DA5013"/>
    <w:rsid w:val="00DA5104"/>
    <w:rsid w:val="00DA5D83"/>
    <w:rsid w:val="00DA5F5E"/>
    <w:rsid w:val="00DA70AE"/>
    <w:rsid w:val="00DA76D7"/>
    <w:rsid w:val="00DB04B9"/>
    <w:rsid w:val="00DB07F5"/>
    <w:rsid w:val="00DB0A10"/>
    <w:rsid w:val="00DB1380"/>
    <w:rsid w:val="00DB1AAB"/>
    <w:rsid w:val="00DB2FF3"/>
    <w:rsid w:val="00DB3E9C"/>
    <w:rsid w:val="00DB4B80"/>
    <w:rsid w:val="00DB5C9A"/>
    <w:rsid w:val="00DC13A2"/>
    <w:rsid w:val="00DC70F6"/>
    <w:rsid w:val="00DC7500"/>
    <w:rsid w:val="00DD0AF8"/>
    <w:rsid w:val="00DD4E17"/>
    <w:rsid w:val="00DD5021"/>
    <w:rsid w:val="00DD6A28"/>
    <w:rsid w:val="00DD70E6"/>
    <w:rsid w:val="00DD7B35"/>
    <w:rsid w:val="00DE06FE"/>
    <w:rsid w:val="00DE1DA0"/>
    <w:rsid w:val="00DE280C"/>
    <w:rsid w:val="00DE2867"/>
    <w:rsid w:val="00DE3123"/>
    <w:rsid w:val="00DE3709"/>
    <w:rsid w:val="00DE5A1E"/>
    <w:rsid w:val="00DE63B3"/>
    <w:rsid w:val="00DE75F1"/>
    <w:rsid w:val="00DE7689"/>
    <w:rsid w:val="00DF1C65"/>
    <w:rsid w:val="00DF2A4D"/>
    <w:rsid w:val="00DF4533"/>
    <w:rsid w:val="00DF4DF2"/>
    <w:rsid w:val="00DF7991"/>
    <w:rsid w:val="00E00477"/>
    <w:rsid w:val="00E0086E"/>
    <w:rsid w:val="00E009DC"/>
    <w:rsid w:val="00E02CB9"/>
    <w:rsid w:val="00E0389D"/>
    <w:rsid w:val="00E0577C"/>
    <w:rsid w:val="00E07204"/>
    <w:rsid w:val="00E105ED"/>
    <w:rsid w:val="00E114A0"/>
    <w:rsid w:val="00E11910"/>
    <w:rsid w:val="00E141F1"/>
    <w:rsid w:val="00E14DF4"/>
    <w:rsid w:val="00E15C33"/>
    <w:rsid w:val="00E15C9F"/>
    <w:rsid w:val="00E16422"/>
    <w:rsid w:val="00E16C85"/>
    <w:rsid w:val="00E170EB"/>
    <w:rsid w:val="00E1755A"/>
    <w:rsid w:val="00E17CCD"/>
    <w:rsid w:val="00E2095A"/>
    <w:rsid w:val="00E20B6A"/>
    <w:rsid w:val="00E2196F"/>
    <w:rsid w:val="00E21DB9"/>
    <w:rsid w:val="00E227D2"/>
    <w:rsid w:val="00E228AA"/>
    <w:rsid w:val="00E2296F"/>
    <w:rsid w:val="00E22A6F"/>
    <w:rsid w:val="00E237C8"/>
    <w:rsid w:val="00E245EC"/>
    <w:rsid w:val="00E24834"/>
    <w:rsid w:val="00E25D71"/>
    <w:rsid w:val="00E26690"/>
    <w:rsid w:val="00E2685A"/>
    <w:rsid w:val="00E26F81"/>
    <w:rsid w:val="00E27F67"/>
    <w:rsid w:val="00E322D5"/>
    <w:rsid w:val="00E32D6B"/>
    <w:rsid w:val="00E334C1"/>
    <w:rsid w:val="00E3583E"/>
    <w:rsid w:val="00E365E7"/>
    <w:rsid w:val="00E41ED8"/>
    <w:rsid w:val="00E47D38"/>
    <w:rsid w:val="00E5152D"/>
    <w:rsid w:val="00E519E0"/>
    <w:rsid w:val="00E51C48"/>
    <w:rsid w:val="00E5323A"/>
    <w:rsid w:val="00E55AE3"/>
    <w:rsid w:val="00E5634E"/>
    <w:rsid w:val="00E565DF"/>
    <w:rsid w:val="00E605FE"/>
    <w:rsid w:val="00E60955"/>
    <w:rsid w:val="00E61851"/>
    <w:rsid w:val="00E62090"/>
    <w:rsid w:val="00E62963"/>
    <w:rsid w:val="00E6405D"/>
    <w:rsid w:val="00E64374"/>
    <w:rsid w:val="00E64720"/>
    <w:rsid w:val="00E65823"/>
    <w:rsid w:val="00E7230C"/>
    <w:rsid w:val="00E73037"/>
    <w:rsid w:val="00E73377"/>
    <w:rsid w:val="00E73DFF"/>
    <w:rsid w:val="00E74FAE"/>
    <w:rsid w:val="00E7567A"/>
    <w:rsid w:val="00E75720"/>
    <w:rsid w:val="00E75B27"/>
    <w:rsid w:val="00E76B32"/>
    <w:rsid w:val="00E77E02"/>
    <w:rsid w:val="00E81ED5"/>
    <w:rsid w:val="00E82BF7"/>
    <w:rsid w:val="00E835FD"/>
    <w:rsid w:val="00E83FC9"/>
    <w:rsid w:val="00E854C5"/>
    <w:rsid w:val="00E86219"/>
    <w:rsid w:val="00E86495"/>
    <w:rsid w:val="00E874FC"/>
    <w:rsid w:val="00E91E84"/>
    <w:rsid w:val="00E9257B"/>
    <w:rsid w:val="00E937AD"/>
    <w:rsid w:val="00E93C83"/>
    <w:rsid w:val="00E94A56"/>
    <w:rsid w:val="00E94A72"/>
    <w:rsid w:val="00E94D61"/>
    <w:rsid w:val="00E95640"/>
    <w:rsid w:val="00E97E6A"/>
    <w:rsid w:val="00EA20D0"/>
    <w:rsid w:val="00EA41F0"/>
    <w:rsid w:val="00EA46E7"/>
    <w:rsid w:val="00EA5755"/>
    <w:rsid w:val="00EA60B0"/>
    <w:rsid w:val="00EB22B7"/>
    <w:rsid w:val="00EB2CF9"/>
    <w:rsid w:val="00EB404D"/>
    <w:rsid w:val="00EB6FED"/>
    <w:rsid w:val="00EC0782"/>
    <w:rsid w:val="00EC0ACF"/>
    <w:rsid w:val="00EC14F8"/>
    <w:rsid w:val="00EC1C8F"/>
    <w:rsid w:val="00EC381A"/>
    <w:rsid w:val="00EC42DA"/>
    <w:rsid w:val="00EC5B61"/>
    <w:rsid w:val="00EC5E8F"/>
    <w:rsid w:val="00EC6622"/>
    <w:rsid w:val="00EC743C"/>
    <w:rsid w:val="00EC762E"/>
    <w:rsid w:val="00EC7860"/>
    <w:rsid w:val="00EC7D47"/>
    <w:rsid w:val="00ED0E31"/>
    <w:rsid w:val="00ED22CD"/>
    <w:rsid w:val="00ED480D"/>
    <w:rsid w:val="00ED4F01"/>
    <w:rsid w:val="00EE061A"/>
    <w:rsid w:val="00EE09CC"/>
    <w:rsid w:val="00EE220F"/>
    <w:rsid w:val="00EE2328"/>
    <w:rsid w:val="00EE2FDE"/>
    <w:rsid w:val="00EE4AEA"/>
    <w:rsid w:val="00EE7661"/>
    <w:rsid w:val="00EE7971"/>
    <w:rsid w:val="00EF02E9"/>
    <w:rsid w:val="00EF0EC7"/>
    <w:rsid w:val="00EF1D64"/>
    <w:rsid w:val="00EF2AEA"/>
    <w:rsid w:val="00EF2FC6"/>
    <w:rsid w:val="00EF5AF4"/>
    <w:rsid w:val="00EF661A"/>
    <w:rsid w:val="00EF6830"/>
    <w:rsid w:val="00EF6D18"/>
    <w:rsid w:val="00EF6FD1"/>
    <w:rsid w:val="00F00023"/>
    <w:rsid w:val="00F00411"/>
    <w:rsid w:val="00F04646"/>
    <w:rsid w:val="00F05587"/>
    <w:rsid w:val="00F0571E"/>
    <w:rsid w:val="00F0588E"/>
    <w:rsid w:val="00F06604"/>
    <w:rsid w:val="00F07347"/>
    <w:rsid w:val="00F07C1A"/>
    <w:rsid w:val="00F105D4"/>
    <w:rsid w:val="00F11B53"/>
    <w:rsid w:val="00F11CC0"/>
    <w:rsid w:val="00F126DD"/>
    <w:rsid w:val="00F138FC"/>
    <w:rsid w:val="00F13D28"/>
    <w:rsid w:val="00F15D1E"/>
    <w:rsid w:val="00F171E7"/>
    <w:rsid w:val="00F172F2"/>
    <w:rsid w:val="00F17B36"/>
    <w:rsid w:val="00F22034"/>
    <w:rsid w:val="00F22E70"/>
    <w:rsid w:val="00F232C5"/>
    <w:rsid w:val="00F2496B"/>
    <w:rsid w:val="00F24C39"/>
    <w:rsid w:val="00F257D0"/>
    <w:rsid w:val="00F25BEE"/>
    <w:rsid w:val="00F25FAE"/>
    <w:rsid w:val="00F27723"/>
    <w:rsid w:val="00F30CB5"/>
    <w:rsid w:val="00F30FCE"/>
    <w:rsid w:val="00F32944"/>
    <w:rsid w:val="00F33351"/>
    <w:rsid w:val="00F33827"/>
    <w:rsid w:val="00F3389B"/>
    <w:rsid w:val="00F33F6F"/>
    <w:rsid w:val="00F34FA6"/>
    <w:rsid w:val="00F3629E"/>
    <w:rsid w:val="00F36E9A"/>
    <w:rsid w:val="00F40100"/>
    <w:rsid w:val="00F40406"/>
    <w:rsid w:val="00F410E6"/>
    <w:rsid w:val="00F41A67"/>
    <w:rsid w:val="00F41D07"/>
    <w:rsid w:val="00F42746"/>
    <w:rsid w:val="00F42BE8"/>
    <w:rsid w:val="00F42D63"/>
    <w:rsid w:val="00F4451B"/>
    <w:rsid w:val="00F4506A"/>
    <w:rsid w:val="00F45442"/>
    <w:rsid w:val="00F45F6B"/>
    <w:rsid w:val="00F4682B"/>
    <w:rsid w:val="00F506BB"/>
    <w:rsid w:val="00F506CD"/>
    <w:rsid w:val="00F50F5F"/>
    <w:rsid w:val="00F51089"/>
    <w:rsid w:val="00F51200"/>
    <w:rsid w:val="00F51ADD"/>
    <w:rsid w:val="00F52068"/>
    <w:rsid w:val="00F53132"/>
    <w:rsid w:val="00F54934"/>
    <w:rsid w:val="00F5645B"/>
    <w:rsid w:val="00F569DC"/>
    <w:rsid w:val="00F57422"/>
    <w:rsid w:val="00F62589"/>
    <w:rsid w:val="00F62613"/>
    <w:rsid w:val="00F63168"/>
    <w:rsid w:val="00F633B3"/>
    <w:rsid w:val="00F63444"/>
    <w:rsid w:val="00F64331"/>
    <w:rsid w:val="00F6472F"/>
    <w:rsid w:val="00F6666A"/>
    <w:rsid w:val="00F703CA"/>
    <w:rsid w:val="00F70BEB"/>
    <w:rsid w:val="00F772CE"/>
    <w:rsid w:val="00F77B8E"/>
    <w:rsid w:val="00F8010D"/>
    <w:rsid w:val="00F82DAE"/>
    <w:rsid w:val="00F836CB"/>
    <w:rsid w:val="00F851E4"/>
    <w:rsid w:val="00F86EB5"/>
    <w:rsid w:val="00F87F0F"/>
    <w:rsid w:val="00F91556"/>
    <w:rsid w:val="00F91C31"/>
    <w:rsid w:val="00F92D23"/>
    <w:rsid w:val="00F94CE4"/>
    <w:rsid w:val="00F94D2D"/>
    <w:rsid w:val="00F952C3"/>
    <w:rsid w:val="00F96D15"/>
    <w:rsid w:val="00FA04C2"/>
    <w:rsid w:val="00FA1BA5"/>
    <w:rsid w:val="00FA358E"/>
    <w:rsid w:val="00FA37FB"/>
    <w:rsid w:val="00FA50E4"/>
    <w:rsid w:val="00FA5D6C"/>
    <w:rsid w:val="00FA72BB"/>
    <w:rsid w:val="00FB1888"/>
    <w:rsid w:val="00FB1A81"/>
    <w:rsid w:val="00FB2431"/>
    <w:rsid w:val="00FB3612"/>
    <w:rsid w:val="00FB3B55"/>
    <w:rsid w:val="00FB4777"/>
    <w:rsid w:val="00FB4A54"/>
    <w:rsid w:val="00FB5493"/>
    <w:rsid w:val="00FB683C"/>
    <w:rsid w:val="00FC0F7B"/>
    <w:rsid w:val="00FC14B0"/>
    <w:rsid w:val="00FC150A"/>
    <w:rsid w:val="00FC1BD7"/>
    <w:rsid w:val="00FC3E00"/>
    <w:rsid w:val="00FC42B1"/>
    <w:rsid w:val="00FC5B47"/>
    <w:rsid w:val="00FC6542"/>
    <w:rsid w:val="00FC6D02"/>
    <w:rsid w:val="00FD0B8E"/>
    <w:rsid w:val="00FD1149"/>
    <w:rsid w:val="00FD1408"/>
    <w:rsid w:val="00FD1FA6"/>
    <w:rsid w:val="00FD28BC"/>
    <w:rsid w:val="00FD28D6"/>
    <w:rsid w:val="00FD3173"/>
    <w:rsid w:val="00FD346B"/>
    <w:rsid w:val="00FD5014"/>
    <w:rsid w:val="00FE1891"/>
    <w:rsid w:val="00FE3580"/>
    <w:rsid w:val="00FE5D5B"/>
    <w:rsid w:val="00FE639C"/>
    <w:rsid w:val="00FF0075"/>
    <w:rsid w:val="00FF1308"/>
    <w:rsid w:val="00FF3EFB"/>
    <w:rsid w:val="00FF5305"/>
    <w:rsid w:val="00FF5668"/>
    <w:rsid w:val="00FF5920"/>
    <w:rsid w:val="00FF5A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E863378-969A-4FCE-9E4B-3B0B63D5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85"/>
    <w:pPr>
      <w:widowControl w:val="0"/>
    </w:pPr>
    <w:rPr>
      <w:snapToGrid w:val="0"/>
      <w:kern w:val="28"/>
      <w:sz w:val="22"/>
    </w:rPr>
  </w:style>
  <w:style w:type="paragraph" w:styleId="Heading1">
    <w:name w:val="heading 1"/>
    <w:basedOn w:val="Normal"/>
    <w:next w:val="ParaNum"/>
    <w:qFormat/>
    <w:rsid w:val="00B65385"/>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5385"/>
    <w:pPr>
      <w:keepNext/>
      <w:numPr>
        <w:ilvl w:val="1"/>
        <w:numId w:val="31"/>
      </w:numPr>
      <w:spacing w:after="120"/>
      <w:outlineLvl w:val="1"/>
    </w:pPr>
    <w:rPr>
      <w:b/>
    </w:rPr>
  </w:style>
  <w:style w:type="paragraph" w:styleId="Heading3">
    <w:name w:val="heading 3"/>
    <w:basedOn w:val="Normal"/>
    <w:next w:val="ParaNum"/>
    <w:qFormat/>
    <w:rsid w:val="00B65385"/>
    <w:pPr>
      <w:keepNext/>
      <w:numPr>
        <w:ilvl w:val="2"/>
        <w:numId w:val="31"/>
      </w:numPr>
      <w:tabs>
        <w:tab w:val="left" w:pos="2160"/>
      </w:tabs>
      <w:spacing w:after="120"/>
      <w:outlineLvl w:val="2"/>
    </w:pPr>
    <w:rPr>
      <w:b/>
    </w:rPr>
  </w:style>
  <w:style w:type="paragraph" w:styleId="Heading4">
    <w:name w:val="heading 4"/>
    <w:basedOn w:val="Normal"/>
    <w:next w:val="ParaNum"/>
    <w:qFormat/>
    <w:rsid w:val="00B65385"/>
    <w:pPr>
      <w:keepNext/>
      <w:numPr>
        <w:ilvl w:val="3"/>
        <w:numId w:val="31"/>
      </w:numPr>
      <w:tabs>
        <w:tab w:val="left" w:pos="2880"/>
      </w:tabs>
      <w:spacing w:after="120"/>
      <w:outlineLvl w:val="3"/>
    </w:pPr>
    <w:rPr>
      <w:b/>
    </w:rPr>
  </w:style>
  <w:style w:type="paragraph" w:styleId="Heading5">
    <w:name w:val="heading 5"/>
    <w:basedOn w:val="Normal"/>
    <w:next w:val="ParaNum"/>
    <w:qFormat/>
    <w:rsid w:val="00B65385"/>
    <w:pPr>
      <w:keepNext/>
      <w:numPr>
        <w:ilvl w:val="4"/>
        <w:numId w:val="31"/>
      </w:numPr>
      <w:tabs>
        <w:tab w:val="left" w:pos="3600"/>
      </w:tabs>
      <w:suppressAutoHyphens/>
      <w:spacing w:after="120"/>
      <w:outlineLvl w:val="4"/>
    </w:pPr>
    <w:rPr>
      <w:b/>
    </w:rPr>
  </w:style>
  <w:style w:type="paragraph" w:styleId="Heading6">
    <w:name w:val="heading 6"/>
    <w:basedOn w:val="Normal"/>
    <w:next w:val="ParaNum"/>
    <w:qFormat/>
    <w:rsid w:val="00B65385"/>
    <w:pPr>
      <w:numPr>
        <w:ilvl w:val="5"/>
        <w:numId w:val="31"/>
      </w:numPr>
      <w:tabs>
        <w:tab w:val="left" w:pos="4320"/>
      </w:tabs>
      <w:spacing w:after="120"/>
      <w:outlineLvl w:val="5"/>
    </w:pPr>
    <w:rPr>
      <w:b/>
    </w:rPr>
  </w:style>
  <w:style w:type="paragraph" w:styleId="Heading7">
    <w:name w:val="heading 7"/>
    <w:basedOn w:val="Normal"/>
    <w:next w:val="ParaNum"/>
    <w:qFormat/>
    <w:rsid w:val="00B65385"/>
    <w:pPr>
      <w:numPr>
        <w:ilvl w:val="6"/>
        <w:numId w:val="31"/>
      </w:numPr>
      <w:tabs>
        <w:tab w:val="left" w:pos="5040"/>
      </w:tabs>
      <w:spacing w:after="120"/>
      <w:ind w:left="5040" w:hanging="720"/>
      <w:outlineLvl w:val="6"/>
    </w:pPr>
    <w:rPr>
      <w:b/>
    </w:rPr>
  </w:style>
  <w:style w:type="paragraph" w:styleId="Heading8">
    <w:name w:val="heading 8"/>
    <w:basedOn w:val="Normal"/>
    <w:next w:val="ParaNum"/>
    <w:qFormat/>
    <w:rsid w:val="00B65385"/>
    <w:pPr>
      <w:numPr>
        <w:ilvl w:val="7"/>
        <w:numId w:val="31"/>
      </w:numPr>
      <w:tabs>
        <w:tab w:val="clear" w:pos="5400"/>
        <w:tab w:val="left" w:pos="5760"/>
      </w:tabs>
      <w:spacing w:after="120"/>
      <w:ind w:left="5760" w:hanging="720"/>
      <w:outlineLvl w:val="7"/>
    </w:pPr>
    <w:rPr>
      <w:b/>
    </w:rPr>
  </w:style>
  <w:style w:type="paragraph" w:styleId="Heading9">
    <w:name w:val="heading 9"/>
    <w:basedOn w:val="Normal"/>
    <w:next w:val="ParaNum"/>
    <w:qFormat/>
    <w:rsid w:val="00B65385"/>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653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5385"/>
  </w:style>
  <w:style w:type="paragraph" w:styleId="Caption">
    <w:name w:val="caption"/>
    <w:basedOn w:val="Normal"/>
    <w:next w:val="Normal"/>
    <w:qFormat/>
    <w:pPr>
      <w:spacing w:before="120"/>
    </w:pPr>
    <w:rPr>
      <w:b/>
    </w:rPr>
  </w:style>
  <w:style w:type="paragraph" w:customStyle="1" w:styleId="ParaNum">
    <w:name w:val="ParaNum"/>
    <w:basedOn w:val="Normal"/>
    <w:link w:val="ParaNumChar"/>
    <w:rsid w:val="00B65385"/>
    <w:pPr>
      <w:numPr>
        <w:numId w:val="30"/>
      </w:numPr>
      <w:tabs>
        <w:tab w:val="clear" w:pos="1080"/>
        <w:tab w:val="num" w:pos="1440"/>
      </w:tabs>
      <w:spacing w:after="120"/>
    </w:pPr>
  </w:style>
  <w:style w:type="paragraph" w:styleId="FootnoteText">
    <w:name w:val="footnote text"/>
    <w:aliases w:val="Footnote Text Char,Footnote Text Char Char2 Char,Footnote Text Char Char2 Char Char Char,Footnote Text Char1,Footnote Text Char1 Char2,Footnote Text Char1 Char2 Char Char,Footnote Text Char1 Char2 Char Char Char Char,f,fn,footnote text"/>
    <w:link w:val="FootnoteTextChar2"/>
    <w:rsid w:val="00B65385"/>
    <w:pPr>
      <w:spacing w:after="120"/>
    </w:pPr>
  </w:style>
  <w:style w:type="paragraph" w:customStyle="1" w:styleId="Bullet">
    <w:name w:val="Bullet"/>
    <w:basedOn w:val="Normal"/>
    <w:rsid w:val="00B65385"/>
    <w:pPr>
      <w:tabs>
        <w:tab w:val="left" w:pos="2160"/>
      </w:tabs>
      <w:spacing w:after="220"/>
      <w:ind w:left="2160" w:hanging="720"/>
    </w:pPr>
  </w:style>
  <w:style w:type="paragraph" w:styleId="BlockText">
    <w:name w:val="Block Text"/>
    <w:basedOn w:val="Normal"/>
    <w:rsid w:val="00B65385"/>
    <w:pPr>
      <w:spacing w:after="240"/>
      <w:ind w:left="1440" w:right="1440"/>
    </w:pPr>
  </w:style>
  <w:style w:type="paragraph" w:customStyle="1" w:styleId="TableFormat">
    <w:name w:val="TableFormat"/>
    <w:basedOn w:val="Bullet"/>
    <w:rsid w:val="00B65385"/>
    <w:pPr>
      <w:tabs>
        <w:tab w:val="clear" w:pos="2160"/>
        <w:tab w:val="left" w:pos="5040"/>
      </w:tabs>
      <w:ind w:left="5040" w:hanging="360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65385"/>
    <w:rPr>
      <w:rFonts w:ascii="Times New Roman" w:hAnsi="Times New Roman"/>
      <w:dstrike w:val="0"/>
      <w:color w:val="auto"/>
      <w:sz w:val="20"/>
      <w:vertAlign w:val="superscript"/>
    </w:rPr>
  </w:style>
  <w:style w:type="paragraph" w:styleId="Header">
    <w:name w:val="header"/>
    <w:basedOn w:val="Normal"/>
    <w:autoRedefine/>
    <w:rsid w:val="00B65385"/>
    <w:pPr>
      <w:tabs>
        <w:tab w:val="center" w:pos="4680"/>
        <w:tab w:val="right" w:pos="9360"/>
      </w:tabs>
    </w:pPr>
    <w:rPr>
      <w:b/>
    </w:rPr>
  </w:style>
  <w:style w:type="paragraph" w:styleId="Footer">
    <w:name w:val="footer"/>
    <w:basedOn w:val="Normal"/>
    <w:link w:val="FooterChar"/>
    <w:uiPriority w:val="99"/>
    <w:rsid w:val="00B65385"/>
    <w:pPr>
      <w:tabs>
        <w:tab w:val="center" w:pos="4320"/>
        <w:tab w:val="right" w:pos="8640"/>
      </w:tabs>
    </w:pPr>
  </w:style>
  <w:style w:type="paragraph" w:styleId="TOC2">
    <w:name w:val="toc 2"/>
    <w:basedOn w:val="Normal"/>
    <w:next w:val="Normal"/>
    <w:semiHidden/>
    <w:rsid w:val="00B65385"/>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B6538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53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53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53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53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53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53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5385"/>
    <w:pPr>
      <w:tabs>
        <w:tab w:val="left" w:pos="3240"/>
        <w:tab w:val="right" w:leader="dot" w:pos="9360"/>
      </w:tabs>
      <w:suppressAutoHyphens/>
      <w:ind w:left="3240" w:hanging="360"/>
    </w:pPr>
    <w:rPr>
      <w:noProof/>
    </w:rPr>
  </w:style>
  <w:style w:type="character" w:styleId="PageNumber">
    <w:name w:val="page number"/>
    <w:basedOn w:val="DefaultParagraphFont"/>
    <w:rsid w:val="00B65385"/>
  </w:style>
  <w:style w:type="paragraph" w:styleId="Title">
    <w:name w:val="Title"/>
    <w:basedOn w:val="Normal"/>
    <w:qFormat/>
    <w:pPr>
      <w:jc w:val="center"/>
    </w:pPr>
    <w:rPr>
      <w:b/>
    </w:rPr>
  </w:style>
  <w:style w:type="character" w:customStyle="1" w:styleId="documentbody1">
    <w:name w:val="documentbody1"/>
    <w:rPr>
      <w:rFonts w:ascii="Verdana" w:hAnsi="Verdana" w:hint="default"/>
      <w:sz w:val="19"/>
      <w:szCs w:val="19"/>
    </w:rPr>
  </w:style>
  <w:style w:type="paragraph" w:customStyle="1" w:styleId="Style30">
    <w:name w:val="Style3"/>
    <w:basedOn w:val="ParaNum"/>
    <w:pPr>
      <w:numPr>
        <w:numId w:val="0"/>
      </w:numPr>
      <w:tabs>
        <w:tab w:val="left" w:pos="720"/>
        <w:tab w:val="left" w:pos="1800"/>
      </w:tabs>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EmailStyle401">
    <w:name w:val="EmailStyle401"/>
    <w:semiHidden/>
    <w:rPr>
      <w:rFonts w:ascii="Arial" w:hAnsi="Arial" w:cs="Arial"/>
      <w:color w:val="000080"/>
      <w:sz w:val="20"/>
      <w:szCs w:val="20"/>
    </w:rPr>
  </w:style>
  <w:style w:type="character" w:styleId="CommentReference">
    <w:name w:val="annotation reference"/>
    <w:semiHidden/>
    <w:rPr>
      <w:sz w:val="18"/>
    </w:rPr>
  </w:style>
  <w:style w:type="paragraph" w:styleId="CommentText">
    <w:name w:val="annotation text"/>
    <w:basedOn w:val="Normal"/>
    <w:link w:val="CommentTextChar"/>
    <w:semiHidden/>
    <w:rPr>
      <w:sz w:val="24"/>
      <w:szCs w:val="24"/>
    </w:rPr>
  </w:style>
  <w:style w:type="paragraph" w:styleId="CommentSubject">
    <w:name w:val="annotation subject"/>
    <w:basedOn w:val="CommentText"/>
    <w:next w:val="CommentText"/>
    <w:semiHidden/>
    <w:rPr>
      <w:sz w:val="22"/>
      <w:szCs w:val="20"/>
    </w:rPr>
  </w:style>
  <w:style w:type="paragraph" w:customStyle="1" w:styleId="Default">
    <w:name w:val="Default"/>
    <w:pPr>
      <w:autoSpaceDE w:val="0"/>
      <w:autoSpaceDN w:val="0"/>
      <w:adjustRightInd w:val="0"/>
      <w:spacing w:after="120"/>
    </w:pPr>
    <w:rPr>
      <w:rFonts w:ascii="Arial" w:eastAsia="Calibri" w:hAnsi="Arial" w:cs="Arial"/>
      <w:color w:val="000000"/>
      <w:sz w:val="24"/>
      <w:szCs w:val="24"/>
    </w:rPr>
  </w:style>
  <w:style w:type="paragraph" w:styleId="ListParagraph">
    <w:name w:val="List Paragraph"/>
    <w:basedOn w:val="Normal"/>
    <w:uiPriority w:val="34"/>
    <w:qFormat/>
    <w:pPr>
      <w:ind w:left="720"/>
    </w:pPr>
    <w:rPr>
      <w:sz w:val="24"/>
      <w:szCs w:val="24"/>
    </w:rPr>
  </w:style>
  <w:style w:type="character" w:customStyle="1" w:styleId="FootnoteTextChar2">
    <w:name w:val="Footnote Text Char2"/>
    <w:aliases w:val="Footnote Text Char Char,Footnote Text Char Char2 Char Char,Footnote Text Char Char2 Char Char Char Char,Footnote Text Char1 Char,Footnote Text Char1 Char2 Char,Footnote Text Char1 Char2 Char Char Char,fn Char,footnote text Char"/>
    <w:link w:val="FootnoteText"/>
    <w:rsid w:val="00A74F81"/>
  </w:style>
  <w:style w:type="character" w:customStyle="1" w:styleId="CommentTextChar">
    <w:name w:val="Comment Text Char"/>
    <w:link w:val="CommentText"/>
    <w:semiHidden/>
    <w:rsid w:val="00A74F81"/>
    <w:rPr>
      <w:sz w:val="24"/>
      <w:szCs w:val="24"/>
    </w:rPr>
  </w:style>
  <w:style w:type="character" w:customStyle="1" w:styleId="highlight">
    <w:name w:val="highlight"/>
    <w:rsid w:val="00C8423F"/>
  </w:style>
  <w:style w:type="paragraph" w:styleId="Revision">
    <w:name w:val="Revision"/>
    <w:hidden/>
    <w:uiPriority w:val="99"/>
    <w:semiHidden/>
    <w:rsid w:val="007D4917"/>
    <w:rPr>
      <w:sz w:val="22"/>
    </w:rPr>
  </w:style>
  <w:style w:type="paragraph" w:styleId="EndnoteText">
    <w:name w:val="endnote text"/>
    <w:basedOn w:val="Normal"/>
    <w:link w:val="EndnoteTextChar"/>
    <w:semiHidden/>
    <w:rsid w:val="00B65385"/>
    <w:rPr>
      <w:sz w:val="20"/>
    </w:rPr>
  </w:style>
  <w:style w:type="character" w:customStyle="1" w:styleId="EndnoteTextChar">
    <w:name w:val="Endnote Text Char"/>
    <w:basedOn w:val="DefaultParagraphFont"/>
    <w:link w:val="EndnoteText"/>
    <w:semiHidden/>
    <w:rsid w:val="00AE6BDB"/>
    <w:rPr>
      <w:snapToGrid w:val="0"/>
      <w:kern w:val="28"/>
    </w:rPr>
  </w:style>
  <w:style w:type="character" w:styleId="EndnoteReference">
    <w:name w:val="endnote reference"/>
    <w:semiHidden/>
    <w:rsid w:val="00B65385"/>
    <w:rPr>
      <w:vertAlign w:val="superscript"/>
    </w:rPr>
  </w:style>
  <w:style w:type="paragraph" w:styleId="TOAHeading">
    <w:name w:val="toa heading"/>
    <w:basedOn w:val="Normal"/>
    <w:next w:val="Normal"/>
    <w:semiHidden/>
    <w:rsid w:val="00B65385"/>
    <w:pPr>
      <w:tabs>
        <w:tab w:val="right" w:pos="9360"/>
      </w:tabs>
      <w:suppressAutoHyphens/>
    </w:pPr>
  </w:style>
  <w:style w:type="character" w:customStyle="1" w:styleId="EquationCaption">
    <w:name w:val="_Equation Caption"/>
    <w:rsid w:val="00B65385"/>
  </w:style>
  <w:style w:type="paragraph" w:customStyle="1" w:styleId="Paratitle">
    <w:name w:val="Para title"/>
    <w:basedOn w:val="Normal"/>
    <w:rsid w:val="00B65385"/>
    <w:pPr>
      <w:tabs>
        <w:tab w:val="center" w:pos="9270"/>
      </w:tabs>
      <w:spacing w:after="240"/>
    </w:pPr>
    <w:rPr>
      <w:spacing w:val="-2"/>
    </w:rPr>
  </w:style>
  <w:style w:type="paragraph" w:customStyle="1" w:styleId="TOCTitle">
    <w:name w:val="TOC Title"/>
    <w:basedOn w:val="Normal"/>
    <w:rsid w:val="00B653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5385"/>
    <w:pPr>
      <w:jc w:val="center"/>
    </w:pPr>
    <w:rPr>
      <w:rFonts w:ascii="Times New Roman Bold" w:hAnsi="Times New Roman Bold"/>
      <w:b/>
      <w:bCs/>
      <w:caps/>
      <w:szCs w:val="22"/>
    </w:rPr>
  </w:style>
  <w:style w:type="character" w:styleId="Hyperlink">
    <w:name w:val="Hyperlink"/>
    <w:rsid w:val="00B65385"/>
    <w:rPr>
      <w:color w:val="0000FF"/>
      <w:u w:val="single"/>
    </w:rPr>
  </w:style>
  <w:style w:type="character" w:customStyle="1" w:styleId="ParaNumChar">
    <w:name w:val="ParaNum Char"/>
    <w:link w:val="ParaNum"/>
    <w:locked/>
    <w:rsid w:val="00CD2EE7"/>
    <w:rPr>
      <w:snapToGrid w:val="0"/>
      <w:kern w:val="28"/>
      <w:sz w:val="22"/>
    </w:rPr>
  </w:style>
  <w:style w:type="character" w:customStyle="1" w:styleId="UnresolvedMention">
    <w:name w:val="Unresolved Mention"/>
    <w:basedOn w:val="DefaultParagraphFont"/>
    <w:uiPriority w:val="99"/>
    <w:semiHidden/>
    <w:unhideWhenUsed/>
    <w:rsid w:val="00D812F4"/>
    <w:rPr>
      <w:color w:val="808080"/>
      <w:shd w:val="clear" w:color="auto" w:fill="E6E6E6"/>
    </w:rPr>
  </w:style>
  <w:style w:type="character" w:styleId="FollowedHyperlink">
    <w:name w:val="FollowedHyperlink"/>
    <w:basedOn w:val="DefaultParagraphFont"/>
    <w:semiHidden/>
    <w:unhideWhenUsed/>
    <w:rsid w:val="003B7D87"/>
    <w:rPr>
      <w:color w:val="954F72" w:themeColor="followedHyperlink"/>
      <w:u w:val="single"/>
    </w:rPr>
  </w:style>
  <w:style w:type="character" w:customStyle="1" w:styleId="FooterChar">
    <w:name w:val="Footer Char"/>
    <w:link w:val="Footer"/>
    <w:uiPriority w:val="99"/>
    <w:rsid w:val="00B653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