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9117F" w:rsidP="00013A8B">
      <w:pPr>
        <w:jc w:val="right"/>
        <w:rPr>
          <w:b/>
          <w:sz w:val="24"/>
        </w:rPr>
      </w:pPr>
    </w:p>
    <w:p w:rsidR="00013A8B" w:rsidRPr="00B20363" w:rsidP="001827CC">
      <w:pPr>
        <w:jc w:val="right"/>
        <w:rPr>
          <w:b/>
          <w:sz w:val="24"/>
        </w:rPr>
      </w:pPr>
      <w:r>
        <w:rPr>
          <w:b/>
          <w:sz w:val="24"/>
        </w:rPr>
        <w:t>DA 18-1311</w:t>
      </w:r>
    </w:p>
    <w:p w:rsidR="00013A8B" w:rsidRPr="001827CC" w:rsidP="001827CC">
      <w:pPr>
        <w:spacing w:after="120"/>
        <w:jc w:val="right"/>
        <w:rPr>
          <w:b/>
          <w:sz w:val="24"/>
        </w:rPr>
      </w:pPr>
      <w:r>
        <w:rPr>
          <w:b/>
          <w:sz w:val="24"/>
        </w:rPr>
        <w:t xml:space="preserve">Released:  </w:t>
      </w:r>
      <w:r w:rsidR="00F9117F">
        <w:rPr>
          <w:b/>
          <w:sz w:val="24"/>
        </w:rPr>
        <w:t>December 31, 2018</w:t>
      </w:r>
    </w:p>
    <w:p w:rsidR="00013A8B" w:rsidRPr="00B20363" w:rsidP="001827CC">
      <w:pPr>
        <w:spacing w:after="120"/>
        <w:jc w:val="center"/>
        <w:rPr>
          <w:rFonts w:ascii="Times New Roman Bold" w:hAnsi="Times New Roman Bold"/>
          <w:b/>
          <w:caps/>
          <w:sz w:val="24"/>
        </w:rPr>
      </w:pPr>
      <w:r>
        <w:rPr>
          <w:rFonts w:ascii="Times New Roman Bold" w:hAnsi="Times New Roman Bold"/>
          <w:b/>
          <w:caps/>
          <w:sz w:val="24"/>
        </w:rPr>
        <w:t>ADDITIONAL PARTY SEEKS ACCESS TO CONFIDENTIAL BUSINESS DATA SERVICES (SPECIAL ACCESS) DATA</w:t>
      </w:r>
    </w:p>
    <w:p w:rsidR="00F96F63" w:rsidRPr="001827CC" w:rsidP="001827CC">
      <w:pPr>
        <w:spacing w:after="120"/>
        <w:jc w:val="center"/>
        <w:rPr>
          <w:b/>
          <w:sz w:val="24"/>
        </w:rPr>
      </w:pPr>
      <w:r>
        <w:rPr>
          <w:b/>
          <w:sz w:val="24"/>
        </w:rPr>
        <w:t>WC Docket Nos. 05-25, 16-143; RM-10593</w:t>
      </w:r>
      <w:bookmarkStart w:id="0" w:name="TOChere"/>
    </w:p>
    <w:bookmarkEnd w:id="0"/>
    <w:p w:rsidR="00F9117F" w:rsidRPr="00F9117F" w:rsidP="00F9117F">
      <w:pPr>
        <w:widowControl/>
        <w:spacing w:before="120" w:after="120"/>
        <w:rPr>
          <w:b/>
          <w:snapToGrid/>
          <w:kern w:val="0"/>
          <w:szCs w:val="22"/>
        </w:rPr>
      </w:pPr>
      <w:r w:rsidRPr="00F9117F">
        <w:rPr>
          <w:b/>
          <w:snapToGrid/>
          <w:kern w:val="0"/>
          <w:szCs w:val="22"/>
        </w:rPr>
        <w:t xml:space="preserve">Objections Due by: January </w:t>
      </w:r>
      <w:r>
        <w:rPr>
          <w:b/>
          <w:snapToGrid/>
          <w:kern w:val="0"/>
          <w:szCs w:val="22"/>
        </w:rPr>
        <w:t>9</w:t>
      </w:r>
      <w:r w:rsidRPr="00F9117F">
        <w:rPr>
          <w:b/>
          <w:snapToGrid/>
          <w:kern w:val="0"/>
          <w:szCs w:val="22"/>
        </w:rPr>
        <w:t>, 2019</w:t>
      </w:r>
    </w:p>
    <w:p w:rsidR="00F9117F" w:rsidRPr="00F9117F" w:rsidP="00F9117F">
      <w:pPr>
        <w:widowControl/>
        <w:spacing w:after="120"/>
        <w:ind w:firstLine="720"/>
        <w:rPr>
          <w:snapToGrid/>
          <w:kern w:val="0"/>
          <w:szCs w:val="22"/>
        </w:rPr>
      </w:pPr>
      <w:r w:rsidRPr="00F9117F">
        <w:rPr>
          <w:snapToGrid/>
          <w:kern w:val="0"/>
          <w:szCs w:val="22"/>
        </w:rPr>
        <w:t xml:space="preserve">By this Public Notice, the Wireline Competition Bureau (Bureau) announces that an additional party seeks access to highly confidential data filed in the price cap business data services (BDS) proceedings, and that interested parties have until </w:t>
      </w:r>
      <w:r w:rsidRPr="00F9117F">
        <w:rPr>
          <w:b/>
          <w:snapToGrid/>
          <w:kern w:val="0"/>
          <w:szCs w:val="22"/>
        </w:rPr>
        <w:t xml:space="preserve">January </w:t>
      </w:r>
      <w:r>
        <w:rPr>
          <w:b/>
          <w:snapToGrid/>
          <w:kern w:val="0"/>
          <w:szCs w:val="22"/>
        </w:rPr>
        <w:t>9</w:t>
      </w:r>
      <w:r w:rsidRPr="00F9117F">
        <w:rPr>
          <w:b/>
          <w:snapToGrid/>
          <w:kern w:val="0"/>
          <w:szCs w:val="22"/>
        </w:rPr>
        <w:t>, 2019</w:t>
      </w:r>
      <w:r w:rsidRPr="00F9117F">
        <w:rPr>
          <w:snapToGrid/>
          <w:kern w:val="0"/>
          <w:szCs w:val="22"/>
        </w:rPr>
        <w:t xml:space="preserve"> to object to disclosure of their data to the party seeking access.</w:t>
      </w:r>
      <w:r>
        <w:rPr>
          <w:snapToGrid/>
          <w:kern w:val="0"/>
          <w:szCs w:val="22"/>
          <w:vertAlign w:val="superscript"/>
        </w:rPr>
        <w:footnoteReference w:id="3"/>
      </w:r>
      <w:r w:rsidRPr="00F9117F">
        <w:rPr>
          <w:snapToGrid/>
          <w:kern w:val="0"/>
          <w:szCs w:val="22"/>
        </w:rPr>
        <w:t xml:space="preserve">   </w:t>
      </w:r>
    </w:p>
    <w:p w:rsidR="00F9117F" w:rsidRPr="00F9117F" w:rsidP="00F9117F">
      <w:pPr>
        <w:widowControl/>
        <w:spacing w:after="120"/>
        <w:ind w:firstLine="720"/>
        <w:rPr>
          <w:snapToGrid/>
          <w:kern w:val="0"/>
          <w:szCs w:val="22"/>
        </w:rPr>
      </w:pPr>
      <w:r w:rsidRPr="00F9117F">
        <w:rPr>
          <w:snapToGrid/>
          <w:kern w:val="0"/>
          <w:szCs w:val="22"/>
        </w:rPr>
        <w:t xml:space="preserve">On November 29, 2018, the Bureau released a </w:t>
      </w:r>
      <w:r w:rsidRPr="00F9117F">
        <w:rPr>
          <w:i/>
          <w:snapToGrid/>
          <w:kern w:val="0"/>
          <w:szCs w:val="22"/>
        </w:rPr>
        <w:t>Pu</w:t>
      </w:r>
      <w:bookmarkStart w:id="1" w:name="_GoBack"/>
      <w:bookmarkEnd w:id="1"/>
      <w:r w:rsidRPr="00F9117F">
        <w:rPr>
          <w:i/>
          <w:snapToGrid/>
          <w:kern w:val="0"/>
          <w:szCs w:val="22"/>
        </w:rPr>
        <w:t>blic Notice</w:t>
      </w:r>
      <w:r w:rsidRPr="00F9117F">
        <w:rPr>
          <w:snapToGrid/>
          <w:kern w:val="0"/>
          <w:szCs w:val="22"/>
        </w:rPr>
        <w:t xml:space="preserve"> announcing that</w:t>
      </w:r>
      <w:r w:rsidRPr="00F9117F">
        <w:rPr>
          <w:snapToGrid/>
          <w:kern w:val="0"/>
        </w:rPr>
        <w:t xml:space="preserve"> </w:t>
      </w:r>
      <w:r w:rsidRPr="00F9117F">
        <w:rPr>
          <w:snapToGrid/>
          <w:kern w:val="0"/>
          <w:szCs w:val="22"/>
        </w:rPr>
        <w:t>the secure data enclave containing highly confidential data filed in the price cap BDS proceedings reopened, and that parties that were not previously authorized to access the secure data enclave and now seek access must file signed Acknowledgments of Confidentiality (Acknowledgements) pursuant to the protective orders in these proceedings.</w:t>
      </w:r>
      <w:r>
        <w:rPr>
          <w:snapToGrid/>
          <w:kern w:val="0"/>
          <w:szCs w:val="22"/>
          <w:vertAlign w:val="superscript"/>
        </w:rPr>
        <w:footnoteReference w:id="4"/>
      </w:r>
      <w:r w:rsidRPr="00F9117F">
        <w:rPr>
          <w:snapToGrid/>
          <w:kern w:val="0"/>
          <w:szCs w:val="22"/>
        </w:rPr>
        <w:t xml:space="preserve">  </w:t>
      </w:r>
      <w:bookmarkStart w:id="2" w:name="_Hlk533067702"/>
      <w:r w:rsidRPr="00F9117F">
        <w:rPr>
          <w:snapToGrid/>
          <w:kern w:val="0"/>
          <w:szCs w:val="22"/>
        </w:rPr>
        <w:t>Consistent with past practice, the Attachment lists an additional party that has filed an Acknowledgement seeking access to the highly confidential data.</w:t>
      </w:r>
      <w:r>
        <w:rPr>
          <w:snapToGrid/>
          <w:kern w:val="0"/>
          <w:szCs w:val="22"/>
          <w:vertAlign w:val="superscript"/>
        </w:rPr>
        <w:footnoteReference w:id="5"/>
      </w:r>
      <w:r w:rsidRPr="00F9117F">
        <w:rPr>
          <w:snapToGrid/>
          <w:kern w:val="0"/>
          <w:szCs w:val="22"/>
        </w:rPr>
        <w:t xml:space="preserve"> </w:t>
      </w:r>
      <w:bookmarkEnd w:id="2"/>
      <w:r w:rsidRPr="00F9117F">
        <w:rPr>
          <w:snapToGrid/>
          <w:kern w:val="0"/>
          <w:szCs w:val="22"/>
        </w:rPr>
        <w:t xml:space="preserve"> By executing an Acknowledgement, the individual certifies that their purpose for accessing the data is “solely for preparation and conduct” in the price cap BDS rulemaking proceedings.</w:t>
      </w:r>
      <w:r>
        <w:rPr>
          <w:snapToGrid/>
          <w:kern w:val="0"/>
          <w:szCs w:val="22"/>
          <w:vertAlign w:val="superscript"/>
        </w:rPr>
        <w:footnoteReference w:id="6"/>
      </w:r>
      <w:r w:rsidRPr="00F9117F">
        <w:rPr>
          <w:snapToGrid/>
          <w:kern w:val="0"/>
          <w:szCs w:val="22"/>
        </w:rPr>
        <w:t xml:space="preserve">    </w:t>
      </w:r>
    </w:p>
    <w:p w:rsidR="00F9117F" w:rsidRPr="00F9117F" w:rsidP="00F9117F">
      <w:pPr>
        <w:widowControl/>
        <w:spacing w:after="120"/>
        <w:ind w:firstLine="720"/>
        <w:rPr>
          <w:snapToGrid/>
          <w:kern w:val="0"/>
          <w:szCs w:val="22"/>
        </w:rPr>
      </w:pPr>
      <w:r w:rsidRPr="00F9117F">
        <w:rPr>
          <w:szCs w:val="22"/>
        </w:rPr>
        <w:t xml:space="preserve">Pursuant to the </w:t>
      </w:r>
      <w:r w:rsidRPr="00F9117F">
        <w:rPr>
          <w:i/>
          <w:szCs w:val="22"/>
        </w:rPr>
        <w:t>Data Collection Protective Order</w:t>
      </w:r>
      <w:r w:rsidRPr="00F9117F">
        <w:rPr>
          <w:szCs w:val="22"/>
        </w:rPr>
        <w:t xml:space="preserve">, parties that submitted confidential or highly confidential data and information have until </w:t>
      </w:r>
      <w:r w:rsidRPr="00F9117F">
        <w:rPr>
          <w:b/>
          <w:szCs w:val="22"/>
        </w:rPr>
        <w:t xml:space="preserve">January </w:t>
      </w:r>
      <w:r>
        <w:rPr>
          <w:b/>
          <w:szCs w:val="22"/>
        </w:rPr>
        <w:t>9</w:t>
      </w:r>
      <w:r w:rsidRPr="00F9117F">
        <w:rPr>
          <w:b/>
          <w:szCs w:val="22"/>
        </w:rPr>
        <w:t xml:space="preserve">, 2019 </w:t>
      </w:r>
      <w:r w:rsidRPr="00F9117F">
        <w:rPr>
          <w:szCs w:val="22"/>
        </w:rPr>
        <w:t>to object to the disclosure of their data and information to the party listed in the Attachment.</w:t>
      </w:r>
      <w:r>
        <w:rPr>
          <w:szCs w:val="22"/>
          <w:vertAlign w:val="superscript"/>
        </w:rPr>
        <w:footnoteReference w:id="7"/>
      </w:r>
      <w:r w:rsidRPr="00F9117F">
        <w:rPr>
          <w:szCs w:val="22"/>
        </w:rPr>
        <w:t xml:space="preserve">  To file an objection with the Commission, an objecting party should use one of the methods described below and serve a copy on the requesting party or, if </w:t>
      </w:r>
      <w:r w:rsidRPr="00F9117F">
        <w:rPr>
          <w:szCs w:val="22"/>
        </w:rPr>
        <w:t xml:space="preserve">applicable, their counsel, and email a copy of their objection to the Bureau at </w:t>
      </w:r>
      <w:hyperlink r:id="rId5" w:history="1">
        <w:r w:rsidRPr="00F9117F">
          <w:rPr>
            <w:color w:val="0000FF"/>
            <w:szCs w:val="22"/>
            <w:u w:val="single"/>
          </w:rPr>
          <w:t>SpecialAccess@fcc.gov</w:t>
        </w:r>
      </w:hyperlink>
      <w:r w:rsidRPr="00F9117F">
        <w:rPr>
          <w:szCs w:val="22"/>
        </w:rPr>
        <w:t>.</w:t>
      </w:r>
      <w:r>
        <w:rPr>
          <w:szCs w:val="22"/>
          <w:vertAlign w:val="superscript"/>
        </w:rPr>
        <w:footnoteReference w:id="8"/>
      </w:r>
      <w:r w:rsidRPr="00F9117F">
        <w:rPr>
          <w:szCs w:val="22"/>
        </w:rPr>
        <w:t xml:space="preserve"> Absent the filing of an objection, the requesting party will have access to confidential and highly confidential data and information.</w:t>
      </w:r>
      <w:r>
        <w:rPr>
          <w:szCs w:val="22"/>
          <w:vertAlign w:val="superscript"/>
        </w:rPr>
        <w:footnoteReference w:id="9"/>
      </w:r>
      <w:r w:rsidRPr="00F9117F">
        <w:rPr>
          <w:szCs w:val="22"/>
        </w:rPr>
        <w:t xml:space="preserve">  For additional information regarding the access authorization and objection process, see the </w:t>
      </w:r>
      <w:r w:rsidRPr="00F9117F">
        <w:rPr>
          <w:i/>
          <w:szCs w:val="22"/>
        </w:rPr>
        <w:t>Data Collection Protective Order</w:t>
      </w:r>
      <w:r w:rsidRPr="00F9117F">
        <w:rPr>
          <w:szCs w:val="22"/>
        </w:rPr>
        <w:t>.</w:t>
      </w:r>
    </w:p>
    <w:p w:rsidR="00F9117F" w:rsidRPr="00F9117F" w:rsidP="00F9117F">
      <w:pPr>
        <w:widowControl/>
        <w:numPr>
          <w:ilvl w:val="0"/>
          <w:numId w:val="7"/>
        </w:numPr>
        <w:spacing w:after="120"/>
        <w:contextualSpacing/>
        <w:rPr>
          <w:rFonts w:eastAsia="Calibri"/>
          <w:snapToGrid/>
          <w:kern w:val="0"/>
          <w:szCs w:val="22"/>
        </w:rPr>
      </w:pPr>
      <w:r w:rsidRPr="00F9117F">
        <w:rPr>
          <w:rFonts w:eastAsia="Calibri"/>
          <w:snapToGrid/>
          <w:kern w:val="0"/>
          <w:szCs w:val="22"/>
        </w:rPr>
        <w:t xml:space="preserve">Electronic Filers:  Objections may be filed electronically using the Internet by accessing </w:t>
      </w:r>
      <w:r w:rsidRPr="00F9117F">
        <w:rPr>
          <w:rFonts w:eastAsia="Calibri"/>
          <w:snapToGrid/>
          <w:color w:val="000000"/>
          <w:kern w:val="0"/>
          <w:szCs w:val="22"/>
        </w:rPr>
        <w:t>the Commission’s Electronic Comment Filing System (ECFS)</w:t>
      </w:r>
      <w:r w:rsidRPr="00F9117F">
        <w:rPr>
          <w:rFonts w:eastAsia="Calibri"/>
          <w:snapToGrid/>
          <w:kern w:val="0"/>
          <w:szCs w:val="22"/>
        </w:rPr>
        <w:t xml:space="preserve">: </w:t>
      </w:r>
      <w:hyperlink r:id="rId6" w:history="1">
        <w:r w:rsidRPr="00F9117F">
          <w:rPr>
            <w:snapToGrid/>
            <w:color w:val="0000FF"/>
            <w:kern w:val="0"/>
            <w:u w:val="single"/>
          </w:rPr>
          <w:t>https://www.fcc.gov/ecfs/</w:t>
        </w:r>
      </w:hyperlink>
      <w:r w:rsidRPr="00F9117F">
        <w:rPr>
          <w:rFonts w:eastAsia="Calibri"/>
          <w:snapToGrid/>
          <w:kern w:val="0"/>
          <w:szCs w:val="22"/>
        </w:rPr>
        <w:t>.</w:t>
      </w:r>
    </w:p>
    <w:p w:rsidR="00F9117F" w:rsidRPr="00F9117F" w:rsidP="00F9117F">
      <w:pPr>
        <w:widowControl/>
        <w:spacing w:after="120"/>
        <w:ind w:left="720"/>
        <w:contextualSpacing/>
        <w:rPr>
          <w:rFonts w:eastAsia="Calibri"/>
          <w:snapToGrid/>
          <w:kern w:val="0"/>
          <w:sz w:val="12"/>
          <w:szCs w:val="12"/>
        </w:rPr>
      </w:pPr>
    </w:p>
    <w:p w:rsidR="00F9117F" w:rsidRPr="00F9117F" w:rsidP="00F9117F">
      <w:pPr>
        <w:widowControl/>
        <w:numPr>
          <w:ilvl w:val="0"/>
          <w:numId w:val="7"/>
        </w:numPr>
        <w:spacing w:after="120"/>
        <w:contextualSpacing/>
        <w:rPr>
          <w:rFonts w:eastAsia="Calibri"/>
          <w:snapToGrid/>
          <w:kern w:val="0"/>
          <w:szCs w:val="22"/>
        </w:rPr>
      </w:pPr>
      <w:r w:rsidRPr="00F9117F">
        <w:rPr>
          <w:rFonts w:eastAsia="Calibri"/>
          <w:snapToGrid/>
          <w:kern w:val="0"/>
          <w:szCs w:val="22"/>
        </w:rPr>
        <w:t>Paper Filers:  Parties who choose to file by paper must file an original and one copy of each filing.  Because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F9117F" w:rsidRPr="00F9117F" w:rsidP="00F9117F">
      <w:pPr>
        <w:widowControl/>
        <w:spacing w:after="120"/>
        <w:ind w:left="720"/>
        <w:contextualSpacing/>
        <w:rPr>
          <w:rFonts w:eastAsia="Calibri"/>
          <w:snapToGrid/>
          <w:kern w:val="0"/>
          <w:sz w:val="12"/>
          <w:szCs w:val="12"/>
        </w:rPr>
      </w:pPr>
    </w:p>
    <w:p w:rsidR="00F9117F" w:rsidRPr="00F9117F" w:rsidP="00F9117F">
      <w:pPr>
        <w:widowControl/>
        <w:numPr>
          <w:ilvl w:val="0"/>
          <w:numId w:val="8"/>
        </w:numPr>
        <w:ind w:left="1080"/>
        <w:contextualSpacing/>
        <w:rPr>
          <w:rFonts w:eastAsia="Calibri"/>
          <w:snapToGrid/>
          <w:kern w:val="0"/>
          <w:szCs w:val="22"/>
        </w:rPr>
      </w:pPr>
      <w:r w:rsidRPr="00F9117F">
        <w:rPr>
          <w:rFonts w:eastAsia="Calibri"/>
          <w:snapToGrid/>
          <w:kern w:val="0"/>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9117F">
        <w:rPr>
          <w:rFonts w:eastAsia="Calibri"/>
          <w:snapToGrid/>
          <w:kern w:val="0"/>
          <w:szCs w:val="22"/>
          <w:u w:val="single"/>
        </w:rPr>
        <w:t>before</w:t>
      </w:r>
      <w:r w:rsidRPr="00F9117F">
        <w:rPr>
          <w:rFonts w:eastAsia="Calibri"/>
          <w:snapToGrid/>
          <w:kern w:val="0"/>
          <w:szCs w:val="22"/>
        </w:rPr>
        <w:t xml:space="preserve"> entering the building.</w:t>
      </w:r>
    </w:p>
    <w:p w:rsidR="00F9117F" w:rsidRPr="00F9117F" w:rsidP="00F9117F">
      <w:pPr>
        <w:widowControl/>
        <w:ind w:left="1080"/>
        <w:contextualSpacing/>
        <w:rPr>
          <w:rFonts w:eastAsia="Calibri"/>
          <w:snapToGrid/>
          <w:kern w:val="0"/>
          <w:sz w:val="12"/>
          <w:szCs w:val="12"/>
        </w:rPr>
      </w:pPr>
    </w:p>
    <w:p w:rsidR="00F9117F" w:rsidRPr="00F9117F" w:rsidP="00F9117F">
      <w:pPr>
        <w:widowControl/>
        <w:numPr>
          <w:ilvl w:val="0"/>
          <w:numId w:val="8"/>
        </w:numPr>
        <w:ind w:left="1080"/>
        <w:contextualSpacing/>
        <w:rPr>
          <w:rFonts w:eastAsia="Calibri"/>
          <w:snapToGrid/>
          <w:kern w:val="0"/>
          <w:szCs w:val="22"/>
        </w:rPr>
      </w:pPr>
      <w:r w:rsidRPr="00F9117F">
        <w:rPr>
          <w:rFonts w:eastAsia="Calibri"/>
          <w:snapToGrid/>
          <w:kern w:val="0"/>
          <w:szCs w:val="22"/>
        </w:rPr>
        <w:t>Commercial overnight mail (other than U.S. Postal Service Express Mail and Priority Mail) must be sent to 9050 Junction Drive, Annapolis Junction, MD 20701.</w:t>
      </w:r>
    </w:p>
    <w:p w:rsidR="00F9117F" w:rsidRPr="00F9117F" w:rsidP="00F9117F">
      <w:pPr>
        <w:widowControl/>
        <w:ind w:left="1080"/>
        <w:contextualSpacing/>
        <w:rPr>
          <w:rFonts w:eastAsia="Calibri"/>
          <w:snapToGrid/>
          <w:kern w:val="0"/>
          <w:sz w:val="12"/>
          <w:szCs w:val="12"/>
        </w:rPr>
      </w:pPr>
    </w:p>
    <w:p w:rsidR="00F9117F" w:rsidRPr="00F9117F" w:rsidP="00F9117F">
      <w:pPr>
        <w:widowControl/>
        <w:numPr>
          <w:ilvl w:val="0"/>
          <w:numId w:val="8"/>
        </w:numPr>
        <w:ind w:left="1080"/>
        <w:contextualSpacing/>
        <w:rPr>
          <w:rFonts w:eastAsia="Calibri"/>
          <w:snapToGrid/>
          <w:kern w:val="0"/>
          <w:szCs w:val="22"/>
        </w:rPr>
      </w:pPr>
      <w:r w:rsidRPr="00F9117F">
        <w:rPr>
          <w:rFonts w:eastAsia="Calibri"/>
          <w:snapToGrid/>
          <w:kern w:val="0"/>
          <w:szCs w:val="22"/>
        </w:rPr>
        <w:t>U.S. Postal Service first-class, Express, and Priority mail must be addressed to 445 12th Street, SW, Washington, DC 20554.</w:t>
      </w:r>
    </w:p>
    <w:p w:rsidR="00F9117F" w:rsidRPr="00F9117F" w:rsidP="00F9117F">
      <w:pPr>
        <w:widowControl/>
        <w:ind w:left="1080"/>
        <w:contextualSpacing/>
        <w:rPr>
          <w:rFonts w:eastAsia="Calibri"/>
          <w:snapToGrid/>
          <w:kern w:val="0"/>
          <w:sz w:val="12"/>
          <w:szCs w:val="12"/>
        </w:rPr>
      </w:pPr>
    </w:p>
    <w:p w:rsidR="00F9117F" w:rsidRPr="00F9117F" w:rsidP="00F9117F">
      <w:pPr>
        <w:widowControl/>
        <w:ind w:firstLine="720"/>
        <w:contextualSpacing/>
        <w:rPr>
          <w:rFonts w:eastAsia="Calibri"/>
          <w:snapToGrid/>
          <w:kern w:val="0"/>
          <w:szCs w:val="22"/>
        </w:rPr>
      </w:pPr>
      <w:r w:rsidRPr="00F9117F">
        <w:rPr>
          <w:rFonts w:eastAsia="Calibri"/>
          <w:snapToGrid/>
          <w:kern w:val="0"/>
          <w:szCs w:val="22"/>
        </w:rPr>
        <w:t>People with Disabilities:  To request materials in accessible formats for people with disabilities</w:t>
      </w:r>
    </w:p>
    <w:p w:rsidR="00F9117F" w:rsidRPr="00F9117F" w:rsidP="00F9117F">
      <w:pPr>
        <w:widowControl/>
        <w:contextualSpacing/>
        <w:rPr>
          <w:rFonts w:eastAsia="Calibri"/>
          <w:snapToGrid/>
          <w:kern w:val="0"/>
          <w:szCs w:val="22"/>
        </w:rPr>
      </w:pPr>
      <w:r w:rsidRPr="00F9117F">
        <w:rPr>
          <w:rFonts w:eastAsia="Calibri"/>
          <w:snapToGrid/>
          <w:kern w:val="0"/>
          <w:szCs w:val="22"/>
        </w:rPr>
        <w:t xml:space="preserve">(Braille, large print, electronic files, audio format), send an e-mail to </w:t>
      </w:r>
      <w:hyperlink r:id="rId7" w:history="1">
        <w:r w:rsidRPr="00F9117F">
          <w:rPr>
            <w:rFonts w:eastAsia="Calibri"/>
            <w:snapToGrid/>
            <w:color w:val="0000FF"/>
            <w:kern w:val="0"/>
            <w:szCs w:val="22"/>
            <w:u w:val="single"/>
          </w:rPr>
          <w:t>fcc504@fcc.gov</w:t>
        </w:r>
      </w:hyperlink>
      <w:r w:rsidRPr="00F9117F">
        <w:rPr>
          <w:rFonts w:eastAsia="Calibri"/>
          <w:snapToGrid/>
          <w:kern w:val="0"/>
          <w:szCs w:val="22"/>
          <w:u w:val="single"/>
        </w:rPr>
        <w:t xml:space="preserve"> </w:t>
      </w:r>
      <w:r w:rsidRPr="00F9117F">
        <w:rPr>
          <w:rFonts w:eastAsia="Calibri"/>
          <w:snapToGrid/>
          <w:kern w:val="0"/>
          <w:szCs w:val="22"/>
        </w:rPr>
        <w:t>or call the Consumer &amp; Governmental Affairs Bureau at (202) 418-0530 (voice) or (202) 418-0432 (TTY).</w:t>
      </w:r>
    </w:p>
    <w:p w:rsidR="00F9117F" w:rsidRPr="00F9117F" w:rsidP="00F9117F">
      <w:pPr>
        <w:widowControl/>
        <w:contextualSpacing/>
        <w:rPr>
          <w:rFonts w:eastAsia="Calibri"/>
          <w:snapToGrid/>
          <w:kern w:val="0"/>
          <w:sz w:val="12"/>
          <w:szCs w:val="12"/>
        </w:rPr>
      </w:pPr>
    </w:p>
    <w:p w:rsidR="00F9117F" w:rsidRPr="00F9117F" w:rsidP="00F9117F">
      <w:pPr>
        <w:widowControl/>
        <w:ind w:firstLine="720"/>
        <w:contextualSpacing/>
        <w:rPr>
          <w:rFonts w:eastAsia="Calibri"/>
          <w:snapToGrid/>
          <w:kern w:val="0"/>
          <w:szCs w:val="22"/>
        </w:rPr>
      </w:pPr>
      <w:r w:rsidRPr="00F9117F">
        <w:rPr>
          <w:rFonts w:eastAsia="Calibri"/>
          <w:snapToGrid/>
          <w:kern w:val="0"/>
          <w:szCs w:val="22"/>
        </w:rPr>
        <w:t xml:space="preserve">For further information, please contact Christopher Koves, Pricing Policy Division, Wireline Competition Bureau, at (202) 418-8209 or via email at </w:t>
      </w:r>
      <w:hyperlink r:id="rId8" w:history="1">
        <w:r w:rsidRPr="00F9117F">
          <w:rPr>
            <w:rFonts w:eastAsia="Calibri"/>
            <w:snapToGrid/>
            <w:color w:val="0000FF"/>
            <w:kern w:val="0"/>
            <w:szCs w:val="22"/>
            <w:u w:val="single"/>
          </w:rPr>
          <w:t>Christopher.Koves@fcc.gov</w:t>
        </w:r>
      </w:hyperlink>
      <w:r w:rsidRPr="00F9117F">
        <w:rPr>
          <w:rFonts w:eastAsia="Calibri"/>
          <w:snapToGrid/>
          <w:kern w:val="0"/>
          <w:szCs w:val="22"/>
        </w:rPr>
        <w:t xml:space="preserve">. </w:t>
      </w:r>
    </w:p>
    <w:p w:rsidR="00F9117F" w:rsidRPr="00F9117F" w:rsidP="00F9117F">
      <w:pPr>
        <w:widowControl/>
        <w:contextualSpacing/>
        <w:rPr>
          <w:rFonts w:eastAsia="Calibri"/>
          <w:snapToGrid/>
          <w:kern w:val="0"/>
          <w:szCs w:val="22"/>
        </w:rPr>
      </w:pPr>
    </w:p>
    <w:p w:rsidR="00F9117F" w:rsidRPr="00F9117F" w:rsidP="00F9117F">
      <w:pPr>
        <w:widowControl/>
        <w:contextualSpacing/>
        <w:jc w:val="center"/>
        <w:rPr>
          <w:rFonts w:eastAsia="Calibri"/>
          <w:b/>
          <w:snapToGrid/>
          <w:kern w:val="0"/>
          <w:szCs w:val="22"/>
        </w:rPr>
      </w:pPr>
      <w:r w:rsidRPr="00F9117F">
        <w:rPr>
          <w:rFonts w:eastAsia="Calibri"/>
          <w:b/>
          <w:snapToGrid/>
          <w:kern w:val="0"/>
          <w:szCs w:val="22"/>
        </w:rPr>
        <w:t>- FCC –</w:t>
      </w:r>
    </w:p>
    <w:p w:rsidR="00F9117F" w:rsidRPr="00F9117F" w:rsidP="00F9117F">
      <w:pPr>
        <w:widowControl/>
        <w:rPr>
          <w:sz w:val="24"/>
        </w:rPr>
      </w:pPr>
      <w:r w:rsidRPr="00F9117F">
        <w:rPr>
          <w:sz w:val="24"/>
        </w:rPr>
        <w:br w:type="page"/>
      </w:r>
    </w:p>
    <w:p w:rsidR="00F9117F" w:rsidRPr="00F9117F" w:rsidP="00F9117F">
      <w:pPr>
        <w:spacing w:after="120"/>
        <w:contextualSpacing/>
        <w:jc w:val="center"/>
        <w:rPr>
          <w:b/>
          <w:szCs w:val="22"/>
        </w:rPr>
      </w:pPr>
      <w:r w:rsidRPr="00F9117F">
        <w:rPr>
          <w:b/>
          <w:szCs w:val="22"/>
        </w:rPr>
        <w:t>ATTACHMENT</w:t>
      </w:r>
    </w:p>
    <w:p w:rsidR="00F9117F" w:rsidRPr="00F9117F" w:rsidP="00F9117F">
      <w:pPr>
        <w:widowControl/>
        <w:jc w:val="center"/>
        <w:rPr>
          <w:b/>
          <w:kern w:val="0"/>
        </w:rPr>
      </w:pPr>
      <w:r w:rsidRPr="00F9117F">
        <w:rPr>
          <w:b/>
          <w:kern w:val="0"/>
        </w:rPr>
        <w:t xml:space="preserve">Parties Filing Acknowledgements Seeking Access to </w:t>
      </w:r>
    </w:p>
    <w:p w:rsidR="00F9117F" w:rsidRPr="00F9117F" w:rsidP="00F9117F">
      <w:pPr>
        <w:widowControl/>
        <w:jc w:val="center"/>
        <w:rPr>
          <w:b/>
          <w:kern w:val="0"/>
        </w:rPr>
      </w:pPr>
      <w:r w:rsidRPr="00F9117F">
        <w:rPr>
          <w:b/>
          <w:kern w:val="0"/>
        </w:rPr>
        <w:t>Confidential and/or Highly Confidential Information</w:t>
      </w:r>
    </w:p>
    <w:p w:rsidR="00F9117F" w:rsidRPr="00F9117F" w:rsidP="00F9117F">
      <w:pPr>
        <w:spacing w:before="120" w:after="240"/>
        <w:jc w:val="center"/>
        <w:rPr>
          <w:b/>
          <w:i/>
        </w:rPr>
      </w:pPr>
      <w:r w:rsidRPr="00F9117F">
        <w:rPr>
          <w:b/>
          <w:i/>
        </w:rPr>
        <w:t xml:space="preserve">(As of </w:t>
      </w:r>
      <w:r w:rsidR="00493F68">
        <w:rPr>
          <w:b/>
          <w:i/>
        </w:rPr>
        <w:t>December 3</w:t>
      </w:r>
      <w:r w:rsidRPr="00F9117F">
        <w:rPr>
          <w:b/>
          <w:i/>
        </w:rPr>
        <w:t>1, 2018)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138"/>
        <w:gridCol w:w="5087"/>
        <w:gridCol w:w="521"/>
        <w:gridCol w:w="496"/>
      </w:tblGrid>
      <w:tr w:rsidTr="003731C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1970"/>
          <w:tblHeader/>
        </w:trPr>
        <w:tc>
          <w:tcPr>
            <w:tcW w:w="3168" w:type="dxa"/>
            <w:tcBorders>
              <w:top w:val="double" w:sz="6" w:space="0" w:color="auto"/>
              <w:bottom w:val="double" w:sz="6" w:space="0" w:color="auto"/>
            </w:tcBorders>
            <w:shd w:val="pct12" w:color="auto" w:fill="auto"/>
            <w:vAlign w:val="center"/>
          </w:tcPr>
          <w:p w:rsidR="00F9117F" w:rsidRPr="00F9117F" w:rsidP="00F9117F">
            <w:pPr>
              <w:widowControl/>
              <w:spacing w:before="2"/>
              <w:contextualSpacing/>
              <w:rPr>
                <w:b/>
                <w:snapToGrid/>
                <w:kern w:val="0"/>
                <w:szCs w:val="22"/>
              </w:rPr>
            </w:pPr>
            <w:r w:rsidRPr="00F9117F">
              <w:rPr>
                <w:b/>
                <w:snapToGrid/>
                <w:kern w:val="0"/>
                <w:szCs w:val="22"/>
              </w:rPr>
              <w:t xml:space="preserve">Party Filing </w:t>
            </w:r>
          </w:p>
          <w:p w:rsidR="00F9117F" w:rsidRPr="00F9117F" w:rsidP="00F9117F">
            <w:pPr>
              <w:widowControl/>
              <w:spacing w:before="2"/>
              <w:contextualSpacing/>
              <w:rPr>
                <w:b/>
                <w:snapToGrid/>
                <w:kern w:val="0"/>
                <w:szCs w:val="22"/>
              </w:rPr>
            </w:pPr>
            <w:r w:rsidRPr="00F9117F">
              <w:rPr>
                <w:b/>
                <w:snapToGrid/>
                <w:kern w:val="0"/>
                <w:szCs w:val="22"/>
              </w:rPr>
              <w:t>Acknowledgement</w:t>
            </w:r>
          </w:p>
          <w:p w:rsidR="00F9117F" w:rsidRPr="00F9117F" w:rsidP="00F9117F">
            <w:pPr>
              <w:widowControl/>
              <w:spacing w:before="2"/>
              <w:contextualSpacing/>
              <w:rPr>
                <w:b/>
                <w:snapToGrid/>
                <w:kern w:val="0"/>
                <w:szCs w:val="22"/>
              </w:rPr>
            </w:pPr>
            <w:r w:rsidRPr="00F9117F">
              <w:rPr>
                <w:b/>
                <w:snapToGrid/>
                <w:kern w:val="0"/>
                <w:szCs w:val="22"/>
              </w:rPr>
              <w:t xml:space="preserve">Date(s) Filed </w:t>
            </w:r>
          </w:p>
        </w:tc>
        <w:tc>
          <w:tcPr>
            <w:tcW w:w="5182" w:type="dxa"/>
            <w:tcBorders>
              <w:top w:val="double" w:sz="6" w:space="0" w:color="auto"/>
              <w:bottom w:val="double" w:sz="6" w:space="0" w:color="auto"/>
            </w:tcBorders>
            <w:shd w:val="pct12" w:color="auto" w:fill="auto"/>
            <w:vAlign w:val="center"/>
          </w:tcPr>
          <w:p w:rsidR="00F9117F" w:rsidRPr="00F9117F" w:rsidP="00F9117F">
            <w:pPr>
              <w:widowControl/>
              <w:spacing w:before="2"/>
              <w:contextualSpacing/>
              <w:rPr>
                <w:b/>
                <w:snapToGrid/>
                <w:kern w:val="0"/>
                <w:szCs w:val="22"/>
              </w:rPr>
            </w:pPr>
            <w:r w:rsidRPr="00F9117F">
              <w:rPr>
                <w:b/>
                <w:snapToGrid/>
                <w:kern w:val="0"/>
                <w:szCs w:val="22"/>
              </w:rPr>
              <w:t xml:space="preserve">Name, </w:t>
            </w:r>
          </w:p>
          <w:p w:rsidR="00F9117F" w:rsidRPr="00F9117F" w:rsidP="00F9117F">
            <w:pPr>
              <w:widowControl/>
              <w:spacing w:before="2"/>
              <w:contextualSpacing/>
              <w:rPr>
                <w:b/>
                <w:snapToGrid/>
                <w:kern w:val="0"/>
                <w:szCs w:val="22"/>
              </w:rPr>
            </w:pPr>
            <w:r w:rsidRPr="00F9117F">
              <w:rPr>
                <w:b/>
                <w:snapToGrid/>
                <w:kern w:val="0"/>
                <w:szCs w:val="22"/>
              </w:rPr>
              <w:t>Position, Firm</w:t>
            </w:r>
          </w:p>
        </w:tc>
        <w:tc>
          <w:tcPr>
            <w:tcW w:w="522" w:type="dxa"/>
            <w:tcBorders>
              <w:top w:val="double" w:sz="6" w:space="0" w:color="auto"/>
              <w:bottom w:val="double" w:sz="6" w:space="0" w:color="auto"/>
            </w:tcBorders>
            <w:shd w:val="pct12" w:color="auto" w:fill="auto"/>
            <w:textDirection w:val="btLr"/>
            <w:vAlign w:val="center"/>
          </w:tcPr>
          <w:p w:rsidR="00F9117F" w:rsidRPr="00F9117F" w:rsidP="00F9117F">
            <w:pPr>
              <w:widowControl/>
              <w:spacing w:before="2"/>
              <w:contextualSpacing/>
              <w:rPr>
                <w:b/>
                <w:snapToGrid/>
                <w:kern w:val="0"/>
                <w:szCs w:val="22"/>
              </w:rPr>
            </w:pPr>
            <w:r w:rsidRPr="00F9117F">
              <w:rPr>
                <w:b/>
                <w:bCs/>
                <w:snapToGrid/>
                <w:color w:val="000000"/>
                <w:kern w:val="0"/>
                <w:szCs w:val="22"/>
              </w:rPr>
              <w:t>Highly Confidential</w:t>
            </w:r>
          </w:p>
        </w:tc>
        <w:tc>
          <w:tcPr>
            <w:tcW w:w="491" w:type="dxa"/>
            <w:tcBorders>
              <w:top w:val="double" w:sz="6" w:space="0" w:color="auto"/>
              <w:bottom w:val="double" w:sz="6" w:space="0" w:color="auto"/>
            </w:tcBorders>
            <w:shd w:val="pct12" w:color="auto" w:fill="auto"/>
            <w:textDirection w:val="btLr"/>
            <w:vAlign w:val="center"/>
          </w:tcPr>
          <w:p w:rsidR="00F9117F" w:rsidRPr="00F9117F" w:rsidP="00F9117F">
            <w:pPr>
              <w:widowControl/>
              <w:spacing w:before="2"/>
              <w:contextualSpacing/>
              <w:rPr>
                <w:b/>
                <w:snapToGrid/>
                <w:kern w:val="0"/>
                <w:szCs w:val="22"/>
              </w:rPr>
            </w:pPr>
            <w:r w:rsidRPr="00F9117F">
              <w:rPr>
                <w:b/>
                <w:bCs/>
                <w:snapToGrid/>
                <w:color w:val="000000"/>
                <w:kern w:val="0"/>
                <w:szCs w:val="22"/>
              </w:rPr>
              <w:t>Confidential</w:t>
            </w:r>
          </w:p>
        </w:tc>
      </w:tr>
      <w:tr w:rsidTr="003731C1">
        <w:tblPrEx>
          <w:tblW w:w="0" w:type="auto"/>
          <w:tblInd w:w="108" w:type="dxa"/>
          <w:tblCellMar>
            <w:left w:w="115" w:type="dxa"/>
            <w:right w:w="115" w:type="dxa"/>
          </w:tblCellMar>
          <w:tblLook w:val="04A0"/>
        </w:tblPrEx>
        <w:trPr>
          <w:trHeight w:val="2090"/>
        </w:trPr>
        <w:tc>
          <w:tcPr>
            <w:tcW w:w="3168" w:type="dxa"/>
            <w:tcBorders>
              <w:top w:val="single" w:sz="4" w:space="0" w:color="auto"/>
              <w:bottom w:val="single" w:sz="4" w:space="0" w:color="auto"/>
            </w:tcBorders>
            <w:shd w:val="clear" w:color="auto" w:fill="auto"/>
            <w:vAlign w:val="center"/>
          </w:tcPr>
          <w:p w:rsidR="00F9117F" w:rsidP="00F9117F">
            <w:pPr>
              <w:widowControl/>
              <w:rPr>
                <w:snapToGrid/>
                <w:kern w:val="0"/>
              </w:rPr>
            </w:pPr>
            <w:r w:rsidRPr="00F9117F">
              <w:rPr>
                <w:snapToGrid/>
                <w:kern w:val="0"/>
              </w:rPr>
              <w:t>John T. Nakahata</w:t>
            </w:r>
          </w:p>
          <w:p w:rsidR="00D63BB4" w:rsidP="00F9117F">
            <w:pPr>
              <w:widowControl/>
              <w:rPr>
                <w:snapToGrid/>
                <w:kern w:val="0"/>
              </w:rPr>
            </w:pPr>
            <w:r w:rsidRPr="00F9117F">
              <w:rPr>
                <w:snapToGrid/>
                <w:kern w:val="0"/>
              </w:rPr>
              <w:t>Harris, Wiltshire &amp; Grannis LLP</w:t>
            </w:r>
          </w:p>
          <w:p w:rsidR="00F9117F" w:rsidRPr="00F9117F" w:rsidP="00F9117F">
            <w:pPr>
              <w:widowControl/>
              <w:rPr>
                <w:snapToGrid/>
                <w:kern w:val="0"/>
                <w:szCs w:val="22"/>
              </w:rPr>
            </w:pPr>
            <w:r w:rsidRPr="00D63BB4">
              <w:rPr>
                <w:snapToGrid/>
                <w:kern w:val="0"/>
              </w:rPr>
              <w:t>(Outside Counsel for INCOMPAS)</w:t>
            </w:r>
          </w:p>
          <w:p w:rsidR="00F9117F" w:rsidRPr="00F9117F" w:rsidP="00F9117F">
            <w:pPr>
              <w:widowControl/>
              <w:rPr>
                <w:snapToGrid/>
                <w:kern w:val="0"/>
              </w:rPr>
            </w:pPr>
            <w:r>
              <w:rPr>
                <w:snapToGrid/>
                <w:kern w:val="0"/>
                <w:szCs w:val="22"/>
              </w:rPr>
              <w:t>12/28</w:t>
            </w:r>
            <w:r w:rsidRPr="00F9117F">
              <w:rPr>
                <w:snapToGrid/>
                <w:kern w:val="0"/>
                <w:szCs w:val="22"/>
              </w:rPr>
              <w:t>/18</w:t>
            </w:r>
          </w:p>
        </w:tc>
        <w:tc>
          <w:tcPr>
            <w:tcW w:w="5182" w:type="dxa"/>
            <w:tcBorders>
              <w:top w:val="single" w:sz="4" w:space="0" w:color="auto"/>
            </w:tcBorders>
            <w:shd w:val="clear" w:color="auto" w:fill="auto"/>
            <w:vAlign w:val="center"/>
          </w:tcPr>
          <w:p w:rsidR="00F9117F" w:rsidP="00F9117F">
            <w:pPr>
              <w:widowControl/>
              <w:spacing w:before="2"/>
              <w:rPr>
                <w:snapToGrid/>
                <w:kern w:val="0"/>
                <w:szCs w:val="22"/>
              </w:rPr>
            </w:pPr>
            <w:r w:rsidRPr="00F9117F">
              <w:rPr>
                <w:snapToGrid/>
                <w:kern w:val="0"/>
                <w:szCs w:val="22"/>
              </w:rPr>
              <w:t>Mengyu</w:t>
            </w:r>
            <w:r w:rsidRPr="00F9117F">
              <w:rPr>
                <w:snapToGrid/>
                <w:kern w:val="0"/>
                <w:szCs w:val="22"/>
              </w:rPr>
              <w:t xml:space="preserve"> Huang </w:t>
            </w:r>
          </w:p>
          <w:p w:rsidR="00F9117F" w:rsidP="00F9117F">
            <w:pPr>
              <w:widowControl/>
              <w:spacing w:before="2"/>
              <w:rPr>
                <w:snapToGrid/>
                <w:kern w:val="0"/>
                <w:szCs w:val="22"/>
              </w:rPr>
            </w:pPr>
            <w:r>
              <w:rPr>
                <w:snapToGrid/>
                <w:kern w:val="0"/>
                <w:szCs w:val="22"/>
              </w:rPr>
              <w:t>Associate</w:t>
            </w:r>
          </w:p>
          <w:p w:rsidR="00F9117F" w:rsidRPr="00F9117F" w:rsidP="00F9117F">
            <w:pPr>
              <w:widowControl/>
              <w:spacing w:before="2"/>
              <w:rPr>
                <w:snapToGrid/>
                <w:kern w:val="0"/>
                <w:szCs w:val="22"/>
              </w:rPr>
            </w:pPr>
            <w:r w:rsidRPr="00F9117F">
              <w:rPr>
                <w:snapToGrid/>
                <w:kern w:val="0"/>
                <w:szCs w:val="22"/>
              </w:rPr>
              <w:t>Harris, Wiltshire &amp; Grannis LLP</w:t>
            </w:r>
          </w:p>
          <w:p w:rsidR="00F9117F" w:rsidRPr="00F9117F" w:rsidP="00F9117F">
            <w:pPr>
              <w:widowControl/>
              <w:spacing w:before="2"/>
              <w:rPr>
                <w:snapToGrid/>
                <w:kern w:val="0"/>
                <w:szCs w:val="22"/>
              </w:rPr>
            </w:pPr>
            <w:r w:rsidRPr="00F9117F">
              <w:rPr>
                <w:snapToGrid/>
                <w:kern w:val="0"/>
              </w:rPr>
              <w:t>(</w:t>
            </w:r>
            <w:r>
              <w:rPr>
                <w:snapToGrid/>
                <w:kern w:val="0"/>
              </w:rPr>
              <w:t>Outside Counsel for INCOMPAS</w:t>
            </w:r>
            <w:r w:rsidRPr="00F9117F">
              <w:rPr>
                <w:snapToGrid/>
                <w:kern w:val="0"/>
              </w:rPr>
              <w:t>)</w:t>
            </w:r>
          </w:p>
        </w:tc>
        <w:tc>
          <w:tcPr>
            <w:tcW w:w="522" w:type="dxa"/>
            <w:shd w:val="clear" w:color="auto" w:fill="auto"/>
            <w:vAlign w:val="center"/>
          </w:tcPr>
          <w:p w:rsidR="00F9117F" w:rsidRPr="00F9117F" w:rsidP="00F9117F">
            <w:pPr>
              <w:widowControl/>
              <w:spacing w:before="2"/>
              <w:jc w:val="center"/>
              <w:rPr>
                <w:snapToGrid/>
                <w:kern w:val="0"/>
                <w:szCs w:val="22"/>
              </w:rPr>
            </w:pPr>
            <w:r w:rsidRPr="00F9117F">
              <w:rPr>
                <w:snapToGrid/>
                <w:kern w:val="0"/>
                <w:szCs w:val="22"/>
              </w:rPr>
              <w:t>X</w:t>
            </w:r>
          </w:p>
        </w:tc>
        <w:tc>
          <w:tcPr>
            <w:tcW w:w="491" w:type="dxa"/>
            <w:shd w:val="clear" w:color="auto" w:fill="auto"/>
            <w:vAlign w:val="center"/>
          </w:tcPr>
          <w:p w:rsidR="00F9117F" w:rsidRPr="00F9117F" w:rsidP="00F9117F">
            <w:pPr>
              <w:widowControl/>
              <w:spacing w:before="2"/>
              <w:contextualSpacing/>
              <w:jc w:val="center"/>
              <w:rPr>
                <w:snapToGrid/>
                <w:kern w:val="0"/>
                <w:szCs w:val="22"/>
              </w:rPr>
            </w:pPr>
            <w:r w:rsidRPr="00F9117F">
              <w:rPr>
                <w:snapToGrid/>
                <w:kern w:val="0"/>
                <w:szCs w:val="22"/>
              </w:rPr>
              <w:t>X</w:t>
            </w:r>
          </w:p>
        </w:tc>
      </w:tr>
    </w:tbl>
    <w:p w:rsidR="00F9117F" w:rsidRPr="00F9117F" w:rsidP="00F9117F">
      <w:pPr>
        <w:widowControl/>
        <w:rPr>
          <w:snapToGrid/>
          <w:kern w:val="0"/>
        </w:rPr>
      </w:pPr>
    </w:p>
    <w:p w:rsidR="00F9117F" w:rsidRPr="00F9117F" w:rsidP="00F9117F">
      <w:pPr>
        <w:rPr>
          <w:sz w:val="24"/>
        </w:rPr>
      </w:pPr>
    </w:p>
    <w:p w:rsidR="00F9117F" w:rsidRPr="00F9117F" w:rsidP="00F9117F">
      <w:pPr>
        <w:rPr>
          <w:sz w:val="24"/>
        </w:rPr>
      </w:pPr>
    </w:p>
    <w:p w:rsidR="00F96F63" w:rsidP="00F96F63">
      <w:pPr>
        <w:rPr>
          <w:sz w:val="24"/>
        </w:rPr>
      </w:pPr>
    </w:p>
    <w:p w:rsidR="00930ECF" w:rsidRPr="00930ECF"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2FF8">
      <w:r>
        <w:separator/>
      </w:r>
    </w:p>
  </w:footnote>
  <w:footnote w:type="continuationSeparator" w:id="1">
    <w:p w:rsidR="00402FF8">
      <w:pPr>
        <w:rPr>
          <w:sz w:val="20"/>
        </w:rPr>
      </w:pPr>
      <w:r>
        <w:rPr>
          <w:sz w:val="20"/>
        </w:rPr>
        <w:t xml:space="preserve">(Continued from previous page)  </w:t>
      </w:r>
      <w:r>
        <w:rPr>
          <w:sz w:val="20"/>
        </w:rPr>
        <w:separator/>
      </w:r>
    </w:p>
  </w:footnote>
  <w:footnote w:type="continuationNotice" w:id="2">
    <w:p w:rsidR="00402FF8" w:rsidRPr="001827CC" w:rsidP="001827CC">
      <w:pPr>
        <w:pStyle w:val="Footer"/>
      </w:pPr>
    </w:p>
  </w:footnote>
  <w:footnote w:id="3">
    <w:p w:rsidR="00F9117F" w:rsidRPr="00870745" w:rsidP="00F9117F">
      <w:pPr>
        <w:pStyle w:val="FootnoteText"/>
      </w:pPr>
      <w:r w:rsidRPr="00870745">
        <w:rPr>
          <w:rStyle w:val="FootnoteReference"/>
          <w:sz w:val="20"/>
        </w:rPr>
        <w:footnoteRef/>
      </w:r>
      <w:r w:rsidRPr="00870745">
        <w:t xml:space="preserve"> </w:t>
      </w:r>
      <w:r w:rsidRPr="00870745">
        <w:rPr>
          <w:i/>
        </w:rPr>
        <w:t>See Business Data Services et al</w:t>
      </w:r>
      <w:r w:rsidRPr="00870745">
        <w:t xml:space="preserve">., WC Docket No. 16-143 et al., Tariff Investigation Order and Further Notice of Proposed Rulemaking, 31 FCC Rcd 4723, 4737-43, paras. 29-37, 39-43 (2016), </w:t>
      </w:r>
      <w:r w:rsidRPr="00870745">
        <w:rPr>
          <w:i/>
        </w:rPr>
        <w:t>agency’s request for voluntary remand granted sub nom</w:t>
      </w:r>
      <w:r w:rsidRPr="00870745">
        <w:t>.,</w:t>
      </w:r>
      <w:r w:rsidRPr="00870745">
        <w:rPr>
          <w:i/>
        </w:rPr>
        <w:t xml:space="preserve"> AT&amp;T, Inc., et al. v. FCC</w:t>
      </w:r>
      <w:r w:rsidRPr="00870745">
        <w:t>, Nos. 16-1145, 16-1166, 16-1177 (D.C. Cir. Aug. 29, 2017) (in-depth discussion on the 2015 data collection).</w:t>
      </w:r>
    </w:p>
  </w:footnote>
  <w:footnote w:id="4">
    <w:p w:rsidR="00F9117F" w:rsidRPr="00870745" w:rsidP="00F9117F">
      <w:pPr>
        <w:pStyle w:val="FootnoteText"/>
      </w:pPr>
      <w:r w:rsidRPr="00870745">
        <w:rPr>
          <w:rStyle w:val="FootnoteReference"/>
          <w:sz w:val="20"/>
        </w:rPr>
        <w:footnoteRef/>
      </w:r>
      <w:r w:rsidRPr="00870745">
        <w:t xml:space="preserve"> </w:t>
      </w:r>
      <w:r w:rsidRPr="00870745">
        <w:rPr>
          <w:i/>
        </w:rPr>
        <w:t>Wireline Competition Bureau Announces Comment Deadlines on Second Further Notice and Further Notice in the Business Data Services Proceedings and Reopening of Secure Data Enclave</w:t>
      </w:r>
      <w:r w:rsidRPr="00870745">
        <w:t>, WC Docket Nos. 17-144, 16-143, 05-25, RM-10593, Public Notice, DA 18-1212 (WCB Nov. 29, 2018)</w:t>
      </w:r>
      <w:r>
        <w:t xml:space="preserve"> (</w:t>
      </w:r>
      <w:r w:rsidRPr="00EA3CCD">
        <w:rPr>
          <w:i/>
        </w:rPr>
        <w:t>Public Notice</w:t>
      </w:r>
      <w:r>
        <w:t>).</w:t>
      </w:r>
    </w:p>
  </w:footnote>
  <w:footnote w:id="5">
    <w:p w:rsidR="00F9117F" w:rsidRPr="00870745" w:rsidP="00F9117F">
      <w:pPr>
        <w:pStyle w:val="FootnoteText"/>
      </w:pPr>
      <w:r w:rsidRPr="00870745">
        <w:rPr>
          <w:rStyle w:val="FootnoteReference"/>
          <w:sz w:val="20"/>
        </w:rPr>
        <w:footnoteRef/>
      </w:r>
      <w:r w:rsidRPr="00870745">
        <w:t xml:space="preserve"> </w:t>
      </w:r>
      <w:r w:rsidRPr="00870745">
        <w:rPr>
          <w:i/>
        </w:rPr>
        <w:t>See</w:t>
      </w:r>
      <w:r w:rsidRPr="00870745">
        <w:t xml:space="preserve"> </w:t>
      </w:r>
      <w:r w:rsidRPr="00870745">
        <w:rPr>
          <w:i/>
        </w:rPr>
        <w:t>Wireline Competition Bureau Now Receiving Acknowledgements of Confidentiality Pursuant to Special Access Data Collection Protective Order</w:t>
      </w:r>
      <w:r w:rsidRPr="00870745">
        <w:t>, WC Docket No. 05-25, RM-10593, Public Notice, 30 FCC Rcd 6421 (WCB 2015)</w:t>
      </w:r>
      <w:r>
        <w:t>.</w:t>
      </w:r>
    </w:p>
  </w:footnote>
  <w:footnote w:id="6">
    <w:p w:rsidR="00F9117F" w:rsidRPr="00870745" w:rsidP="00F9117F">
      <w:pPr>
        <w:pStyle w:val="FootnoteText"/>
      </w:pPr>
      <w:r w:rsidRPr="00870745">
        <w:rPr>
          <w:rStyle w:val="FootnoteReference"/>
          <w:sz w:val="20"/>
        </w:rPr>
        <w:footnoteRef/>
      </w:r>
      <w:r w:rsidRPr="00870745">
        <w:t xml:space="preserve"> By the terms of the </w:t>
      </w:r>
      <w:r>
        <w:rPr>
          <w:i/>
        </w:rPr>
        <w:t>Data Collection P</w:t>
      </w:r>
      <w:r w:rsidRPr="00870745">
        <w:rPr>
          <w:i/>
        </w:rPr>
        <w:t>rotective Order</w:t>
      </w:r>
      <w:r w:rsidRPr="00870745">
        <w:t xml:space="preserve">, Reviewing Parties assist Participants, which “means any person or entity that has filed, or has a good faith intention to file, material comments in this proceeding.”  </w:t>
      </w:r>
      <w:r w:rsidRPr="00870745">
        <w:rPr>
          <w:i/>
        </w:rPr>
        <w:t xml:space="preserve">See </w:t>
      </w:r>
      <w:r w:rsidRPr="00BB00AF">
        <w:rPr>
          <w:i/>
        </w:rPr>
        <w:t>Special Access for Price Cap Local Exchange Carriers et al.</w:t>
      </w:r>
      <w:r w:rsidRPr="00BB00AF">
        <w:t xml:space="preserve">, WC Docket No. 05-25, RM-10593, Order and Data Collection Protective Order, 29 FCC Rcd 11657, </w:t>
      </w:r>
      <w:r w:rsidRPr="00870745">
        <w:t>11671,</w:t>
      </w:r>
      <w:r>
        <w:t xml:space="preserve"> 11676,</w:t>
      </w:r>
      <w:r w:rsidRPr="00870745">
        <w:t xml:space="preserve"> Appx. A at para</w:t>
      </w:r>
      <w:r>
        <w:t>s</w:t>
      </w:r>
      <w:r w:rsidRPr="00870745">
        <w:t xml:space="preserve">. 1, </w:t>
      </w:r>
      <w:r>
        <w:t>8 (WCB 2014) (</w:t>
      </w:r>
      <w:r w:rsidRPr="000332C9">
        <w:rPr>
          <w:i/>
        </w:rPr>
        <w:t xml:space="preserve">Data Collection </w:t>
      </w:r>
      <w:r w:rsidRPr="001F1DF1">
        <w:rPr>
          <w:i/>
        </w:rPr>
        <w:t>Protective Order</w:t>
      </w:r>
      <w:r>
        <w:t>)</w:t>
      </w:r>
      <w:r w:rsidRPr="00870745">
        <w:t xml:space="preserve"> (defining Participant and discussing restrictions on use).</w:t>
      </w:r>
    </w:p>
  </w:footnote>
  <w:footnote w:id="7">
    <w:p w:rsidR="00F9117F" w:rsidRPr="00870745" w:rsidP="00F9117F">
      <w:pPr>
        <w:pStyle w:val="FootnoteText"/>
      </w:pPr>
      <w:r w:rsidRPr="00870745">
        <w:rPr>
          <w:rStyle w:val="FootnoteReference"/>
          <w:sz w:val="20"/>
        </w:rPr>
        <w:footnoteRef/>
      </w:r>
      <w:r w:rsidRPr="00870745">
        <w:t xml:space="preserve"> </w:t>
      </w:r>
      <w:r w:rsidRPr="00870745">
        <w:rPr>
          <w:i/>
        </w:rPr>
        <w:t xml:space="preserve">See </w:t>
      </w:r>
      <w:r>
        <w:rPr>
          <w:i/>
        </w:rPr>
        <w:t xml:space="preserve">Data Collection </w:t>
      </w:r>
      <w:r w:rsidRPr="00870745">
        <w:rPr>
          <w:i/>
        </w:rPr>
        <w:t>Protective Order</w:t>
      </w:r>
      <w:r w:rsidRPr="00870745">
        <w:t>, 29 FCC Rcd at 11673, Appx. A at para. 5.</w:t>
      </w:r>
    </w:p>
  </w:footnote>
  <w:footnote w:id="8">
    <w:p w:rsidR="00F9117F" w:rsidRPr="00870745" w:rsidP="00F9117F">
      <w:pPr>
        <w:pStyle w:val="FootnoteText"/>
      </w:pPr>
      <w:r w:rsidRPr="00870745">
        <w:rPr>
          <w:rStyle w:val="FootnoteReference"/>
          <w:sz w:val="20"/>
        </w:rPr>
        <w:footnoteRef/>
      </w:r>
      <w:r w:rsidRPr="00870745">
        <w:t xml:space="preserve"> </w:t>
      </w:r>
      <w:r w:rsidRPr="00870745">
        <w:rPr>
          <w:i/>
        </w:rPr>
        <w:t>See</w:t>
      </w:r>
      <w:r>
        <w:rPr>
          <w:i/>
        </w:rPr>
        <w:t xml:space="preserve"> id</w:t>
      </w:r>
      <w:r w:rsidRPr="00870745">
        <w:t xml:space="preserve">.  </w:t>
      </w:r>
    </w:p>
  </w:footnote>
  <w:footnote w:id="9">
    <w:p w:rsidR="00F9117F" w:rsidRPr="00870745" w:rsidP="00F9117F">
      <w:pPr>
        <w:pStyle w:val="FootnoteText"/>
      </w:pPr>
      <w:r w:rsidRPr="00870745">
        <w:rPr>
          <w:rStyle w:val="FootnoteReference"/>
          <w:sz w:val="20"/>
        </w:rPr>
        <w:footnoteRef/>
      </w:r>
      <w:r w:rsidRPr="00870745">
        <w:t xml:space="preserve"> We will not allow access to data covered by the scope of an objection until the </w:t>
      </w:r>
      <w:r w:rsidRPr="00870745">
        <w:t>ten business</w:t>
      </w:r>
      <w:r w:rsidRPr="00870745">
        <w:t xml:space="preserve"> day window for filing challenges to a ruling on the objection has expired without the filing of a challenge.  </w:t>
      </w:r>
      <w:r w:rsidRPr="00870745">
        <w:rPr>
          <w:i/>
        </w:rPr>
        <w:t>See Applications of Charter Communications, Inc., Time Warner Cable Inc., and Advance/Newhouse Partnership for Consent to Assign or Transfer Control of Licenses and Authorizations</w:t>
      </w:r>
      <w:r w:rsidRPr="00870745">
        <w:t>, MB Docket No. 15-149, Order, 30 FCC Rcd 10360, 10374, para. 26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827CC">
      <w:rPr>
        <w:b/>
      </w:rPr>
      <w:t>DA 18-1311</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0628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7F"/>
    <w:rsid w:val="000072CE"/>
    <w:rsid w:val="00013A8B"/>
    <w:rsid w:val="00021445"/>
    <w:rsid w:val="000332C9"/>
    <w:rsid w:val="00036039"/>
    <w:rsid w:val="00037F90"/>
    <w:rsid w:val="000875BF"/>
    <w:rsid w:val="00096D8C"/>
    <w:rsid w:val="000C0B65"/>
    <w:rsid w:val="000E3D42"/>
    <w:rsid w:val="000E5884"/>
    <w:rsid w:val="00122BD5"/>
    <w:rsid w:val="001827CC"/>
    <w:rsid w:val="001979D9"/>
    <w:rsid w:val="001D6BCF"/>
    <w:rsid w:val="001E01CA"/>
    <w:rsid w:val="001F1DF1"/>
    <w:rsid w:val="002060D9"/>
    <w:rsid w:val="00226822"/>
    <w:rsid w:val="00260594"/>
    <w:rsid w:val="00285017"/>
    <w:rsid w:val="002A2D2E"/>
    <w:rsid w:val="00343749"/>
    <w:rsid w:val="00357D50"/>
    <w:rsid w:val="003925DC"/>
    <w:rsid w:val="003B0550"/>
    <w:rsid w:val="003B694F"/>
    <w:rsid w:val="003F171C"/>
    <w:rsid w:val="00402FF8"/>
    <w:rsid w:val="00412FC5"/>
    <w:rsid w:val="00422276"/>
    <w:rsid w:val="004242F1"/>
    <w:rsid w:val="00445A00"/>
    <w:rsid w:val="00451B0F"/>
    <w:rsid w:val="0046125F"/>
    <w:rsid w:val="00487524"/>
    <w:rsid w:val="00493F68"/>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70745"/>
    <w:rsid w:val="008C22FD"/>
    <w:rsid w:val="00910F12"/>
    <w:rsid w:val="00926503"/>
    <w:rsid w:val="00930ECF"/>
    <w:rsid w:val="009838BC"/>
    <w:rsid w:val="00A45F4F"/>
    <w:rsid w:val="00A600A9"/>
    <w:rsid w:val="00A82139"/>
    <w:rsid w:val="00A866AC"/>
    <w:rsid w:val="00AA55B7"/>
    <w:rsid w:val="00AA5B9E"/>
    <w:rsid w:val="00AB2407"/>
    <w:rsid w:val="00AB53DF"/>
    <w:rsid w:val="00B07E5C"/>
    <w:rsid w:val="00B20363"/>
    <w:rsid w:val="00B326E3"/>
    <w:rsid w:val="00B811F7"/>
    <w:rsid w:val="00BA5DC6"/>
    <w:rsid w:val="00BA6196"/>
    <w:rsid w:val="00BB00AF"/>
    <w:rsid w:val="00BC6D8C"/>
    <w:rsid w:val="00C16AF2"/>
    <w:rsid w:val="00C34006"/>
    <w:rsid w:val="00C426B1"/>
    <w:rsid w:val="00C82B65"/>
    <w:rsid w:val="00C82B6B"/>
    <w:rsid w:val="00C90D6A"/>
    <w:rsid w:val="00CC72B6"/>
    <w:rsid w:val="00D00A49"/>
    <w:rsid w:val="00D0218D"/>
    <w:rsid w:val="00D216CD"/>
    <w:rsid w:val="00D63BB4"/>
    <w:rsid w:val="00DA2529"/>
    <w:rsid w:val="00DB130A"/>
    <w:rsid w:val="00DC10A1"/>
    <w:rsid w:val="00DC655F"/>
    <w:rsid w:val="00DD7EBD"/>
    <w:rsid w:val="00DF62B6"/>
    <w:rsid w:val="00E07225"/>
    <w:rsid w:val="00E155B7"/>
    <w:rsid w:val="00E5409F"/>
    <w:rsid w:val="00EA3CCD"/>
    <w:rsid w:val="00EC0185"/>
    <w:rsid w:val="00F021FA"/>
    <w:rsid w:val="00F57ACA"/>
    <w:rsid w:val="00F62E97"/>
    <w:rsid w:val="00F64209"/>
    <w:rsid w:val="00F9117F"/>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3EB60D5-477D-4540-B394-2C2E1F7A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pecialAccess@fcc.gov" TargetMode="External" /><Relationship Id="rId6" Type="http://schemas.openxmlformats.org/officeDocument/2006/relationships/hyperlink" Target="https://www.fcc.gov/ecfs/" TargetMode="External" /><Relationship Id="rId7" Type="http://schemas.openxmlformats.org/officeDocument/2006/relationships/hyperlink" Target="mailto:fcc504@fcc.gov" TargetMode="External" /><Relationship Id="rId8" Type="http://schemas.openxmlformats.org/officeDocument/2006/relationships/hyperlink" Target="mailto:Christopher.Koves@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