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P="007E35D7" w14:paraId="2B8D34D8" w14:textId="77777777">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7E35D7" w14:paraId="63311D81" w14:textId="77777777">
      <w:pPr>
        <w:pStyle w:val="StyleBoldCentered"/>
        <w:widowControl/>
      </w:pPr>
      <w:r>
        <w:t>F</w:t>
      </w:r>
      <w:r>
        <w:rPr>
          <w:caps w:val="0"/>
        </w:rPr>
        <w:t>ederal Communications Commission</w:t>
      </w:r>
    </w:p>
    <w:p w:rsidR="004C2EE3" w:rsidP="007E35D7" w14:paraId="6E45D24D" w14:textId="77777777">
      <w:pPr>
        <w:pStyle w:val="StyleBoldCentered"/>
        <w:widowControl/>
      </w:pPr>
      <w:r>
        <w:rPr>
          <w:caps w:val="0"/>
        </w:rPr>
        <w:t>Washington, D.C. 20554</w:t>
      </w:r>
    </w:p>
    <w:p w:rsidR="004C2EE3" w:rsidP="007E35D7" w14:paraId="07A1B828" w14:textId="77777777">
      <w:pPr>
        <w:widowControl/>
      </w:pPr>
    </w:p>
    <w:p w:rsidR="004C2EE3" w:rsidP="007E35D7" w14:paraId="62228476" w14:textId="77777777">
      <w:pPr>
        <w:widowControl/>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49FA6ED1" w14:textId="77777777">
        <w:tblPrEx>
          <w:tblW w:w="0" w:type="auto"/>
          <w:tblInd w:w="0" w:type="dxa"/>
          <w:tblLayout w:type="fixed"/>
          <w:tblCellMar>
            <w:top w:w="0" w:type="dxa"/>
            <w:left w:w="108" w:type="dxa"/>
            <w:bottom w:w="0" w:type="dxa"/>
            <w:right w:w="108" w:type="dxa"/>
          </w:tblCellMar>
          <w:tblLook w:val="0000"/>
        </w:tblPrEx>
        <w:tc>
          <w:tcPr>
            <w:tcW w:w="4698" w:type="dxa"/>
          </w:tcPr>
          <w:p w:rsidR="004C2EE3" w:rsidP="007E35D7" w14:paraId="614089F8"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4C2EE3" w:rsidP="007E35D7" w14:paraId="03F9C68A" w14:textId="77777777">
            <w:pPr>
              <w:widowControl/>
              <w:tabs>
                <w:tab w:val="center" w:pos="4680"/>
              </w:tabs>
              <w:suppressAutoHyphens/>
              <w:rPr>
                <w:rStyle w:val="DefaultParagraphFont"/>
                <w:snapToGrid w:val="0"/>
                <w:spacing w:val="-2"/>
                <w:kern w:val="28"/>
                <w:sz w:val="22"/>
                <w:lang w:val="en-US" w:eastAsia="en-US" w:bidi="ar-SA"/>
              </w:rPr>
            </w:pPr>
          </w:p>
          <w:p w:rsidR="004C2EE3" w:rsidP="007E35D7" w14:paraId="20424EA3"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Improving Public Safety Communications in the 800 Megahertz Band</w:t>
            </w:r>
          </w:p>
          <w:p w:rsidR="00BC0E51" w:rsidP="007E35D7" w14:paraId="2ACF8707" w14:textId="77777777">
            <w:pPr>
              <w:widowControl/>
              <w:tabs>
                <w:tab w:val="center" w:pos="4680"/>
              </w:tabs>
              <w:suppressAutoHyphens/>
              <w:rPr>
                <w:rStyle w:val="DefaultParagraphFont"/>
                <w:snapToGrid w:val="0"/>
                <w:spacing w:val="-2"/>
                <w:kern w:val="28"/>
                <w:sz w:val="22"/>
                <w:lang w:val="en-US" w:eastAsia="en-US" w:bidi="ar-SA"/>
              </w:rPr>
            </w:pPr>
          </w:p>
          <w:p w:rsidR="00BC0E51" w:rsidRPr="007115F7" w:rsidP="007E35D7" w14:paraId="767BD9C7" w14:textId="77777777">
            <w:pPr>
              <w:widowControl/>
              <w:tabs>
                <w:tab w:val="center" w:pos="4680"/>
              </w:tabs>
              <w:suppressAutoHyphens/>
              <w:rPr>
                <w:rStyle w:val="DefaultParagraphFont"/>
                <w:snapToGrid w:val="0"/>
                <w:spacing w:val="-2"/>
                <w:kern w:val="28"/>
                <w:sz w:val="22"/>
                <w:lang w:val="en-US" w:eastAsia="en-US" w:bidi="ar-SA"/>
              </w:rPr>
            </w:pPr>
            <w:r w:rsidRPr="00BC0E51">
              <w:rPr>
                <w:snapToGrid w:val="0"/>
                <w:spacing w:val="-2"/>
                <w:kern w:val="28"/>
                <w:sz w:val="22"/>
                <w:lang w:val="en-US" w:eastAsia="en-US" w:bidi="ar-SA"/>
              </w:rPr>
              <w:t>Comunicaciones Digitales del Norte, S.A. de C.V., Radio Sistemas de Tamaulipas, S.A. de C.V., Troncatel, S.A. de C.V., and Union Agricola Regional del Norte de Tamaulipas</w:t>
            </w:r>
            <w:r>
              <w:rPr>
                <w:snapToGrid w:val="0"/>
                <w:spacing w:val="-2"/>
                <w:kern w:val="28"/>
                <w:sz w:val="22"/>
                <w:lang w:val="en-US" w:eastAsia="en-US" w:bidi="ar-SA"/>
              </w:rPr>
              <w:t>, Petition for Declaratory Ruling</w:t>
            </w:r>
          </w:p>
        </w:tc>
        <w:tc>
          <w:tcPr>
            <w:tcW w:w="630" w:type="dxa"/>
          </w:tcPr>
          <w:p w:rsidR="004C2EE3" w:rsidP="007E35D7" w14:paraId="085E9704"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2FD42156"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780FB283"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0D40365E"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7372617A"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06128168"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0EFB1E78"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52CC9119"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4C2EE3" w:rsidP="007E35D7" w14:paraId="0CE74C12" w14:textId="77777777">
            <w:pPr>
              <w:widowControl/>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1C1741" w:rsidP="007E35D7" w14:paraId="205DF5CE" w14:textId="77777777">
            <w:pPr>
              <w:widowControl/>
              <w:tabs>
                <w:tab w:val="center" w:pos="4680"/>
              </w:tabs>
              <w:suppressAutoHyphens/>
              <w:rPr>
                <w:rStyle w:val="DefaultParagraphFont"/>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4C2EE3" w:rsidP="007E35D7" w14:paraId="4FAB9A34" w14:textId="77777777">
            <w:pPr>
              <w:widowControl/>
              <w:tabs>
                <w:tab w:val="center" w:pos="4680"/>
              </w:tabs>
              <w:suppressAutoHyphens/>
              <w:rPr>
                <w:rStyle w:val="DefaultParagraphFont"/>
                <w:snapToGrid w:val="0"/>
                <w:spacing w:val="-2"/>
                <w:kern w:val="28"/>
                <w:sz w:val="22"/>
                <w:lang w:val="en-US" w:eastAsia="en-US" w:bidi="ar-SA"/>
              </w:rPr>
            </w:pPr>
          </w:p>
          <w:p w:rsidR="004C2EE3" w:rsidP="007E35D7" w14:paraId="0547A9D7" w14:textId="77777777">
            <w:pPr>
              <w:pStyle w:val="TOAHeading"/>
              <w:widowControl/>
              <w:tabs>
                <w:tab w:val="center" w:pos="4680"/>
                <w:tab w:val="clear" w:pos="9360"/>
              </w:tabs>
              <w:suppressAutoHyphens/>
              <w:rPr>
                <w:rStyle w:val="DefaultParagraphFont"/>
                <w:snapToGrid w:val="0"/>
                <w:spacing w:val="-2"/>
                <w:kern w:val="28"/>
                <w:sz w:val="22"/>
                <w:lang w:val="en-US" w:eastAsia="en-US" w:bidi="ar-SA"/>
              </w:rPr>
            </w:pPr>
          </w:p>
          <w:p w:rsidR="004C2EE3" w:rsidP="007E35D7" w14:paraId="294B54A1" w14:textId="77777777">
            <w:pPr>
              <w:widowControl/>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WT Docket No. 02-55</w:t>
            </w:r>
          </w:p>
        </w:tc>
      </w:tr>
    </w:tbl>
    <w:p w:rsidR="004C2EE3" w:rsidP="007E35D7" w14:paraId="277A28F6" w14:textId="77777777">
      <w:pPr>
        <w:widowControl/>
      </w:pPr>
    </w:p>
    <w:p w:rsidR="00841AB1" w:rsidP="007E35D7" w14:paraId="14822176" w14:textId="77777777">
      <w:pPr>
        <w:pStyle w:val="StyleBoldCentered"/>
        <w:widowControl/>
      </w:pPr>
      <w:r>
        <w:t>Order</w:t>
      </w:r>
    </w:p>
    <w:p w:rsidR="004C2EE3" w:rsidP="007E35D7" w14:paraId="5F4A7944" w14:textId="77777777">
      <w:pPr>
        <w:widowControl/>
        <w:tabs>
          <w:tab w:val="left" w:pos="-720"/>
        </w:tabs>
        <w:suppressAutoHyphens/>
        <w:spacing w:line="227" w:lineRule="auto"/>
        <w:rPr>
          <w:spacing w:val="-2"/>
        </w:rPr>
      </w:pPr>
    </w:p>
    <w:p w:rsidR="004C2EE3" w:rsidP="007E35D7" w14:paraId="471B17E5" w14:textId="77777777">
      <w:pPr>
        <w:widowControl/>
        <w:tabs>
          <w:tab w:val="left" w:pos="720"/>
          <w:tab w:val="right" w:pos="9360"/>
        </w:tabs>
        <w:suppressAutoHyphens/>
        <w:spacing w:line="227" w:lineRule="auto"/>
        <w:rPr>
          <w:spacing w:val="-2"/>
        </w:rPr>
      </w:pPr>
      <w:r>
        <w:rPr>
          <w:b/>
          <w:spacing w:val="-2"/>
        </w:rPr>
        <w:t xml:space="preserve">Adopted:  </w:t>
      </w:r>
      <w:r w:rsidR="008317CF">
        <w:rPr>
          <w:b/>
          <w:spacing w:val="-2"/>
        </w:rPr>
        <w:t>February 12,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317CF">
        <w:rPr>
          <w:b/>
          <w:spacing w:val="-2"/>
        </w:rPr>
        <w:t>February 12, 2018</w:t>
      </w:r>
    </w:p>
    <w:p w:rsidR="00822CE0" w:rsidP="007E35D7" w14:paraId="75707F22" w14:textId="77777777">
      <w:pPr>
        <w:widowControl/>
      </w:pPr>
    </w:p>
    <w:p w:rsidR="004C2EE3" w:rsidP="007E35D7" w14:paraId="77CA3E79" w14:textId="77777777">
      <w:pPr>
        <w:widowControl/>
        <w:rPr>
          <w:spacing w:val="-2"/>
        </w:rPr>
      </w:pPr>
      <w:r>
        <w:t xml:space="preserve">By </w:t>
      </w:r>
      <w:r w:rsidR="00BA7DE6">
        <w:t xml:space="preserve">the </w:t>
      </w:r>
      <w:r>
        <w:t>Chief, Public Safety and Homeland Security Bureau</w:t>
      </w:r>
      <w:r w:rsidR="00BA7DE6">
        <w:t xml:space="preserve"> and the Chief, International Bureau</w:t>
      </w:r>
      <w:r>
        <w:rPr>
          <w:spacing w:val="-2"/>
        </w:rPr>
        <w:t>:</w:t>
      </w:r>
    </w:p>
    <w:p w:rsidR="00822CE0" w:rsidP="007E35D7" w14:paraId="24CBA35E" w14:textId="77777777">
      <w:pPr>
        <w:widowControl/>
        <w:rPr>
          <w:spacing w:val="-2"/>
        </w:rPr>
      </w:pPr>
    </w:p>
    <w:p w:rsidR="00412FC5" w:rsidP="007E35D7" w14:paraId="334706EB" w14:textId="77777777">
      <w:pPr>
        <w:widowControl/>
      </w:pPr>
    </w:p>
    <w:p w:rsidR="002C00E8" w:rsidP="007E35D7" w14:paraId="46E140EF" w14:textId="77777777">
      <w:pPr>
        <w:pStyle w:val="Heading1"/>
        <w:widowControl/>
      </w:pPr>
      <w:r>
        <w:t>Introduction</w:t>
      </w:r>
    </w:p>
    <w:p w:rsidR="00BC0E51" w:rsidP="007E35D7" w14:paraId="4A84E950" w14:textId="77777777">
      <w:pPr>
        <w:pStyle w:val="ParaNum"/>
        <w:widowControl/>
      </w:pPr>
      <w:r>
        <w:t xml:space="preserve">In this Order, we dismiss a Petition for Declaratory Ruling filed by </w:t>
      </w:r>
      <w:r w:rsidRPr="00BC0E51">
        <w:t>Comunicaciones Digitales del Norte, S.A. de C.V., Radio Sistemas de Tamaulipas, S.A. de C.V., Troncatel, S.A. de C.V., and Union Agricola Regional del Norte de Tamaulipas</w:t>
      </w:r>
      <w:r>
        <w:t xml:space="preserve"> (Petitioners).</w:t>
      </w:r>
      <w:r>
        <w:rPr>
          <w:rStyle w:val="FootnoteReference"/>
        </w:rPr>
        <w:footnoteReference w:id="3"/>
      </w:r>
      <w:r>
        <w:t xml:space="preserve">  Petitioners seek a Commission order relative to compensation alleged</w:t>
      </w:r>
      <w:r w:rsidR="002B3731">
        <w:t>ly</w:t>
      </w:r>
      <w:r>
        <w:t xml:space="preserve"> </w:t>
      </w:r>
      <w:r w:rsidR="003721FD">
        <w:t xml:space="preserve">owed </w:t>
      </w:r>
      <w:r>
        <w:t>them by AT&amp;T Mexico and Sprint Corporation (Sprint).</w:t>
      </w:r>
      <w:r>
        <w:rPr>
          <w:rStyle w:val="FootnoteReference"/>
        </w:rPr>
        <w:footnoteReference w:id="4"/>
      </w:r>
      <w:r w:rsidR="00AD6BFC">
        <w:t xml:space="preserve">  </w:t>
      </w:r>
      <w:r w:rsidR="00CA50BE">
        <w:t>The Petition is substantively identical to a previous petition filed by Petitioners</w:t>
      </w:r>
      <w:r w:rsidR="00757FA5">
        <w:t>, which the Bureaus dismissed in 2016 for lack of jurisdiction.</w:t>
      </w:r>
      <w:r>
        <w:rPr>
          <w:rStyle w:val="FootnoteReference"/>
        </w:rPr>
        <w:footnoteReference w:id="5"/>
      </w:r>
      <w:r w:rsidR="00757FA5">
        <w:t xml:space="preserve">  Because </w:t>
      </w:r>
      <w:r w:rsidR="00AD6BFC">
        <w:rPr>
          <w:color w:val="000000"/>
          <w:szCs w:val="22"/>
        </w:rPr>
        <w:t>th</w:t>
      </w:r>
      <w:r w:rsidR="00757FA5">
        <w:rPr>
          <w:color w:val="000000"/>
          <w:szCs w:val="22"/>
        </w:rPr>
        <w:t xml:space="preserve">is latest </w:t>
      </w:r>
      <w:r w:rsidR="00AD6BFC">
        <w:rPr>
          <w:color w:val="000000"/>
          <w:szCs w:val="22"/>
        </w:rPr>
        <w:t xml:space="preserve">petition </w:t>
      </w:r>
      <w:r w:rsidR="00757FA5">
        <w:rPr>
          <w:color w:val="000000"/>
          <w:szCs w:val="22"/>
        </w:rPr>
        <w:t xml:space="preserve">raises no new </w:t>
      </w:r>
      <w:r w:rsidR="008F50ED">
        <w:rPr>
          <w:color w:val="000000"/>
          <w:szCs w:val="22"/>
        </w:rPr>
        <w:t>issues within the Commission’s purview</w:t>
      </w:r>
      <w:r w:rsidR="00757FA5">
        <w:rPr>
          <w:color w:val="000000"/>
          <w:szCs w:val="22"/>
        </w:rPr>
        <w:t xml:space="preserve">, we again dismiss Petitioners’ claims </w:t>
      </w:r>
      <w:r w:rsidR="00AD6BFC">
        <w:rPr>
          <w:color w:val="000000"/>
          <w:szCs w:val="22"/>
        </w:rPr>
        <w:t>as outside our jurisdiction and refer Petitioners to the relevant regulatory authorities in Mexico for the relief they seek.</w:t>
      </w:r>
    </w:p>
    <w:p w:rsidR="00BC0E51" w:rsidP="007E35D7" w14:paraId="67F78FC1" w14:textId="77777777">
      <w:pPr>
        <w:pStyle w:val="Heading1"/>
        <w:widowControl/>
      </w:pPr>
      <w:r>
        <w:t>background</w:t>
      </w:r>
    </w:p>
    <w:p w:rsidR="001E0A8B" w:rsidRPr="007D6E0D" w:rsidP="001E0A8B" w14:paraId="1F52DC52" w14:textId="77777777">
      <w:pPr>
        <w:pStyle w:val="ParaNum"/>
        <w:widowControl/>
      </w:pPr>
      <w:r w:rsidRPr="001E0A8B">
        <w:rPr>
          <w:szCs w:val="22"/>
        </w:rPr>
        <w:t xml:space="preserve">Petitioners operate 800 MHz trunked mobile systems in Mexico </w:t>
      </w:r>
      <w:r w:rsidR="001C1741">
        <w:rPr>
          <w:szCs w:val="22"/>
        </w:rPr>
        <w:t>near</w:t>
      </w:r>
      <w:r w:rsidRPr="001E0A8B">
        <w:rPr>
          <w:szCs w:val="22"/>
        </w:rPr>
        <w:t xml:space="preserve"> the U.S.-Mexico border.  Pursuant to </w:t>
      </w:r>
      <w:r w:rsidRPr="00624BD1">
        <w:rPr>
          <w:szCs w:val="22"/>
        </w:rPr>
        <w:t xml:space="preserve">the June 8, 2012, agreement between the United States and Mexico </w:t>
      </w:r>
      <w:r w:rsidRPr="003721FD">
        <w:rPr>
          <w:szCs w:val="22"/>
        </w:rPr>
        <w:t>modifying the international allocation of 800 MHz spectrum in the U.S.-Mexico border region</w:t>
      </w:r>
      <w:r w:rsidRPr="003721FD">
        <w:rPr>
          <w:snapToGrid/>
          <w:kern w:val="0"/>
          <w:szCs w:val="22"/>
        </w:rPr>
        <w:t xml:space="preserve"> (Amended Protocol),</w:t>
      </w:r>
      <w:r w:rsidRPr="00A470A7">
        <w:rPr>
          <w:rStyle w:val="FootnoteReference"/>
          <w:szCs w:val="22"/>
        </w:rPr>
        <w:t xml:space="preserve"> </w:t>
      </w:r>
      <w:r>
        <w:rPr>
          <w:rStyle w:val="FootnoteReference"/>
          <w:szCs w:val="22"/>
        </w:rPr>
        <w:footnoteReference w:id="6"/>
      </w:r>
      <w:r w:rsidRPr="001E0A8B">
        <w:rPr>
          <w:szCs w:val="22"/>
        </w:rPr>
        <w:t xml:space="preserve"> </w:t>
      </w:r>
      <w:r w:rsidRPr="001E0A8B">
        <w:rPr>
          <w:snapToGrid/>
          <w:kern w:val="0"/>
          <w:szCs w:val="22"/>
        </w:rPr>
        <w:t xml:space="preserve">Petitioners and certain other Mexican 800 MHz licensees in the U.S.-Mexico “Sharing Zone” </w:t>
      </w:r>
      <w:r w:rsidRPr="00624BD1">
        <w:rPr>
          <w:snapToGrid/>
          <w:kern w:val="0"/>
          <w:szCs w:val="22"/>
        </w:rPr>
        <w:t xml:space="preserve">must </w:t>
      </w:r>
      <w:r w:rsidRPr="00624BD1">
        <w:rPr>
          <w:snapToGrid/>
          <w:kern w:val="0"/>
          <w:szCs w:val="22"/>
        </w:rPr>
        <w:t>change their operating frequencies to conform to a revised border area band plan contained within the Amended Protocol.</w:t>
      </w:r>
      <w:r>
        <w:rPr>
          <w:rStyle w:val="FootnoteReference"/>
          <w:snapToGrid/>
          <w:kern w:val="0"/>
          <w:szCs w:val="22"/>
        </w:rPr>
        <w:footnoteReference w:id="7"/>
      </w:r>
      <w:r w:rsidRPr="001E0A8B">
        <w:rPr>
          <w:snapToGrid/>
          <w:kern w:val="0"/>
          <w:szCs w:val="22"/>
        </w:rPr>
        <w:t xml:space="preserve">  </w:t>
      </w:r>
    </w:p>
    <w:p w:rsidR="00362D09" w:rsidRPr="00BC0E51" w:rsidP="00A44B0A" w14:paraId="48DAFD45" w14:textId="77777777">
      <w:pPr>
        <w:pStyle w:val="ParaNum"/>
      </w:pPr>
      <w:r w:rsidRPr="00BC0E51">
        <w:t>On July 29, 2016</w:t>
      </w:r>
      <w:r w:rsidR="00CA50BE">
        <w:t>,</w:t>
      </w:r>
      <w:r w:rsidR="004A077F">
        <w:t xml:space="preserve"> Petitioners filed a</w:t>
      </w:r>
      <w:r w:rsidR="00395049">
        <w:t>n earlier</w:t>
      </w:r>
      <w:r w:rsidR="004A077F">
        <w:t xml:space="preserve"> Petition for Declaratory Ruling</w:t>
      </w:r>
      <w:r w:rsidR="00757FA5">
        <w:t xml:space="preserve"> </w:t>
      </w:r>
      <w:r w:rsidR="00390025">
        <w:t xml:space="preserve">requesting </w:t>
      </w:r>
      <w:r w:rsidR="00757FA5">
        <w:t xml:space="preserve">that </w:t>
      </w:r>
      <w:r w:rsidR="00390025">
        <w:t>the</w:t>
      </w:r>
      <w:r w:rsidR="004A077F">
        <w:t xml:space="preserve"> Commission </w:t>
      </w:r>
      <w:r w:rsidR="00BE0247">
        <w:t xml:space="preserve">require AT&amp;T Mexico and Sprint to </w:t>
      </w:r>
      <w:r w:rsidR="001E0A8B">
        <w:t xml:space="preserve">compensate </w:t>
      </w:r>
      <w:r w:rsidR="00BE0247">
        <w:t>Petitioners for costs and damages that Petition</w:t>
      </w:r>
      <w:r w:rsidR="0041750D">
        <w:t>er</w:t>
      </w:r>
      <w:r w:rsidR="00BE0247">
        <w:t xml:space="preserve">s </w:t>
      </w:r>
      <w:r w:rsidR="00757FA5">
        <w:t xml:space="preserve">alleged </w:t>
      </w:r>
      <w:r w:rsidR="00BE0247">
        <w:t xml:space="preserve">were incurred as a result of </w:t>
      </w:r>
      <w:r w:rsidR="001E0A8B">
        <w:t xml:space="preserve">being required </w:t>
      </w:r>
      <w:r w:rsidR="00671473">
        <w:t xml:space="preserve">under the Amended Protocol </w:t>
      </w:r>
      <w:r w:rsidR="001E0A8B">
        <w:t xml:space="preserve">to </w:t>
      </w:r>
      <w:r w:rsidR="00875391">
        <w:t xml:space="preserve">relocate their </w:t>
      </w:r>
      <w:r w:rsidR="00BE0247">
        <w:t>facilities from the 800 MHz Band.</w:t>
      </w:r>
      <w:r>
        <w:rPr>
          <w:rStyle w:val="FootnoteReference"/>
        </w:rPr>
        <w:footnoteReference w:id="8"/>
      </w:r>
      <w:r w:rsidR="004A077F">
        <w:t xml:space="preserve"> </w:t>
      </w:r>
      <w:r w:rsidR="00395049">
        <w:t xml:space="preserve"> </w:t>
      </w:r>
      <w:r w:rsidR="00AB2A78">
        <w:t xml:space="preserve">On October </w:t>
      </w:r>
      <w:r w:rsidR="003F2618">
        <w:t>27</w:t>
      </w:r>
      <w:r w:rsidR="00AB2A78">
        <w:t xml:space="preserve">, 2016, the Bureaus issued the </w:t>
      </w:r>
      <w:r w:rsidRPr="007D6E0D" w:rsidR="00AB2A78">
        <w:rPr>
          <w:i/>
        </w:rPr>
        <w:t xml:space="preserve">2016 </w:t>
      </w:r>
      <w:r w:rsidRPr="00624BD1" w:rsidR="00AB2A78">
        <w:rPr>
          <w:i/>
        </w:rPr>
        <w:t xml:space="preserve">Dismissal </w:t>
      </w:r>
      <w:r w:rsidRPr="007D6E0D" w:rsidR="00AB2A78">
        <w:rPr>
          <w:i/>
        </w:rPr>
        <w:t>Order</w:t>
      </w:r>
      <w:r w:rsidR="00AB2A78">
        <w:t>,</w:t>
      </w:r>
      <w:r w:rsidR="003F2618">
        <w:t xml:space="preserve"> </w:t>
      </w:r>
      <w:r w:rsidR="005A1F12">
        <w:t>which co</w:t>
      </w:r>
      <w:r w:rsidRPr="00624BD1" w:rsidR="00671473">
        <w:rPr>
          <w:rFonts w:eastAsia="Calibri"/>
          <w:snapToGrid/>
        </w:rPr>
        <w:t xml:space="preserve">ncluded that Petitioners had </w:t>
      </w:r>
      <w:r w:rsidRPr="00624BD1" w:rsidR="00671473">
        <w:rPr>
          <w:color w:val="000000"/>
          <w:szCs w:val="22"/>
        </w:rPr>
        <w:t>failed</w:t>
      </w:r>
      <w:r w:rsidRPr="003721FD" w:rsidR="00671473">
        <w:rPr>
          <w:color w:val="000000"/>
          <w:szCs w:val="22"/>
        </w:rPr>
        <w:t xml:space="preserve"> to identify “any controversy or uncertainty relating to the Communications Act, other statutes within the Commission’s jurisdiction, or the Commission’s rules or prior orders</w:t>
      </w:r>
      <w:r w:rsidR="005A1F12">
        <w:rPr>
          <w:color w:val="000000"/>
          <w:szCs w:val="22"/>
        </w:rPr>
        <w:t>.</w:t>
      </w:r>
      <w:r w:rsidRPr="00624BD1" w:rsidR="00671473">
        <w:rPr>
          <w:color w:val="000000"/>
          <w:szCs w:val="22"/>
        </w:rPr>
        <w:t>”</w:t>
      </w:r>
      <w:r>
        <w:rPr>
          <w:rStyle w:val="FootnoteReference"/>
          <w:szCs w:val="22"/>
        </w:rPr>
        <w:footnoteReference w:id="9"/>
      </w:r>
      <w:r w:rsidR="005A1F12">
        <w:rPr>
          <w:color w:val="000000"/>
          <w:szCs w:val="22"/>
        </w:rPr>
        <w:t xml:space="preserve">  The Bureaus </w:t>
      </w:r>
      <w:r w:rsidR="005A1F12">
        <w:t>found that “[</w:t>
      </w:r>
      <w:r w:rsidRPr="00333B83" w:rsidR="005A1F12">
        <w:rPr>
          <w:rFonts w:eastAsia="Calibri"/>
          <w:snapToGrid/>
        </w:rPr>
        <w:t>t]o the extent that Petitioners seek redress under the Amended Protocol</w:t>
      </w:r>
      <w:r w:rsidR="007D6E0D">
        <w:rPr>
          <w:rFonts w:eastAsia="Calibri"/>
          <w:snapToGrid/>
        </w:rPr>
        <w:t xml:space="preserve"> </w:t>
      </w:r>
      <w:r w:rsidR="00213FCD">
        <w:rPr>
          <w:rFonts w:eastAsia="Calibri"/>
          <w:snapToGrid/>
        </w:rPr>
        <w:t>.</w:t>
      </w:r>
      <w:r w:rsidRPr="00333B83" w:rsidR="005A1F12">
        <w:rPr>
          <w:rFonts w:eastAsia="Calibri"/>
          <w:snapToGrid/>
        </w:rPr>
        <w:t xml:space="preserve"> .  . </w:t>
      </w:r>
      <w:r w:rsidR="00213FCD">
        <w:rPr>
          <w:rFonts w:eastAsia="Calibri"/>
          <w:snapToGrid/>
        </w:rPr>
        <w:t xml:space="preserve"> </w:t>
      </w:r>
      <w:r w:rsidRPr="00333B83" w:rsidR="005A1F12">
        <w:rPr>
          <w:rFonts w:eastAsia="Calibri"/>
          <w:snapToGrid/>
        </w:rPr>
        <w:t>their remedy lies in Mexico</w:t>
      </w:r>
      <w:r w:rsidR="005A1F12">
        <w:rPr>
          <w:rFonts w:eastAsia="Calibri"/>
          <w:snapToGrid/>
        </w:rPr>
        <w:t>, not the United States,”</w:t>
      </w:r>
      <w:r>
        <w:rPr>
          <w:rStyle w:val="FootnoteReference"/>
          <w:rFonts w:eastAsia="Calibri"/>
          <w:snapToGrid/>
        </w:rPr>
        <w:footnoteReference w:id="10"/>
      </w:r>
      <w:r w:rsidRPr="00333B83" w:rsidR="005A1F12">
        <w:rPr>
          <w:rFonts w:eastAsia="Calibri"/>
          <w:snapToGrid/>
        </w:rPr>
        <w:t xml:space="preserve"> </w:t>
      </w:r>
      <w:r w:rsidRPr="00624BD1" w:rsidR="00671473">
        <w:rPr>
          <w:color w:val="000000"/>
          <w:szCs w:val="22"/>
        </w:rPr>
        <w:t xml:space="preserve">and </w:t>
      </w:r>
      <w:r w:rsidRPr="00624BD1" w:rsidR="00671473">
        <w:rPr>
          <w:rFonts w:eastAsia="Calibri"/>
          <w:snapToGrid/>
        </w:rPr>
        <w:t>therefore dismissed the petition for lack of jurisd</w:t>
      </w:r>
      <w:r w:rsidRPr="003721FD" w:rsidR="00671473">
        <w:rPr>
          <w:rFonts w:eastAsia="Calibri"/>
          <w:snapToGrid/>
        </w:rPr>
        <w:t xml:space="preserve">iction.  Petitioners did not seek reconsideration or review of the </w:t>
      </w:r>
      <w:r w:rsidRPr="007D6E0D" w:rsidR="00671473">
        <w:rPr>
          <w:rFonts w:eastAsia="Calibri"/>
          <w:i/>
          <w:snapToGrid/>
        </w:rPr>
        <w:t>2016 Dismissal Order.</w:t>
      </w:r>
      <w:r w:rsidRPr="00624BD1" w:rsidR="00671473">
        <w:rPr>
          <w:rFonts w:eastAsia="Calibri"/>
          <w:snapToGrid/>
        </w:rPr>
        <w:t xml:space="preserve">   </w:t>
      </w:r>
    </w:p>
    <w:p w:rsidR="004A077F" w:rsidP="007E35D7" w14:paraId="143324D9" w14:textId="77777777">
      <w:pPr>
        <w:pStyle w:val="Heading1"/>
        <w:widowControl/>
      </w:pPr>
      <w:r>
        <w:t>discussion</w:t>
      </w:r>
    </w:p>
    <w:p w:rsidR="00362D09" w:rsidRPr="00362D09" w:rsidP="007E35D7" w14:paraId="09195813" w14:textId="77777777">
      <w:pPr>
        <w:pStyle w:val="ParaNum"/>
        <w:widowControl/>
        <w:rPr>
          <w:color w:val="000000"/>
          <w:szCs w:val="22"/>
        </w:rPr>
      </w:pPr>
      <w:r w:rsidRPr="00362D09">
        <w:rPr>
          <w:color w:val="000000"/>
          <w:szCs w:val="22"/>
        </w:rPr>
        <w:t xml:space="preserve"> </w:t>
      </w:r>
      <w:r w:rsidRPr="00362D09">
        <w:t>Under</w:t>
      </w:r>
      <w:r w:rsidRPr="00362D09">
        <w:rPr>
          <w:color w:val="000000"/>
          <w:szCs w:val="22"/>
        </w:rPr>
        <w:t xml:space="preserve"> Section 1.2(a) of the rules, the Commission “may, in accordance with section 5(d) of the Administrative Procedure Act, on motion or on its own motion issue a declaratory ruling terminating a controversy or removing uncertainty.”</w:t>
      </w:r>
      <w:bookmarkStart w:id="1" w:name="co_tablefootnote_18_1"/>
      <w:bookmarkEnd w:id="1"/>
      <w:r>
        <w:rPr>
          <w:rStyle w:val="FootnoteReference"/>
          <w:szCs w:val="22"/>
        </w:rPr>
        <w:footnoteReference w:id="11"/>
      </w:r>
      <w:r w:rsidRPr="00362D09">
        <w:rPr>
          <w:color w:val="000000"/>
          <w:szCs w:val="22"/>
        </w:rPr>
        <w:t xml:space="preserve"> </w:t>
      </w:r>
      <w:r w:rsidR="001C1741">
        <w:rPr>
          <w:color w:val="000000"/>
          <w:szCs w:val="22"/>
        </w:rPr>
        <w:t xml:space="preserve"> </w:t>
      </w:r>
      <w:r w:rsidRPr="00362D09">
        <w:rPr>
          <w:color w:val="000000"/>
          <w:szCs w:val="22"/>
        </w:rPr>
        <w:t>A declaratory ruling therefore is typically used to “clarify, interpret, or determine the appropriate application of a provision of the Communications Act (or other statute within its jurisdiction), the Commission’s rules or prior Commission orders.”</w:t>
      </w:r>
      <w:bookmarkStart w:id="2" w:name="co_tablefootnote_19_1"/>
      <w:bookmarkEnd w:id="2"/>
      <w:r>
        <w:rPr>
          <w:rStyle w:val="FootnoteReference"/>
          <w:szCs w:val="22"/>
        </w:rPr>
        <w:footnoteReference w:id="12"/>
      </w:r>
      <w:r w:rsidRPr="00362D09" w:rsidR="00073EFE">
        <w:rPr>
          <w:color w:val="000000"/>
          <w:szCs w:val="22"/>
        </w:rPr>
        <w:t xml:space="preserve"> </w:t>
      </w:r>
    </w:p>
    <w:p w:rsidR="00C94428" w:rsidRPr="00C94428" w:rsidP="007E35D7" w14:paraId="2C549012" w14:textId="77777777">
      <w:pPr>
        <w:pStyle w:val="ParaNum"/>
        <w:widowControl/>
        <w:rPr>
          <w:color w:val="000000"/>
          <w:szCs w:val="22"/>
        </w:rPr>
      </w:pPr>
      <w:r w:rsidRPr="00362D09">
        <w:rPr>
          <w:color w:val="000000"/>
          <w:szCs w:val="22"/>
        </w:rPr>
        <w:t> </w:t>
      </w:r>
      <w:bookmarkStart w:id="3" w:name="co_pp_sp_999_3_1"/>
      <w:bookmarkEnd w:id="3"/>
      <w:r w:rsidR="003721FD">
        <w:rPr>
          <w:color w:val="000000"/>
          <w:szCs w:val="22"/>
        </w:rPr>
        <w:t>As noted above, t</w:t>
      </w:r>
      <w:r w:rsidR="00B2729A">
        <w:rPr>
          <w:color w:val="000000"/>
          <w:szCs w:val="22"/>
        </w:rPr>
        <w:t xml:space="preserve">his is the second occasion we have had to address </w:t>
      </w:r>
      <w:r w:rsidR="00AB2A78">
        <w:rPr>
          <w:color w:val="000000"/>
          <w:szCs w:val="22"/>
        </w:rPr>
        <w:t>Petitioners claims</w:t>
      </w:r>
      <w:r w:rsidR="00B2729A">
        <w:rPr>
          <w:color w:val="000000"/>
          <w:szCs w:val="22"/>
        </w:rPr>
        <w:t xml:space="preserve">.  Once again, </w:t>
      </w:r>
      <w:r w:rsidRPr="00362D09">
        <w:rPr>
          <w:color w:val="000000"/>
          <w:szCs w:val="22"/>
        </w:rPr>
        <w:t xml:space="preserve">Petitioners </w:t>
      </w:r>
      <w:r w:rsidR="00B2729A">
        <w:rPr>
          <w:color w:val="000000"/>
          <w:szCs w:val="22"/>
        </w:rPr>
        <w:t xml:space="preserve">have </w:t>
      </w:r>
      <w:r w:rsidRPr="00362D09">
        <w:rPr>
          <w:color w:val="000000"/>
          <w:szCs w:val="22"/>
        </w:rPr>
        <w:t>fail</w:t>
      </w:r>
      <w:r w:rsidR="00B2729A">
        <w:rPr>
          <w:color w:val="000000"/>
          <w:szCs w:val="22"/>
        </w:rPr>
        <w:t xml:space="preserve">ed </w:t>
      </w:r>
      <w:r w:rsidRPr="00362D09">
        <w:rPr>
          <w:color w:val="000000"/>
          <w:szCs w:val="22"/>
        </w:rPr>
        <w:t xml:space="preserve">to identify any </w:t>
      </w:r>
      <w:r w:rsidR="003721FD">
        <w:rPr>
          <w:color w:val="000000"/>
          <w:szCs w:val="22"/>
        </w:rPr>
        <w:t xml:space="preserve">statutory or regulatory issue </w:t>
      </w:r>
      <w:r w:rsidRPr="00362D09">
        <w:rPr>
          <w:color w:val="000000"/>
          <w:szCs w:val="22"/>
        </w:rPr>
        <w:t>within the Commission’s jurisdiction</w:t>
      </w:r>
      <w:r w:rsidR="003721FD">
        <w:rPr>
          <w:color w:val="000000"/>
          <w:szCs w:val="22"/>
        </w:rPr>
        <w:t xml:space="preserve">.  </w:t>
      </w:r>
      <w:r w:rsidRPr="00362D09">
        <w:rPr>
          <w:color w:val="000000"/>
          <w:szCs w:val="22"/>
        </w:rPr>
        <w:t xml:space="preserve">Instead, </w:t>
      </w:r>
      <w:r>
        <w:rPr>
          <w:color w:val="000000"/>
          <w:szCs w:val="22"/>
        </w:rPr>
        <w:t>Petitioners</w:t>
      </w:r>
      <w:r w:rsidRPr="00362D09">
        <w:rPr>
          <w:color w:val="000000"/>
          <w:szCs w:val="22"/>
        </w:rPr>
        <w:t xml:space="preserve"> </w:t>
      </w:r>
      <w:r w:rsidR="001E0A8B">
        <w:rPr>
          <w:color w:val="000000"/>
          <w:szCs w:val="22"/>
        </w:rPr>
        <w:t xml:space="preserve">merely </w:t>
      </w:r>
      <w:r w:rsidR="003721FD">
        <w:rPr>
          <w:color w:val="000000"/>
          <w:szCs w:val="22"/>
        </w:rPr>
        <w:t xml:space="preserve">repeat the </w:t>
      </w:r>
      <w:r w:rsidR="008F400B">
        <w:rPr>
          <w:color w:val="000000"/>
          <w:szCs w:val="22"/>
        </w:rPr>
        <w:t>alleg</w:t>
      </w:r>
      <w:r w:rsidR="003721FD">
        <w:rPr>
          <w:color w:val="000000"/>
          <w:szCs w:val="22"/>
        </w:rPr>
        <w:t xml:space="preserve">ation </w:t>
      </w:r>
      <w:r w:rsidR="008F400B">
        <w:rPr>
          <w:color w:val="000000"/>
          <w:szCs w:val="22"/>
        </w:rPr>
        <w:t xml:space="preserve">that they are due compensation </w:t>
      </w:r>
      <w:r w:rsidRPr="00362D09">
        <w:rPr>
          <w:color w:val="000000"/>
          <w:szCs w:val="22"/>
        </w:rPr>
        <w:t>under the Amended Protocol</w:t>
      </w:r>
      <w:r w:rsidR="00A470A7">
        <w:rPr>
          <w:color w:val="000000"/>
          <w:szCs w:val="22"/>
        </w:rPr>
        <w:t xml:space="preserve"> and </w:t>
      </w:r>
      <w:r w:rsidR="00840DB8">
        <w:rPr>
          <w:color w:val="000000"/>
          <w:szCs w:val="22"/>
        </w:rPr>
        <w:t>question the implementation of the Protocol b</w:t>
      </w:r>
      <w:r w:rsidR="00D4505E">
        <w:rPr>
          <w:color w:val="000000"/>
          <w:szCs w:val="22"/>
        </w:rPr>
        <w:t xml:space="preserve">y </w:t>
      </w:r>
      <w:r w:rsidR="00A470A7">
        <w:rPr>
          <w:color w:val="000000"/>
          <w:szCs w:val="22"/>
        </w:rPr>
        <w:t>IFT, the Mexican communications regulator.</w:t>
      </w:r>
      <w:r>
        <w:rPr>
          <w:rStyle w:val="FootnoteReference"/>
          <w:szCs w:val="22"/>
        </w:rPr>
        <w:footnoteReference w:id="13"/>
      </w:r>
      <w:r w:rsidR="00A470A7">
        <w:rPr>
          <w:color w:val="000000"/>
          <w:szCs w:val="22"/>
        </w:rPr>
        <w:t xml:space="preserve">  </w:t>
      </w:r>
      <w:bookmarkStart w:id="4" w:name="co_tablefootnote_20_1"/>
      <w:bookmarkEnd w:id="4"/>
      <w:r w:rsidR="003721FD">
        <w:rPr>
          <w:color w:val="000000"/>
          <w:szCs w:val="22"/>
        </w:rPr>
        <w:t xml:space="preserve">Remarkably, Petitioners do not even mention the </w:t>
      </w:r>
      <w:r w:rsidRPr="007D6E0D" w:rsidR="003721FD">
        <w:rPr>
          <w:i/>
          <w:color w:val="000000"/>
          <w:szCs w:val="22"/>
        </w:rPr>
        <w:t>2016 Dismissal Order</w:t>
      </w:r>
      <w:r w:rsidR="003721FD">
        <w:rPr>
          <w:color w:val="000000"/>
          <w:szCs w:val="22"/>
        </w:rPr>
        <w:t xml:space="preserve">. </w:t>
      </w:r>
      <w:r w:rsidR="00A470A7">
        <w:rPr>
          <w:color w:val="000000"/>
          <w:szCs w:val="22"/>
        </w:rPr>
        <w:t xml:space="preserve"> </w:t>
      </w:r>
    </w:p>
    <w:p w:rsidR="00C94428" w:rsidP="007E35D7" w14:paraId="4327BABC" w14:textId="77777777">
      <w:pPr>
        <w:pStyle w:val="ParaNum"/>
        <w:widowControl/>
        <w:rPr>
          <w:color w:val="000000"/>
          <w:szCs w:val="22"/>
        </w:rPr>
      </w:pPr>
      <w:r w:rsidRPr="00C94428">
        <w:t xml:space="preserve"> </w:t>
      </w:r>
      <w:r w:rsidR="00840DB8">
        <w:t xml:space="preserve">Having already concluded in the </w:t>
      </w:r>
      <w:r w:rsidRPr="004400AF" w:rsidR="00840DB8">
        <w:rPr>
          <w:i/>
        </w:rPr>
        <w:t>2016 Dismissal Order</w:t>
      </w:r>
      <w:r w:rsidR="00840DB8">
        <w:t xml:space="preserve"> that the Commission lacks jurisdiction to address Petitioners’ claims, we dismiss the Second Petition </w:t>
      </w:r>
      <w:r w:rsidR="008270BB">
        <w:t xml:space="preserve">on the same grounds.  </w:t>
      </w:r>
      <w:r w:rsidRPr="00C94428" w:rsidR="008270BB">
        <w:t>As Petitioners acknowledge, IFT is responsible for implementing the Amended Protocol in Mexico.</w:t>
      </w:r>
      <w:r>
        <w:rPr>
          <w:rStyle w:val="FootnoteReference"/>
          <w:szCs w:val="22"/>
        </w:rPr>
        <w:footnoteReference w:id="14"/>
      </w:r>
      <w:r w:rsidRPr="00C94428" w:rsidR="008270BB">
        <w:t xml:space="preserve"> </w:t>
      </w:r>
      <w:r w:rsidR="008270BB">
        <w:t xml:space="preserve"> T</w:t>
      </w:r>
      <w:r w:rsidRPr="00C94428">
        <w:t xml:space="preserve">o the extent that Petitioners seek redress under the Protocol </w:t>
      </w:r>
      <w:r w:rsidR="008270BB">
        <w:t xml:space="preserve">or object to its implementation by IFT, </w:t>
      </w:r>
      <w:r w:rsidRPr="00C94428">
        <w:t xml:space="preserve">their remedy lies in Mexico, not the United States. </w:t>
      </w:r>
      <w:r w:rsidR="00FF54D3">
        <w:t xml:space="preserve"> </w:t>
      </w:r>
      <w:r w:rsidR="008270BB">
        <w:t xml:space="preserve">We reaffirm our conclusion in the </w:t>
      </w:r>
      <w:r w:rsidRPr="007D6E0D" w:rsidR="008270BB">
        <w:rPr>
          <w:i/>
        </w:rPr>
        <w:t>2016 Dismissal Order</w:t>
      </w:r>
      <w:r w:rsidRPr="004400AF" w:rsidR="008270BB">
        <w:rPr>
          <w:i/>
        </w:rPr>
        <w:t xml:space="preserve"> </w:t>
      </w:r>
      <w:bookmarkStart w:id="5" w:name="co_tablefootnote_21_1"/>
      <w:bookmarkEnd w:id="5"/>
      <w:r w:rsidRPr="00C94428">
        <w:t xml:space="preserve">that </w:t>
      </w:r>
      <w:r w:rsidRPr="004400AF" w:rsidR="00040537">
        <w:rPr>
          <w:color w:val="000000"/>
          <w:szCs w:val="22"/>
        </w:rPr>
        <w:t>where</w:t>
      </w:r>
      <w:r w:rsidRPr="004400AF" w:rsidR="004400AF">
        <w:rPr>
          <w:color w:val="000000"/>
          <w:szCs w:val="22"/>
        </w:rPr>
        <w:t>, as here,</w:t>
      </w:r>
      <w:r w:rsidRPr="004400AF" w:rsidR="00040537">
        <w:rPr>
          <w:color w:val="000000"/>
          <w:szCs w:val="22"/>
        </w:rPr>
        <w:t xml:space="preserve"> </w:t>
      </w:r>
      <w:r w:rsidRPr="004400AF" w:rsidR="004400AF">
        <w:rPr>
          <w:color w:val="000000"/>
          <w:szCs w:val="22"/>
        </w:rPr>
        <w:t>a petition f</w:t>
      </w:r>
      <w:r w:rsidRPr="00FF54D3" w:rsidR="004400AF">
        <w:rPr>
          <w:color w:val="000000"/>
          <w:szCs w:val="22"/>
        </w:rPr>
        <w:t xml:space="preserve">or declaratory ruling </w:t>
      </w:r>
      <w:r w:rsidR="004400AF">
        <w:t xml:space="preserve">turns on issues </w:t>
      </w:r>
      <w:r w:rsidR="00FC7E4C">
        <w:t>beyond our jurisdiction</w:t>
      </w:r>
      <w:r w:rsidR="00040537">
        <w:t xml:space="preserve">, </w:t>
      </w:r>
      <w:r w:rsidR="00FC7E4C">
        <w:t xml:space="preserve">dismissing the </w:t>
      </w:r>
      <w:r w:rsidR="004400AF">
        <w:t>p</w:t>
      </w:r>
      <w:r w:rsidR="00FC7E4C">
        <w:t>etition</w:t>
      </w:r>
      <w:r w:rsidR="004400AF">
        <w:t xml:space="preserve"> is a proper exercise of our discretion</w:t>
      </w:r>
      <w:r w:rsidR="00FC7E4C">
        <w:t>.</w:t>
      </w:r>
      <w:r>
        <w:rPr>
          <w:rStyle w:val="FootnoteReference"/>
        </w:rPr>
        <w:footnoteReference w:id="15"/>
      </w:r>
      <w:r w:rsidR="00FC7E4C">
        <w:t xml:space="preserve">  </w:t>
      </w:r>
      <w:r w:rsidR="00F86CE7">
        <w:rPr>
          <w:color w:val="000000"/>
          <w:szCs w:val="22"/>
        </w:rPr>
        <w:t xml:space="preserve"> </w:t>
      </w:r>
    </w:p>
    <w:p w:rsidR="00F86CE7" w:rsidP="007E35D7" w14:paraId="6633A0FA" w14:textId="77777777">
      <w:pPr>
        <w:pStyle w:val="Heading1"/>
        <w:widowControl/>
      </w:pPr>
      <w:r>
        <w:t>ordering clause</w:t>
      </w:r>
    </w:p>
    <w:p w:rsidR="00F86CE7" w:rsidP="007E35D7" w14:paraId="65B37920" w14:textId="77777777">
      <w:pPr>
        <w:pStyle w:val="ParaNum"/>
        <w:widowControl/>
      </w:pPr>
      <w:r>
        <w:t xml:space="preserve">Accordingly, </w:t>
      </w:r>
      <w:r>
        <w:t xml:space="preserve">IT IS ORDERED, that the </w:t>
      </w:r>
      <w:r w:rsidR="00353664">
        <w:t xml:space="preserve">Petition for Declaratory Ruling, filed August 15, 2017 by </w:t>
      </w:r>
      <w:r w:rsidRPr="00353664" w:rsidR="00353664">
        <w:t>Comunicaciones Digitales del Norte, S.A. de C.V., Radio Sistemas de Tamaulipas, S.A. de C.V., Troncatel, S.A. de C.V., and Union Agricola Regional del Norte de Tamaulipas</w:t>
      </w:r>
      <w:r w:rsidR="00353664">
        <w:t xml:space="preserve"> IS DISMISSED.</w:t>
      </w:r>
    </w:p>
    <w:p w:rsidR="00353664" w:rsidP="007E35D7" w14:paraId="313AA674" w14:textId="77777777">
      <w:pPr>
        <w:pStyle w:val="ParaNum"/>
        <w:keepNext/>
        <w:keepLines/>
        <w:widowControl/>
      </w:pPr>
      <w:r>
        <w:t xml:space="preserve">This action is taken under delegated authority pursuant </w:t>
      </w:r>
      <w:r w:rsidRPr="00353664">
        <w:t>Sections 0.51, 0.191, 0.261 and 0.392 of the Commission's rules, 47 CFR §§ 0.51, 0.191, 0.261, 0.392; Section 1.2(a) of the Commission's rules, 47 CFR § 1.2(a); and Section 554 of the Administrative Procedure Act, 5 U.S.C. § 554.</w:t>
      </w:r>
    </w:p>
    <w:p w:rsidR="00353664" w:rsidP="007E35D7" w14:paraId="32108436" w14:textId="77777777">
      <w:pPr>
        <w:pStyle w:val="ParaNum"/>
        <w:keepNext/>
        <w:keepLines/>
        <w:widowControl/>
        <w:numPr>
          <w:ilvl w:val="0"/>
          <w:numId w:val="0"/>
        </w:numPr>
        <w:spacing w:after="0"/>
        <w:ind w:left="3600"/>
      </w:pPr>
      <w:r>
        <w:t>FEDERAL COMMUNICATIONS COMMISSION</w:t>
      </w:r>
    </w:p>
    <w:p w:rsidR="00353664" w:rsidP="007E35D7" w14:paraId="3EACDDD0" w14:textId="77777777">
      <w:pPr>
        <w:pStyle w:val="ParaNum"/>
        <w:keepNext/>
        <w:keepLines/>
        <w:widowControl/>
        <w:numPr>
          <w:ilvl w:val="0"/>
          <w:numId w:val="0"/>
        </w:numPr>
        <w:spacing w:after="0"/>
        <w:ind w:left="3600"/>
      </w:pPr>
      <w:r>
        <w:t xml:space="preserve"> </w:t>
      </w:r>
    </w:p>
    <w:p w:rsidR="00353664" w:rsidP="007E35D7" w14:paraId="08C6585F" w14:textId="77777777">
      <w:pPr>
        <w:pStyle w:val="ParaNum"/>
        <w:widowControl/>
        <w:numPr>
          <w:ilvl w:val="0"/>
          <w:numId w:val="0"/>
        </w:numPr>
        <w:spacing w:after="0"/>
        <w:ind w:left="3600"/>
      </w:pPr>
    </w:p>
    <w:p w:rsidR="00353664" w:rsidP="00C34632" w14:paraId="3C38E5E4" w14:textId="77777777">
      <w:pPr>
        <w:pStyle w:val="ParaNum"/>
        <w:widowControl/>
        <w:numPr>
          <w:ilvl w:val="0"/>
          <w:numId w:val="0"/>
        </w:numPr>
        <w:spacing w:after="0"/>
        <w:ind w:left="720"/>
      </w:pPr>
      <w:r>
        <w:t xml:space="preserve">        ______________________________                          _______________________________</w:t>
      </w:r>
    </w:p>
    <w:tbl>
      <w:tblPr>
        <w:tblStyle w:val="TableGrid"/>
        <w:tblW w:w="9350" w:type="dxa"/>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14:paraId="2E9C35AF" w14:textId="77777777" w:rsidTr="00C34632">
        <w:tblPrEx>
          <w:tblW w:w="9350" w:type="dxa"/>
          <w:tblInd w:w="1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Pr>
          <w:p w:rsidR="00BA7DE6" w:rsidP="00C34632" w14:paraId="6DD82A33"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 xml:space="preserve">Lisa </w:t>
            </w:r>
            <w:r w:rsidR="00040537">
              <w:rPr>
                <w:snapToGrid w:val="0"/>
                <w:kern w:val="28"/>
                <w:sz w:val="22"/>
                <w:lang w:val="en-US" w:eastAsia="en-US" w:bidi="ar-SA"/>
              </w:rPr>
              <w:t xml:space="preserve">M. </w:t>
            </w:r>
            <w:r>
              <w:rPr>
                <w:snapToGrid w:val="0"/>
                <w:kern w:val="28"/>
                <w:sz w:val="22"/>
                <w:lang w:val="en-US" w:eastAsia="en-US" w:bidi="ar-SA"/>
              </w:rPr>
              <w:t>Fowlkes</w:t>
            </w:r>
          </w:p>
          <w:p w:rsidR="00BA7DE6" w:rsidP="00C34632" w14:paraId="18D7E695"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Chief</w:t>
            </w:r>
          </w:p>
          <w:p w:rsidR="00BA7DE6" w:rsidP="00C34632" w14:paraId="2DB5A5F1"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 xml:space="preserve">Public Safety and Homeland Security Bureau </w:t>
            </w:r>
          </w:p>
        </w:tc>
        <w:tc>
          <w:tcPr>
            <w:tcW w:w="4675" w:type="dxa"/>
          </w:tcPr>
          <w:p w:rsidR="00BA7DE6" w:rsidP="00C34632" w14:paraId="2CABD0CA"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 xml:space="preserve">Thomas </w:t>
            </w:r>
            <w:r w:rsidR="00E4274F">
              <w:rPr>
                <w:snapToGrid w:val="0"/>
                <w:kern w:val="28"/>
                <w:sz w:val="22"/>
                <w:lang w:val="en-US" w:eastAsia="en-US" w:bidi="ar-SA"/>
              </w:rPr>
              <w:t xml:space="preserve">P. </w:t>
            </w:r>
            <w:r>
              <w:rPr>
                <w:snapToGrid w:val="0"/>
                <w:kern w:val="28"/>
                <w:sz w:val="22"/>
                <w:lang w:val="en-US" w:eastAsia="en-US" w:bidi="ar-SA"/>
              </w:rPr>
              <w:t>Sullivan</w:t>
            </w:r>
          </w:p>
          <w:p w:rsidR="00BA7DE6" w:rsidP="00C34632" w14:paraId="56759EBD"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Chief</w:t>
            </w:r>
          </w:p>
          <w:p w:rsidR="00BA7DE6" w:rsidP="00C34632" w14:paraId="79578BD4" w14:textId="77777777">
            <w:pPr>
              <w:pStyle w:val="ParaNum"/>
              <w:widowControl/>
              <w:numPr>
                <w:ilvl w:val="0"/>
                <w:numId w:val="0"/>
              </w:numPr>
              <w:tabs>
                <w:tab w:val="clear" w:pos="1080"/>
              </w:tabs>
              <w:spacing w:after="0"/>
              <w:ind w:left="0" w:firstLine="0"/>
              <w:rPr>
                <w:rStyle w:val="DefaultParagraphFont"/>
                <w:snapToGrid w:val="0"/>
                <w:kern w:val="28"/>
                <w:sz w:val="22"/>
                <w:lang w:val="en-US" w:eastAsia="en-US" w:bidi="ar-SA"/>
              </w:rPr>
            </w:pPr>
            <w:r>
              <w:rPr>
                <w:snapToGrid w:val="0"/>
                <w:kern w:val="28"/>
                <w:sz w:val="22"/>
                <w:lang w:val="en-US" w:eastAsia="en-US" w:bidi="ar-SA"/>
              </w:rPr>
              <w:t>International Bureau</w:t>
            </w:r>
          </w:p>
        </w:tc>
      </w:tr>
    </w:tbl>
    <w:p w:rsidR="00353664" w:rsidRPr="00F86CE7" w:rsidP="00C34632" w14:paraId="39C4432E" w14:textId="77777777">
      <w:pPr>
        <w:pStyle w:val="ParaNum"/>
        <w:widowControl/>
        <w:numPr>
          <w:ilvl w:val="0"/>
          <w:numId w:val="0"/>
        </w:numPr>
        <w:ind w:firstLine="720"/>
      </w:pPr>
    </w:p>
    <w:sectPr w:rsidSect="00395049">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EE5AD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A1F9C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6C2A9C3" w14:textId="77777777">
    <w:pPr>
      <w:pStyle w:val="Footer"/>
      <w:framePr w:wrap="around" w:vAnchor="text" w:hAnchor="margin" w:xAlign="center" w:y="1"/>
    </w:pPr>
    <w:r>
      <w:fldChar w:fldCharType="begin"/>
    </w:r>
    <w:r>
      <w:instrText xml:space="preserve">PAGE  </w:instrText>
    </w:r>
    <w:r>
      <w:fldChar w:fldCharType="separate"/>
    </w:r>
    <w:r w:rsidR="00DB292A">
      <w:rPr>
        <w:noProof/>
      </w:rPr>
      <w:t>2</w:t>
    </w:r>
    <w:r>
      <w:fldChar w:fldCharType="end"/>
    </w:r>
  </w:p>
  <w:p w:rsidR="00D25FB5" w14:paraId="14F77403"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77ACCA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4888" w14:paraId="1D1FF340" w14:textId="77777777">
      <w:r>
        <w:separator/>
      </w:r>
    </w:p>
  </w:footnote>
  <w:footnote w:type="continuationSeparator" w:id="1">
    <w:p w:rsidR="00904888" w:rsidP="00C721AC" w14:paraId="0552605F" w14:textId="77777777">
      <w:pPr>
        <w:spacing w:before="120"/>
        <w:rPr>
          <w:sz w:val="20"/>
        </w:rPr>
      </w:pPr>
      <w:r>
        <w:rPr>
          <w:sz w:val="20"/>
        </w:rPr>
        <w:t xml:space="preserve">(Continued from previous page)  </w:t>
      </w:r>
      <w:r>
        <w:rPr>
          <w:sz w:val="20"/>
        </w:rPr>
        <w:separator/>
      </w:r>
    </w:p>
  </w:footnote>
  <w:footnote w:type="continuationNotice" w:id="2">
    <w:p w:rsidR="00904888" w:rsidP="00C721AC" w14:paraId="1305A2F2" w14:textId="77777777">
      <w:pPr>
        <w:jc w:val="right"/>
        <w:rPr>
          <w:sz w:val="20"/>
        </w:rPr>
      </w:pPr>
      <w:r>
        <w:rPr>
          <w:sz w:val="20"/>
        </w:rPr>
        <w:t>(continued….)</w:t>
      </w:r>
    </w:p>
  </w:footnote>
  <w:footnote w:id="3">
    <w:p w:rsidR="00AD6BFC" w14:paraId="323C38D3" w14:textId="77777777">
      <w:pPr>
        <w:pStyle w:val="FootnoteText"/>
      </w:pPr>
      <w:r>
        <w:rPr>
          <w:rStyle w:val="FootnoteReference"/>
        </w:rPr>
        <w:footnoteRef/>
      </w:r>
      <w:r>
        <w:t xml:space="preserve"> </w:t>
      </w:r>
      <w:r w:rsidR="00DD0BE8">
        <w:t xml:space="preserve">Petition for Declaratory Ruling, </w:t>
      </w:r>
      <w:r w:rsidRPr="00DD0BE8" w:rsidR="00DD0BE8">
        <w:t>Comunicaciones Digitales del Norte, S.A. de C.V., Radio Sistemas de Tamaulipas, S.A. de C.V., Troncatel, S.A. de C.V., and Union Agricola Regional del Norte de Tamaulipas</w:t>
      </w:r>
      <w:r w:rsidR="00DD0BE8">
        <w:t xml:space="preserve">, August 15, 2017 (Second Petition). </w:t>
      </w:r>
      <w:r w:rsidRPr="00DD0BE8" w:rsidR="00DD0BE8">
        <w:t xml:space="preserve"> </w:t>
      </w:r>
    </w:p>
  </w:footnote>
  <w:footnote w:id="4">
    <w:p w:rsidR="00AD6BFC" w14:paraId="4B5CCACC" w14:textId="77777777">
      <w:pPr>
        <w:pStyle w:val="FootnoteText"/>
      </w:pPr>
      <w:r>
        <w:rPr>
          <w:rStyle w:val="FootnoteReference"/>
        </w:rPr>
        <w:footnoteRef/>
      </w:r>
      <w:r>
        <w:t xml:space="preserve"> </w:t>
      </w:r>
      <w:r w:rsidR="00DD0BE8">
        <w:t>Second Petition at 2-3.</w:t>
      </w:r>
    </w:p>
  </w:footnote>
  <w:footnote w:id="5">
    <w:p w:rsidR="00757FA5" w:rsidP="00757FA5" w14:paraId="41DCCD46" w14:textId="77777777">
      <w:pPr>
        <w:pStyle w:val="FootnoteText"/>
      </w:pPr>
      <w:r>
        <w:rPr>
          <w:rStyle w:val="FootnoteReference"/>
        </w:rPr>
        <w:footnoteRef/>
      </w:r>
      <w:r>
        <w:t xml:space="preserve"> </w:t>
      </w:r>
      <w:r w:rsidRPr="00DC5AC5">
        <w:rPr>
          <w:i/>
        </w:rPr>
        <w:t>Comunicaciones Digitales del Norte, S.A. de C.V., Radio Sistemas de Tamaulipas, S.A. de C.V., Troncatel, S.A. de C.V., and Union Agricola Regional del Norte de Tamaulipas, Petition for Declaratory Ruling</w:t>
      </w:r>
      <w:r>
        <w:t>, Order, 31 FCC Rcd 11885 (PSHSB/IB 2016)</w:t>
      </w:r>
      <w:r w:rsidR="00B01E67">
        <w:t xml:space="preserve"> </w:t>
      </w:r>
      <w:r>
        <w:t>(</w:t>
      </w:r>
      <w:r w:rsidRPr="006211CC">
        <w:rPr>
          <w:i/>
        </w:rPr>
        <w:t xml:space="preserve">2016 </w:t>
      </w:r>
      <w:r w:rsidR="00AB2A78">
        <w:rPr>
          <w:i/>
        </w:rPr>
        <w:t xml:space="preserve">Dismissal </w:t>
      </w:r>
      <w:r w:rsidRPr="006211CC">
        <w:rPr>
          <w:i/>
        </w:rPr>
        <w:t>Order</w:t>
      </w:r>
      <w:r>
        <w:t>).</w:t>
      </w:r>
    </w:p>
  </w:footnote>
  <w:footnote w:id="6">
    <w:p w:rsidR="001E0A8B" w:rsidP="001E0A8B" w14:paraId="4EBBD61D" w14:textId="77777777">
      <w:pPr>
        <w:pStyle w:val="FootnoteText"/>
        <w:rPr>
          <w:b/>
        </w:rPr>
      </w:pPr>
      <w:r>
        <w:rPr>
          <w:rStyle w:val="FootnoteReference"/>
        </w:rPr>
        <w:footnoteRef/>
      </w:r>
      <w:r>
        <w:t xml:space="preserve"> </w:t>
      </w:r>
      <w:r>
        <w:rPr>
          <w:i/>
        </w:rPr>
        <w:t xml:space="preserve">See </w:t>
      </w:r>
      <w:r>
        <w:t xml:space="preserve">Protocol Between the Department of State of the United States of America and the Secretariat of Communications and Transportation of the United Mexican States Concerning the Allotment, Assignment and Use of the 806-824/851-869 MHz and 896-901/935-940 MHz Bands for Terrestrial Non-Broadcasting Radiocommunication Services Along the Common Border (June 8, 2012) (Amended Protocol). </w:t>
      </w:r>
    </w:p>
  </w:footnote>
  <w:footnote w:id="7">
    <w:p w:rsidR="001E0A8B" w:rsidRPr="000569AA" w:rsidP="001E0A8B" w14:paraId="1711EEA7" w14:textId="77777777">
      <w:pPr>
        <w:pStyle w:val="FootnoteText"/>
      </w:pPr>
      <w:r>
        <w:rPr>
          <w:rStyle w:val="FootnoteReference"/>
        </w:rPr>
        <w:footnoteRef/>
      </w:r>
      <w:r>
        <w:t xml:space="preserve"> The Sharing Zone is a region extending 110 kilometers from the border into each country.  </w:t>
      </w:r>
      <w:r>
        <w:rPr>
          <w:i/>
        </w:rPr>
        <w:t xml:space="preserve">See Improving Public Safety Communications in the 800 MHz Band, </w:t>
      </w:r>
      <w:r>
        <w:t>Fifth Report and Order, 28 FCC Rcd 4085, 4086 para. 2 (PSHSB 2013)</w:t>
      </w:r>
      <w:r>
        <w:rPr>
          <w:i/>
        </w:rPr>
        <w:t>.</w:t>
      </w:r>
    </w:p>
  </w:footnote>
  <w:footnote w:id="8">
    <w:p w:rsidR="00BE0247" w14:paraId="25FD4786" w14:textId="77777777">
      <w:pPr>
        <w:pStyle w:val="FootnoteText"/>
      </w:pPr>
      <w:r>
        <w:rPr>
          <w:rStyle w:val="FootnoteReference"/>
        </w:rPr>
        <w:footnoteRef/>
      </w:r>
      <w:r w:rsidR="00DD0BE8">
        <w:t xml:space="preserve"> </w:t>
      </w:r>
      <w:r>
        <w:t xml:space="preserve"> </w:t>
      </w:r>
      <w:r w:rsidRPr="00DD0BE8" w:rsidR="00DD0BE8">
        <w:t>Petition for Declaratory Ruling, Comunicaciones Digitales del Norte, S.A. de C.V., Radio Sistemas de Tamaulipas, S.A. de C.V., Troncatel, S.A. de C.V., and Union Agricola Regional del Norte de Tamaulipas</w:t>
      </w:r>
      <w:r w:rsidR="00DD0BE8">
        <w:t>, July 29, 2017</w:t>
      </w:r>
      <w:r w:rsidRPr="00DD0BE8" w:rsidR="00DD0BE8">
        <w:t xml:space="preserve"> (</w:t>
      </w:r>
      <w:r w:rsidR="00DD0BE8">
        <w:t xml:space="preserve">First </w:t>
      </w:r>
      <w:r w:rsidRPr="00DD0BE8" w:rsidR="00DD0BE8">
        <w:t xml:space="preserve">Petition).  </w:t>
      </w:r>
      <w:r>
        <w:t>In particular, Petitioners s</w:t>
      </w:r>
      <w:r w:rsidR="00ED7E4C">
        <w:t xml:space="preserve">ought </w:t>
      </w:r>
      <w:r>
        <w:t xml:space="preserve">reimbursement </w:t>
      </w:r>
      <w:r w:rsidR="00ED7E4C">
        <w:t xml:space="preserve">from AT&amp;T Mexico </w:t>
      </w:r>
      <w:r>
        <w:t xml:space="preserve">for costs and damages they </w:t>
      </w:r>
      <w:r w:rsidR="001E0A8B">
        <w:t xml:space="preserve">contend </w:t>
      </w:r>
      <w:r>
        <w:t xml:space="preserve">were incurred by reason of implementation of </w:t>
      </w:r>
      <w:r w:rsidR="001E0A8B">
        <w:t>the Amended P</w:t>
      </w:r>
      <w:r w:rsidR="00ED7E4C">
        <w:t>rotocol</w:t>
      </w:r>
      <w:r w:rsidR="001E0A8B">
        <w:t xml:space="preserve">. </w:t>
      </w:r>
      <w:r w:rsidR="00ED7E4C">
        <w:t xml:space="preserve"> Petitioners also s</w:t>
      </w:r>
      <w:r w:rsidR="00127F59">
        <w:t xml:space="preserve">ought </w:t>
      </w:r>
      <w:r w:rsidR="00ED7E4C">
        <w:t xml:space="preserve">reimbursement from Sprint for costs and damages Petitioners </w:t>
      </w:r>
      <w:r w:rsidR="001E0A8B">
        <w:t xml:space="preserve">contend </w:t>
      </w:r>
      <w:r w:rsidR="00ED7E4C">
        <w:t xml:space="preserve">were incurred as a result of the requirement by </w:t>
      </w:r>
      <w:r w:rsidR="00127F59">
        <w:t>IFT</w:t>
      </w:r>
      <w:r w:rsidR="00ED7E4C">
        <w:t xml:space="preserve"> to relocate their communications facilities from the 800 MHz Band to the 400 MHz Band.  Finally, Petitioners request</w:t>
      </w:r>
      <w:r w:rsidR="00127F59">
        <w:t>ed</w:t>
      </w:r>
      <w:r w:rsidR="00ED7E4C">
        <w:t xml:space="preserve"> </w:t>
      </w:r>
      <w:r w:rsidR="00127F59">
        <w:t>that both AT&amp;T Mexico and Sprint</w:t>
      </w:r>
      <w:r w:rsidR="00ED7E4C">
        <w:t xml:space="preserve"> report to the Commission payments they have made, if any, to Mexican operators within the Mexico side of the Sharing Zone, pursuant to the Amended Protocol.</w:t>
      </w:r>
      <w:r w:rsidR="006D00DA">
        <w:t xml:space="preserve"> </w:t>
      </w:r>
      <w:r w:rsidR="00F8620E">
        <w:t xml:space="preserve"> </w:t>
      </w:r>
      <w:r w:rsidRPr="00F8620E" w:rsidR="00F8620E">
        <w:rPr>
          <w:i/>
        </w:rPr>
        <w:t>Id.</w:t>
      </w:r>
      <w:r w:rsidR="00F8620E">
        <w:t xml:space="preserve"> at 2, 5-9.</w:t>
      </w:r>
    </w:p>
  </w:footnote>
  <w:footnote w:id="9">
    <w:p w:rsidR="005A1F12" w14:paraId="00ADA4C5" w14:textId="77777777">
      <w:pPr>
        <w:pStyle w:val="FootnoteText"/>
      </w:pPr>
      <w:r>
        <w:rPr>
          <w:rStyle w:val="FootnoteReference"/>
        </w:rPr>
        <w:footnoteRef/>
      </w:r>
      <w:r>
        <w:t xml:space="preserve"> </w:t>
      </w:r>
      <w:r w:rsidRPr="007D6E0D" w:rsidR="0086191B">
        <w:rPr>
          <w:i/>
        </w:rPr>
        <w:t>2016 Dismissal Order</w:t>
      </w:r>
      <w:r w:rsidR="0086191B">
        <w:t xml:space="preserve"> at </w:t>
      </w:r>
      <w:r w:rsidR="004D7DD7">
        <w:t>11887</w:t>
      </w:r>
      <w:r w:rsidR="006D00DA">
        <w:t>,</w:t>
      </w:r>
      <w:r w:rsidR="004D7DD7">
        <w:t xml:space="preserve"> para 8</w:t>
      </w:r>
      <w:r w:rsidR="0086191B">
        <w:t xml:space="preserve">. </w:t>
      </w:r>
      <w:r>
        <w:t xml:space="preserve">  </w:t>
      </w:r>
    </w:p>
  </w:footnote>
  <w:footnote w:id="10">
    <w:p w:rsidR="005A1F12" w:rsidRPr="007D6E0D" w:rsidP="005A1F12" w14:paraId="2096B8D0" w14:textId="77777777">
      <w:pPr>
        <w:pStyle w:val="FootnoteText"/>
        <w:rPr>
          <w:i/>
        </w:rPr>
      </w:pPr>
      <w:r>
        <w:rPr>
          <w:rStyle w:val="FootnoteReference"/>
        </w:rPr>
        <w:footnoteRef/>
      </w:r>
      <w:r>
        <w:t xml:space="preserve"> </w:t>
      </w:r>
      <w:r w:rsidRPr="007D6E0D" w:rsidR="003721FD">
        <w:rPr>
          <w:i/>
        </w:rPr>
        <w:t xml:space="preserve">Id. </w:t>
      </w:r>
    </w:p>
  </w:footnote>
  <w:footnote w:id="11">
    <w:p w:rsidR="008F400B" w14:paraId="513CD396" w14:textId="77777777">
      <w:pPr>
        <w:pStyle w:val="FootnoteText"/>
      </w:pPr>
      <w:r>
        <w:rPr>
          <w:rStyle w:val="FootnoteReference"/>
        </w:rPr>
        <w:footnoteRef/>
      </w:r>
      <w:r>
        <w:t xml:space="preserve"> 47 CFR </w:t>
      </w:r>
      <w:r w:rsidR="006211CC">
        <w:t>1.2(a).</w:t>
      </w:r>
    </w:p>
  </w:footnote>
  <w:footnote w:id="12">
    <w:p w:rsidR="00073EFE" w14:paraId="258E0689" w14:textId="77777777">
      <w:pPr>
        <w:pStyle w:val="FootnoteText"/>
      </w:pPr>
      <w:r>
        <w:rPr>
          <w:rStyle w:val="FootnoteReference"/>
        </w:rPr>
        <w:footnoteRef/>
      </w:r>
      <w:r>
        <w:t xml:space="preserve"> </w:t>
      </w:r>
      <w:r w:rsidRPr="006211CC" w:rsidR="006211CC">
        <w:rPr>
          <w:i/>
        </w:rPr>
        <w:t>Id.</w:t>
      </w:r>
      <w:r w:rsidR="006211CC">
        <w:t xml:space="preserve"> </w:t>
      </w:r>
    </w:p>
  </w:footnote>
  <w:footnote w:id="13">
    <w:p w:rsidR="00A470A7" w14:paraId="549D7A41" w14:textId="77777777">
      <w:pPr>
        <w:pStyle w:val="FootnoteText"/>
      </w:pPr>
      <w:r>
        <w:rPr>
          <w:rStyle w:val="FootnoteReference"/>
        </w:rPr>
        <w:footnoteRef/>
      </w:r>
      <w:r>
        <w:t xml:space="preserve"> Second Petition at</w:t>
      </w:r>
      <w:r w:rsidRPr="0086191B" w:rsidR="0086191B">
        <w:t xml:space="preserve"> </w:t>
      </w:r>
      <w:r w:rsidR="0086191B">
        <w:t xml:space="preserve">7-9.  </w:t>
      </w:r>
    </w:p>
  </w:footnote>
  <w:footnote w:id="14">
    <w:p w:rsidR="008270BB" w:rsidP="008270BB" w14:paraId="3867EA34" w14:textId="77777777">
      <w:pPr>
        <w:pStyle w:val="FootnoteText"/>
      </w:pPr>
      <w:r>
        <w:rPr>
          <w:rStyle w:val="FootnoteReference"/>
        </w:rPr>
        <w:footnoteRef/>
      </w:r>
      <w:r>
        <w:t xml:space="preserve"> </w:t>
      </w:r>
      <w:r w:rsidRPr="007D6E0D" w:rsidR="004400AF">
        <w:rPr>
          <w:i/>
        </w:rPr>
        <w:t>Id</w:t>
      </w:r>
      <w:r w:rsidR="004400AF">
        <w:t xml:space="preserve">. </w:t>
      </w:r>
      <w:r>
        <w:t>at 7</w:t>
      </w:r>
      <w:r w:rsidR="004400AF">
        <w:t>.</w:t>
      </w:r>
      <w:r>
        <w:t xml:space="preserve"> </w:t>
      </w:r>
    </w:p>
  </w:footnote>
  <w:footnote w:id="15">
    <w:p w:rsidR="004400AF" w14:paraId="05909786" w14:textId="77777777">
      <w:pPr>
        <w:pStyle w:val="FootnoteText"/>
      </w:pPr>
      <w:r>
        <w:rPr>
          <w:rStyle w:val="FootnoteReference"/>
        </w:rPr>
        <w:footnoteRef/>
      </w:r>
      <w:r>
        <w:t xml:space="preserve"> </w:t>
      </w:r>
      <w:r w:rsidRPr="004D7DD7" w:rsidR="004D7DD7">
        <w:rPr>
          <w:i/>
        </w:rPr>
        <w:t>See</w:t>
      </w:r>
      <w:r w:rsidR="004D7DD7">
        <w:t xml:space="preserve"> </w:t>
      </w:r>
      <w:r w:rsidRPr="007D6E0D">
        <w:rPr>
          <w:i/>
        </w:rPr>
        <w:t>2016 Dismissal Order</w:t>
      </w:r>
      <w:r>
        <w:t xml:space="preserve"> at </w:t>
      </w:r>
      <w:r w:rsidR="004D7DD7">
        <w:t>11887, para 10</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292A" w14:paraId="383914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691FE00" w14:textId="175629AC">
    <w:pPr>
      <w:pStyle w:val="Header"/>
      <w:rPr>
        <w:b w:val="0"/>
      </w:rPr>
    </w:pPr>
    <w:r>
      <w:tab/>
      <w:t>Federal Communications Commission</w:t>
    </w:r>
    <w:r>
      <w:tab/>
    </w:r>
    <w:r w:rsidR="008317CF">
      <w:t xml:space="preserve">DA </w:t>
    </w:r>
    <w:r w:rsidR="00881798">
      <w:t>18-132</w:t>
    </w:r>
  </w:p>
  <w:p w:rsidR="00D25FB5" w14:paraId="29CA0B2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71AF079"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D4B5DA" w14:textId="4BAAE1F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317CF">
      <w:t xml:space="preserve">DA </w:t>
    </w:r>
    <w:r w:rsidR="00881798">
      <w:t>18-132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 w:numId="9">
    <w:abstractNumId w:val="5"/>
  </w:num>
  <w:num w:numId="10">
    <w:abstractNumId w:val="5"/>
  </w:num>
  <w:num w:numId="11">
    <w:abstractNumId w:val="5"/>
  </w:num>
  <w:num w:numId="12">
    <w:abstractNumId w:val="5"/>
    <w:lvlOverride w:ilvl="0">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E51"/>
    <w:rsid w:val="00036039"/>
    <w:rsid w:val="00037F90"/>
    <w:rsid w:val="00040537"/>
    <w:rsid w:val="00047AA2"/>
    <w:rsid w:val="000569AA"/>
    <w:rsid w:val="00073EFE"/>
    <w:rsid w:val="000875BF"/>
    <w:rsid w:val="00094373"/>
    <w:rsid w:val="00096D8C"/>
    <w:rsid w:val="000C0B65"/>
    <w:rsid w:val="000E05FE"/>
    <w:rsid w:val="000E3D42"/>
    <w:rsid w:val="00113570"/>
    <w:rsid w:val="00122BD5"/>
    <w:rsid w:val="00127F59"/>
    <w:rsid w:val="00133F79"/>
    <w:rsid w:val="00194A66"/>
    <w:rsid w:val="001C1741"/>
    <w:rsid w:val="001D3D52"/>
    <w:rsid w:val="001D6BCF"/>
    <w:rsid w:val="001E01CA"/>
    <w:rsid w:val="001E0A8B"/>
    <w:rsid w:val="00213FCD"/>
    <w:rsid w:val="00217BCA"/>
    <w:rsid w:val="00275CF5"/>
    <w:rsid w:val="0028301F"/>
    <w:rsid w:val="00285017"/>
    <w:rsid w:val="002A2D2E"/>
    <w:rsid w:val="002B3731"/>
    <w:rsid w:val="002B6E4A"/>
    <w:rsid w:val="002C00E8"/>
    <w:rsid w:val="002C3E38"/>
    <w:rsid w:val="003335F9"/>
    <w:rsid w:val="00333B83"/>
    <w:rsid w:val="00343749"/>
    <w:rsid w:val="00353664"/>
    <w:rsid w:val="00362D09"/>
    <w:rsid w:val="003660ED"/>
    <w:rsid w:val="003721FD"/>
    <w:rsid w:val="00390025"/>
    <w:rsid w:val="00395049"/>
    <w:rsid w:val="003B0550"/>
    <w:rsid w:val="003B694F"/>
    <w:rsid w:val="003F171C"/>
    <w:rsid w:val="003F25E2"/>
    <w:rsid w:val="003F2618"/>
    <w:rsid w:val="00412FC5"/>
    <w:rsid w:val="0041750D"/>
    <w:rsid w:val="00422276"/>
    <w:rsid w:val="004242F1"/>
    <w:rsid w:val="004400AF"/>
    <w:rsid w:val="00445A00"/>
    <w:rsid w:val="00451B0F"/>
    <w:rsid w:val="0046724B"/>
    <w:rsid w:val="00486C9A"/>
    <w:rsid w:val="004A077F"/>
    <w:rsid w:val="004B4215"/>
    <w:rsid w:val="004C2EE3"/>
    <w:rsid w:val="004D7DD7"/>
    <w:rsid w:val="004E4A22"/>
    <w:rsid w:val="00511968"/>
    <w:rsid w:val="005504A0"/>
    <w:rsid w:val="0055614C"/>
    <w:rsid w:val="005A1F12"/>
    <w:rsid w:val="005E14C2"/>
    <w:rsid w:val="00607BA5"/>
    <w:rsid w:val="0061180A"/>
    <w:rsid w:val="006211CC"/>
    <w:rsid w:val="00624BD1"/>
    <w:rsid w:val="00626EB6"/>
    <w:rsid w:val="00631B0C"/>
    <w:rsid w:val="00655D03"/>
    <w:rsid w:val="00671473"/>
    <w:rsid w:val="00683388"/>
    <w:rsid w:val="00683F84"/>
    <w:rsid w:val="006A6A81"/>
    <w:rsid w:val="006D00DA"/>
    <w:rsid w:val="006F7393"/>
    <w:rsid w:val="0070224F"/>
    <w:rsid w:val="007115F7"/>
    <w:rsid w:val="00757FA5"/>
    <w:rsid w:val="00785689"/>
    <w:rsid w:val="0079754B"/>
    <w:rsid w:val="007A1E6D"/>
    <w:rsid w:val="007B0EB2"/>
    <w:rsid w:val="007D6E0D"/>
    <w:rsid w:val="007E35D7"/>
    <w:rsid w:val="00810B6F"/>
    <w:rsid w:val="00822CE0"/>
    <w:rsid w:val="008270BB"/>
    <w:rsid w:val="008317CF"/>
    <w:rsid w:val="00840DB8"/>
    <w:rsid w:val="00841AB1"/>
    <w:rsid w:val="008447E9"/>
    <w:rsid w:val="0086191B"/>
    <w:rsid w:val="00875391"/>
    <w:rsid w:val="00881798"/>
    <w:rsid w:val="008C2CFC"/>
    <w:rsid w:val="008C5E69"/>
    <w:rsid w:val="008C68F1"/>
    <w:rsid w:val="008F400B"/>
    <w:rsid w:val="008F50ED"/>
    <w:rsid w:val="00900FDD"/>
    <w:rsid w:val="00904888"/>
    <w:rsid w:val="00921803"/>
    <w:rsid w:val="00926503"/>
    <w:rsid w:val="009726D8"/>
    <w:rsid w:val="009F76DB"/>
    <w:rsid w:val="00A030A0"/>
    <w:rsid w:val="00A060E3"/>
    <w:rsid w:val="00A26890"/>
    <w:rsid w:val="00A32C3B"/>
    <w:rsid w:val="00A44B0A"/>
    <w:rsid w:val="00A45F4F"/>
    <w:rsid w:val="00A470A7"/>
    <w:rsid w:val="00A600A9"/>
    <w:rsid w:val="00AA55B7"/>
    <w:rsid w:val="00AA5B9E"/>
    <w:rsid w:val="00AB2407"/>
    <w:rsid w:val="00AB2A78"/>
    <w:rsid w:val="00AB53DF"/>
    <w:rsid w:val="00AD6BFC"/>
    <w:rsid w:val="00AE1D83"/>
    <w:rsid w:val="00B01E67"/>
    <w:rsid w:val="00B07E5C"/>
    <w:rsid w:val="00B2729A"/>
    <w:rsid w:val="00B44D36"/>
    <w:rsid w:val="00B811F7"/>
    <w:rsid w:val="00BA5DC6"/>
    <w:rsid w:val="00BA6196"/>
    <w:rsid w:val="00BA7DE6"/>
    <w:rsid w:val="00BC0E51"/>
    <w:rsid w:val="00BC6D8C"/>
    <w:rsid w:val="00BE0247"/>
    <w:rsid w:val="00C34006"/>
    <w:rsid w:val="00C34632"/>
    <w:rsid w:val="00C35F57"/>
    <w:rsid w:val="00C426B1"/>
    <w:rsid w:val="00C66160"/>
    <w:rsid w:val="00C7047E"/>
    <w:rsid w:val="00C721AC"/>
    <w:rsid w:val="00C90D6A"/>
    <w:rsid w:val="00C94428"/>
    <w:rsid w:val="00CA247E"/>
    <w:rsid w:val="00CA50BE"/>
    <w:rsid w:val="00CC72B6"/>
    <w:rsid w:val="00D0218D"/>
    <w:rsid w:val="00D25FB5"/>
    <w:rsid w:val="00D44223"/>
    <w:rsid w:val="00D4505E"/>
    <w:rsid w:val="00DA2529"/>
    <w:rsid w:val="00DB130A"/>
    <w:rsid w:val="00DB292A"/>
    <w:rsid w:val="00DB2EBB"/>
    <w:rsid w:val="00DC10A1"/>
    <w:rsid w:val="00DC5AC5"/>
    <w:rsid w:val="00DC655F"/>
    <w:rsid w:val="00DD0B59"/>
    <w:rsid w:val="00DD0BE8"/>
    <w:rsid w:val="00DD7EBD"/>
    <w:rsid w:val="00DF62B6"/>
    <w:rsid w:val="00E07225"/>
    <w:rsid w:val="00E4274F"/>
    <w:rsid w:val="00E5409F"/>
    <w:rsid w:val="00EA2187"/>
    <w:rsid w:val="00EA26E4"/>
    <w:rsid w:val="00ED7E4C"/>
    <w:rsid w:val="00EE6488"/>
    <w:rsid w:val="00EF0546"/>
    <w:rsid w:val="00F021FA"/>
    <w:rsid w:val="00F62E97"/>
    <w:rsid w:val="00F64209"/>
    <w:rsid w:val="00F8620E"/>
    <w:rsid w:val="00F86CE7"/>
    <w:rsid w:val="00F93BF5"/>
    <w:rsid w:val="00FC7E4C"/>
    <w:rsid w:val="00FF54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Footnote Text Char,Footnote Text Char Char,Footnote Text Char Char Char Char Char Char,Footnote Text Char1,Footnote Text Char1 Char Char Char,Footnote Text Char1 Char1,Footnote Text Char2,Footnote Text Char2 Char Char Char Char,f,fn"/>
    <w:link w:val="FootnoteTextChar3"/>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basedOn w:val="DefaultParagraphFont"/>
    <w:rsid w:val="00AD6BFC"/>
    <w:rPr>
      <w:sz w:val="16"/>
      <w:szCs w:val="16"/>
    </w:rPr>
  </w:style>
  <w:style w:type="paragraph" w:styleId="CommentText">
    <w:name w:val="annotation text"/>
    <w:basedOn w:val="Normal"/>
    <w:link w:val="CommentTextChar"/>
    <w:rsid w:val="00AD6BFC"/>
    <w:rPr>
      <w:sz w:val="20"/>
    </w:rPr>
  </w:style>
  <w:style w:type="character" w:customStyle="1" w:styleId="CommentTextChar">
    <w:name w:val="Comment Text Char"/>
    <w:basedOn w:val="DefaultParagraphFont"/>
    <w:link w:val="CommentText"/>
    <w:rsid w:val="00AD6BFC"/>
    <w:rPr>
      <w:snapToGrid w:val="0"/>
      <w:kern w:val="28"/>
    </w:rPr>
  </w:style>
  <w:style w:type="paragraph" w:styleId="CommentSubject">
    <w:name w:val="annotation subject"/>
    <w:basedOn w:val="CommentText"/>
    <w:next w:val="CommentText"/>
    <w:link w:val="CommentSubjectChar"/>
    <w:rsid w:val="00AD6BFC"/>
    <w:rPr>
      <w:b/>
      <w:bCs/>
    </w:rPr>
  </w:style>
  <w:style w:type="character" w:customStyle="1" w:styleId="CommentSubjectChar">
    <w:name w:val="Comment Subject Char"/>
    <w:basedOn w:val="CommentTextChar"/>
    <w:link w:val="CommentSubject"/>
    <w:rsid w:val="00AD6BFC"/>
    <w:rPr>
      <w:b/>
      <w:bCs/>
      <w:snapToGrid w:val="0"/>
      <w:kern w:val="28"/>
    </w:rPr>
  </w:style>
  <w:style w:type="paragraph" w:styleId="BalloonText">
    <w:name w:val="Balloon Text"/>
    <w:basedOn w:val="Normal"/>
    <w:link w:val="BalloonTextChar"/>
    <w:rsid w:val="00AD6BFC"/>
    <w:rPr>
      <w:rFonts w:ascii="Segoe UI" w:hAnsi="Segoe UI" w:cs="Segoe UI"/>
      <w:sz w:val="18"/>
      <w:szCs w:val="18"/>
    </w:rPr>
  </w:style>
  <w:style w:type="character" w:customStyle="1" w:styleId="BalloonTextChar">
    <w:name w:val="Balloon Text Char"/>
    <w:basedOn w:val="DefaultParagraphFont"/>
    <w:link w:val="BalloonText"/>
    <w:rsid w:val="00AD6BFC"/>
    <w:rPr>
      <w:rFonts w:ascii="Segoe UI" w:hAnsi="Segoe UI" w:cs="Segoe UI"/>
      <w:snapToGrid w:val="0"/>
      <w:kern w:val="28"/>
      <w:sz w:val="18"/>
      <w:szCs w:val="18"/>
    </w:rPr>
  </w:style>
  <w:style w:type="table" w:styleId="TableGrid">
    <w:name w:val="Table Grid"/>
    <w:basedOn w:val="TableNormal"/>
    <w:rsid w:val="00BA7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3">
    <w:name w:val="Footnote Text Char3"/>
    <w:aliases w:val="Footnote Text Char Char Char Char Char Char Char,Footnote Text Char Char1,Footnote Text Char1 Char Char Char Char,Footnote Text Char1 Char1 Char,Footnote Text Char2 Char,Footnote Text Char2 Char Char Char Char Char,f Char,fn Char"/>
    <w:link w:val="FootnoteText"/>
    <w:rsid w:val="001E0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E9DFF-5F3D-4E2A-9D65-AB1B4DB92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2018-02-12T15:40:46Z</dcterms:created>
  <dcterms:modified xsi:type="dcterms:W3CDTF">2018-02-12T15:40:46Z</dcterms:modified>
</cp:coreProperties>
</file>