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602577">
      <w:pPr>
        <w:pStyle w:val="Header"/>
        <w:tabs>
          <w:tab w:val="clear" w:pos="4320"/>
          <w:tab w:val="clear" w:pos="8640"/>
        </w:tabs>
        <w:sectPr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602577" w:rsidRPr="002C148E">
      <w:pPr>
        <w:jc w:val="right"/>
        <w:rPr>
          <w:b/>
          <w:szCs w:val="22"/>
        </w:rPr>
      </w:pPr>
      <w:r w:rsidRPr="002C148E">
        <w:rPr>
          <w:b/>
          <w:szCs w:val="22"/>
        </w:rPr>
        <w:t>DA 18-</w:t>
      </w:r>
      <w:r w:rsidR="0094123A">
        <w:rPr>
          <w:b/>
          <w:szCs w:val="22"/>
        </w:rPr>
        <w:t>143</w:t>
      </w:r>
    </w:p>
    <w:p w:rsidR="002C148E" w:rsidRPr="00D379F9" w:rsidP="002C148E">
      <w:pPr>
        <w:spacing w:before="60"/>
        <w:jc w:val="right"/>
        <w:rPr>
          <w:b/>
          <w:szCs w:val="22"/>
        </w:rPr>
      </w:pPr>
      <w:r>
        <w:rPr>
          <w:b/>
          <w:szCs w:val="22"/>
        </w:rPr>
        <w:t>Released: February 13</w:t>
      </w:r>
      <w:r w:rsidRPr="00D379F9">
        <w:rPr>
          <w:b/>
          <w:szCs w:val="22"/>
        </w:rPr>
        <w:t>, 201</w:t>
      </w:r>
      <w:r>
        <w:rPr>
          <w:b/>
          <w:szCs w:val="22"/>
        </w:rPr>
        <w:t>8</w:t>
      </w:r>
    </w:p>
    <w:p w:rsidR="002C148E" w:rsidRPr="004317E7" w:rsidP="002C148E">
      <w:pPr>
        <w:jc w:val="right"/>
        <w:rPr>
          <w:szCs w:val="22"/>
        </w:rPr>
      </w:pPr>
    </w:p>
    <w:p w:rsidR="002C148E" w:rsidP="002C148E">
      <w:pPr>
        <w:spacing w:after="240"/>
        <w:jc w:val="center"/>
        <w:rPr>
          <w:b/>
          <w:szCs w:val="22"/>
        </w:rPr>
      </w:pPr>
      <w:r w:rsidRPr="004317E7">
        <w:rPr>
          <w:b/>
          <w:szCs w:val="22"/>
        </w:rPr>
        <w:t xml:space="preserve">NOTICE CONCERNING </w:t>
      </w:r>
      <w:r w:rsidRPr="004317E7">
        <w:rPr>
          <w:b/>
          <w:i/>
          <w:szCs w:val="22"/>
        </w:rPr>
        <w:t>EX PARTE</w:t>
      </w:r>
      <w:r w:rsidRPr="004317E7">
        <w:rPr>
          <w:b/>
          <w:szCs w:val="22"/>
        </w:rPr>
        <w:t xml:space="preserve"> STATUS OF INFORMATION SUBMITTED TO THE </w:t>
      </w:r>
      <w:r>
        <w:rPr>
          <w:b/>
          <w:szCs w:val="22"/>
        </w:rPr>
        <w:t>NORTH AMERICAN NUMBERING COUNCIL</w:t>
      </w:r>
    </w:p>
    <w:p w:rsidR="002C148E" w:rsidRPr="004317E7" w:rsidP="002C148E">
      <w:pPr>
        <w:spacing w:after="240"/>
        <w:jc w:val="center"/>
        <w:rPr>
          <w:b/>
          <w:szCs w:val="22"/>
        </w:rPr>
      </w:pPr>
      <w:r>
        <w:rPr>
          <w:b/>
          <w:szCs w:val="22"/>
        </w:rPr>
        <w:t xml:space="preserve">  CC Docket No. 92-237 </w:t>
      </w:r>
    </w:p>
    <w:p w:rsidR="002C148E" w:rsidRPr="004317E7" w:rsidP="002C148E">
      <w:pPr>
        <w:ind w:firstLine="720"/>
        <w:rPr>
          <w:szCs w:val="22"/>
        </w:rPr>
      </w:pPr>
      <w:r w:rsidRPr="004317E7">
        <w:rPr>
          <w:szCs w:val="22"/>
        </w:rPr>
        <w:t xml:space="preserve">The Federal Communications Commission (FCC or Commission) recently announced the </w:t>
      </w:r>
      <w:r>
        <w:rPr>
          <w:szCs w:val="22"/>
        </w:rPr>
        <w:t xml:space="preserve">members of the working groups of the North American Numbering Council </w:t>
      </w:r>
      <w:r w:rsidRPr="004317E7">
        <w:rPr>
          <w:szCs w:val="22"/>
        </w:rPr>
        <w:t>(</w:t>
      </w:r>
      <w:r>
        <w:rPr>
          <w:szCs w:val="22"/>
        </w:rPr>
        <w:t xml:space="preserve">Council </w:t>
      </w:r>
      <w:r w:rsidRPr="004317E7">
        <w:rPr>
          <w:szCs w:val="22"/>
        </w:rPr>
        <w:t xml:space="preserve">or </w:t>
      </w:r>
      <w:r>
        <w:rPr>
          <w:szCs w:val="22"/>
        </w:rPr>
        <w:t>NANC</w:t>
      </w:r>
      <w:r w:rsidRPr="004317E7">
        <w:rPr>
          <w:szCs w:val="22"/>
        </w:rPr>
        <w:t>).</w:t>
      </w:r>
      <w:r>
        <w:rPr>
          <w:rStyle w:val="FootnoteReference"/>
          <w:szCs w:val="22"/>
        </w:rPr>
        <w:footnoteReference w:id="2"/>
      </w:r>
      <w:r w:rsidRPr="004317E7">
        <w:rPr>
          <w:szCs w:val="22"/>
        </w:rPr>
        <w:t xml:space="preserve">  The </w:t>
      </w:r>
      <w:r>
        <w:rPr>
          <w:szCs w:val="22"/>
        </w:rPr>
        <w:t xml:space="preserve">NANC </w:t>
      </w:r>
      <w:r w:rsidRPr="004317E7">
        <w:rPr>
          <w:szCs w:val="22"/>
        </w:rPr>
        <w:t xml:space="preserve">is a federal advisory committee, </w:t>
      </w:r>
      <w:r>
        <w:rPr>
          <w:szCs w:val="22"/>
        </w:rPr>
        <w:t xml:space="preserve">whose updated membership and working groups were announced </w:t>
      </w:r>
      <w:r w:rsidRPr="004317E7">
        <w:rPr>
          <w:szCs w:val="22"/>
        </w:rPr>
        <w:t>in</w:t>
      </w:r>
      <w:r>
        <w:rPr>
          <w:szCs w:val="22"/>
        </w:rPr>
        <w:t xml:space="preserve"> November 2017.</w:t>
      </w:r>
      <w:r>
        <w:rPr>
          <w:rStyle w:val="FootnoteReference"/>
          <w:szCs w:val="22"/>
        </w:rPr>
        <w:footnoteReference w:id="3"/>
      </w:r>
      <w:r w:rsidRPr="004317E7">
        <w:rPr>
          <w:szCs w:val="22"/>
        </w:rPr>
        <w:t xml:space="preserve"> </w:t>
      </w:r>
      <w:r>
        <w:rPr>
          <w:szCs w:val="22"/>
        </w:rPr>
        <w:t xml:space="preserve"> The NANC </w:t>
      </w:r>
      <w:r w:rsidRPr="004317E7">
        <w:rPr>
          <w:szCs w:val="22"/>
        </w:rPr>
        <w:t xml:space="preserve">will </w:t>
      </w:r>
      <w:r w:rsidRPr="00CF2407">
        <w:rPr>
          <w:szCs w:val="22"/>
        </w:rPr>
        <w:t>advise the Commission on numbering issues and make recommendations that foster efficient and impartial number administration</w:t>
      </w:r>
      <w:r w:rsidRPr="004317E7">
        <w:rPr>
          <w:szCs w:val="22"/>
        </w:rPr>
        <w:t xml:space="preserve">.  </w:t>
      </w:r>
      <w:r>
        <w:rPr>
          <w:szCs w:val="22"/>
          <w:lang w:val="en"/>
        </w:rPr>
        <w:t xml:space="preserve">It </w:t>
      </w:r>
      <w:r w:rsidRPr="004317E7">
        <w:rPr>
          <w:szCs w:val="22"/>
          <w:lang w:val="en"/>
        </w:rPr>
        <w:t>is</w:t>
      </w:r>
      <w:r w:rsidRPr="004317E7">
        <w:rPr>
          <w:szCs w:val="22"/>
        </w:rPr>
        <w:t xml:space="preserve"> organized under, and operates in accordance with, the provisions of the Federal Advisory Committee Act (FACA).</w:t>
      </w:r>
      <w:r>
        <w:rPr>
          <w:szCs w:val="22"/>
          <w:vertAlign w:val="superscript"/>
        </w:rPr>
        <w:footnoteReference w:id="4"/>
      </w:r>
      <w:r w:rsidRPr="004317E7">
        <w:rPr>
          <w:szCs w:val="22"/>
        </w:rPr>
        <w:t xml:space="preserve">  </w:t>
      </w:r>
      <w:r w:rsidRPr="004317E7">
        <w:rPr>
          <w:szCs w:val="22"/>
          <w:lang w:val="en"/>
        </w:rPr>
        <w:t xml:space="preserve">  </w:t>
      </w:r>
    </w:p>
    <w:p w:rsidR="002C148E" w:rsidRPr="004317E7" w:rsidP="002C148E">
      <w:pPr>
        <w:ind w:firstLine="720"/>
        <w:rPr>
          <w:szCs w:val="22"/>
        </w:rPr>
      </w:pPr>
    </w:p>
    <w:p w:rsidR="002C148E" w:rsidRPr="004317E7" w:rsidP="002C148E">
      <w:pPr>
        <w:ind w:firstLine="720"/>
        <w:rPr>
          <w:szCs w:val="22"/>
        </w:rPr>
      </w:pPr>
      <w:r w:rsidRPr="004317E7">
        <w:rPr>
          <w:szCs w:val="22"/>
        </w:rPr>
        <w:t>Under the</w:t>
      </w:r>
      <w:r>
        <w:rPr>
          <w:szCs w:val="22"/>
        </w:rPr>
        <w:t xml:space="preserve"> FACA</w:t>
      </w:r>
      <w:r w:rsidRPr="004317E7">
        <w:rPr>
          <w:szCs w:val="22"/>
        </w:rPr>
        <w:t xml:space="preserve">, the Commission is responsible for oversight of the </w:t>
      </w:r>
      <w:r>
        <w:rPr>
          <w:szCs w:val="22"/>
        </w:rPr>
        <w:t>NANC</w:t>
      </w:r>
      <w:r w:rsidRPr="004317E7">
        <w:rPr>
          <w:szCs w:val="22"/>
        </w:rPr>
        <w:t>, including its subcommittees and working groups.</w:t>
      </w:r>
      <w:r>
        <w:rPr>
          <w:rStyle w:val="FootnoteReference"/>
          <w:szCs w:val="22"/>
        </w:rPr>
        <w:footnoteReference w:id="5"/>
      </w:r>
      <w:r w:rsidRPr="004317E7">
        <w:rPr>
          <w:szCs w:val="22"/>
        </w:rPr>
        <w:t xml:space="preserve">  As a result, FCC staff or Commissioners may participate in or attend meetings or other activities held by both the </w:t>
      </w:r>
      <w:r>
        <w:rPr>
          <w:szCs w:val="22"/>
        </w:rPr>
        <w:t xml:space="preserve">NANC </w:t>
      </w:r>
      <w:r w:rsidRPr="004317E7">
        <w:rPr>
          <w:szCs w:val="22"/>
        </w:rPr>
        <w:t xml:space="preserve">and its subcommittees and working groups.  In light of this, we are announcing that, pursuant to section 1.1200(a) of the Commission’s rules, 47 CFR § 1.1200(a), presentations to the </w:t>
      </w:r>
      <w:r>
        <w:rPr>
          <w:szCs w:val="22"/>
        </w:rPr>
        <w:t>NANC</w:t>
      </w:r>
      <w:r w:rsidRPr="004317E7">
        <w:rPr>
          <w:szCs w:val="22"/>
        </w:rPr>
        <w:t xml:space="preserve">, including to its subcommittees and working groups </w:t>
      </w:r>
      <w:r w:rsidRPr="004317E7">
        <w:rPr>
          <w:bCs/>
          <w:szCs w:val="22"/>
        </w:rPr>
        <w:t xml:space="preserve">and at any roundtable discussions sponsored by the </w:t>
      </w:r>
      <w:r>
        <w:rPr>
          <w:bCs/>
          <w:szCs w:val="22"/>
        </w:rPr>
        <w:t>NANC</w:t>
      </w:r>
      <w:r w:rsidRPr="004317E7">
        <w:rPr>
          <w:bCs/>
          <w:szCs w:val="22"/>
        </w:rPr>
        <w:t xml:space="preserve">, </w:t>
      </w:r>
      <w:r w:rsidRPr="004317E7">
        <w:rPr>
          <w:szCs w:val="22"/>
        </w:rPr>
        <w:t xml:space="preserve">and presentations between </w:t>
      </w:r>
      <w:r>
        <w:rPr>
          <w:szCs w:val="22"/>
        </w:rPr>
        <w:t xml:space="preserve">NANC </w:t>
      </w:r>
      <w:r w:rsidRPr="004317E7">
        <w:rPr>
          <w:szCs w:val="22"/>
        </w:rPr>
        <w:t xml:space="preserve">members (including members of any subcommittees or working groups) and FCC staff or Commissioners, will be treated as exempt presentations for </w:t>
      </w:r>
      <w:r w:rsidRPr="004317E7">
        <w:rPr>
          <w:i/>
          <w:szCs w:val="22"/>
        </w:rPr>
        <w:t>ex parte</w:t>
      </w:r>
      <w:r w:rsidRPr="004317E7">
        <w:rPr>
          <w:szCs w:val="22"/>
        </w:rPr>
        <w:t xml:space="preserve"> purposes.  This treatment is appropriate since presentations to the Committee, like comments on a Notice of Inquiry, will not directly result in the promulgation of new rules.</w:t>
      </w:r>
      <w:r>
        <w:rPr>
          <w:rStyle w:val="FootnoteReference"/>
          <w:szCs w:val="22"/>
        </w:rPr>
        <w:footnoteReference w:id="6"/>
      </w:r>
      <w:r w:rsidRPr="004317E7">
        <w:rPr>
          <w:szCs w:val="22"/>
        </w:rPr>
        <w:t xml:space="preserve">  </w:t>
      </w:r>
    </w:p>
    <w:p w:rsidR="002C148E" w:rsidRPr="004317E7" w:rsidP="002C148E">
      <w:pPr>
        <w:ind w:firstLine="720"/>
        <w:rPr>
          <w:szCs w:val="22"/>
        </w:rPr>
      </w:pPr>
    </w:p>
    <w:p w:rsidR="002C148E" w:rsidRPr="004317E7" w:rsidP="002C148E">
      <w:pPr>
        <w:ind w:firstLine="720"/>
        <w:rPr>
          <w:szCs w:val="22"/>
        </w:rPr>
      </w:pPr>
      <w:r w:rsidRPr="004317E7">
        <w:rPr>
          <w:szCs w:val="22"/>
        </w:rPr>
        <w:t xml:space="preserve">We recognize, however, that in the course of its work the </w:t>
      </w:r>
      <w:r>
        <w:rPr>
          <w:szCs w:val="22"/>
        </w:rPr>
        <w:t>NANC</w:t>
      </w:r>
      <w:r w:rsidRPr="004317E7">
        <w:rPr>
          <w:szCs w:val="22"/>
        </w:rPr>
        <w:t xml:space="preserve"> </w:t>
      </w:r>
      <w:r>
        <w:rPr>
          <w:szCs w:val="22"/>
        </w:rPr>
        <w:t>will likely</w:t>
      </w:r>
      <w:r w:rsidRPr="004317E7">
        <w:rPr>
          <w:szCs w:val="22"/>
        </w:rPr>
        <w:t xml:space="preserve"> address issues that are subject to pending rulemaking proceedings.</w:t>
      </w:r>
      <w:r>
        <w:rPr>
          <w:rStyle w:val="FootnoteReference"/>
          <w:szCs w:val="22"/>
        </w:rPr>
        <w:footnoteReference w:id="7"/>
      </w:r>
      <w:r w:rsidRPr="004317E7">
        <w:rPr>
          <w:szCs w:val="22"/>
        </w:rPr>
        <w:t xml:space="preserve">  The Commission will not rely in these proceedings on any information submitted to the </w:t>
      </w:r>
      <w:r>
        <w:rPr>
          <w:szCs w:val="22"/>
        </w:rPr>
        <w:t>NANC</w:t>
      </w:r>
      <w:r w:rsidRPr="004317E7">
        <w:rPr>
          <w:szCs w:val="22"/>
        </w:rPr>
        <w:t xml:space="preserve">, or to any of its subcommittees, working groups, or sponsored </w:t>
      </w:r>
      <w:r w:rsidRPr="004317E7">
        <w:rPr>
          <w:szCs w:val="22"/>
        </w:rPr>
        <w:t xml:space="preserve">roundtables, or information conveyed by </w:t>
      </w:r>
      <w:r>
        <w:rPr>
          <w:szCs w:val="22"/>
        </w:rPr>
        <w:t xml:space="preserve">NANC </w:t>
      </w:r>
      <w:r w:rsidRPr="004317E7">
        <w:rPr>
          <w:szCs w:val="22"/>
        </w:rPr>
        <w:t>members (including members of any subcommittees or working groups) to FCC staff or Commissioners unless that information is first placed in the record of the relevant proceeding.</w:t>
      </w:r>
    </w:p>
    <w:p w:rsidR="002C148E" w:rsidRPr="004317E7" w:rsidP="002C148E">
      <w:pPr>
        <w:ind w:firstLine="720"/>
        <w:rPr>
          <w:szCs w:val="22"/>
        </w:rPr>
      </w:pPr>
    </w:p>
    <w:p w:rsidR="002C148E" w:rsidRPr="004317E7" w:rsidP="002C148E">
      <w:pPr>
        <w:ind w:firstLine="720"/>
        <w:rPr>
          <w:szCs w:val="22"/>
        </w:rPr>
      </w:pPr>
      <w:r w:rsidRPr="004317E7">
        <w:rPr>
          <w:szCs w:val="22"/>
        </w:rPr>
        <w:t xml:space="preserve">Additional information regarding the </w:t>
      </w:r>
      <w:r>
        <w:rPr>
          <w:szCs w:val="22"/>
        </w:rPr>
        <w:t xml:space="preserve">NANC </w:t>
      </w:r>
      <w:r w:rsidRPr="004317E7">
        <w:rPr>
          <w:szCs w:val="22"/>
        </w:rPr>
        <w:t>can be found at</w:t>
      </w:r>
      <w:r>
        <w:rPr>
          <w:szCs w:val="22"/>
        </w:rPr>
        <w:t xml:space="preserve"> </w:t>
      </w:r>
      <w:r w:rsidRPr="003651FD">
        <w:rPr>
          <w:szCs w:val="22"/>
        </w:rPr>
        <w:t>https://www.fcc.gov/about-fcc/advisory-committees/general/north-american-numbering-council</w:t>
      </w:r>
      <w:r w:rsidRPr="004317E7">
        <w:rPr>
          <w:szCs w:val="22"/>
        </w:rPr>
        <w:t xml:space="preserve">.  You may also contact </w:t>
      </w:r>
      <w:r w:rsidRPr="00292C22">
        <w:rPr>
          <w:szCs w:val="22"/>
        </w:rPr>
        <w:t>Marilyn Jones</w:t>
      </w:r>
      <w:r w:rsidRPr="004317E7">
        <w:rPr>
          <w:szCs w:val="22"/>
        </w:rPr>
        <w:t xml:space="preserve">, Designated Federal Officer for </w:t>
      </w:r>
      <w:r>
        <w:rPr>
          <w:szCs w:val="22"/>
        </w:rPr>
        <w:t>the NANC</w:t>
      </w:r>
      <w:r w:rsidRPr="004317E7">
        <w:rPr>
          <w:szCs w:val="22"/>
        </w:rPr>
        <w:t xml:space="preserve"> at (202) 418-</w:t>
      </w:r>
      <w:r>
        <w:rPr>
          <w:szCs w:val="22"/>
        </w:rPr>
        <w:t>2357</w:t>
      </w:r>
      <w:r w:rsidRPr="004317E7">
        <w:rPr>
          <w:szCs w:val="22"/>
        </w:rPr>
        <w:t xml:space="preserve"> or</w:t>
      </w:r>
      <w:r>
        <w:rPr>
          <w:szCs w:val="22"/>
        </w:rPr>
        <w:t xml:space="preserve"> </w:t>
      </w:r>
      <w:r w:rsidRPr="00292C22">
        <w:rPr>
          <w:szCs w:val="22"/>
        </w:rPr>
        <w:t>marilyn.jones@fcc.gov</w:t>
      </w:r>
      <w:r w:rsidRPr="004317E7">
        <w:rPr>
          <w:szCs w:val="22"/>
        </w:rPr>
        <w:t xml:space="preserve">; </w:t>
      </w:r>
      <w:r w:rsidRPr="00292C22">
        <w:rPr>
          <w:szCs w:val="22"/>
        </w:rPr>
        <w:t>Michelle Sclater</w:t>
      </w:r>
      <w:r w:rsidRPr="004317E7">
        <w:rPr>
          <w:szCs w:val="22"/>
        </w:rPr>
        <w:t xml:space="preserve">, </w:t>
      </w:r>
      <w:r>
        <w:rPr>
          <w:szCs w:val="22"/>
        </w:rPr>
        <w:t>Alternate</w:t>
      </w:r>
      <w:r w:rsidRPr="004317E7">
        <w:rPr>
          <w:szCs w:val="22"/>
        </w:rPr>
        <w:t xml:space="preserve"> Designated Federal Officer for </w:t>
      </w:r>
      <w:r>
        <w:rPr>
          <w:szCs w:val="22"/>
        </w:rPr>
        <w:t xml:space="preserve">the NANC </w:t>
      </w:r>
      <w:r w:rsidRPr="004317E7">
        <w:rPr>
          <w:szCs w:val="22"/>
        </w:rPr>
        <w:t>at (202) 418-</w:t>
      </w:r>
      <w:r>
        <w:rPr>
          <w:szCs w:val="22"/>
        </w:rPr>
        <w:t xml:space="preserve">0388 </w:t>
      </w:r>
      <w:r w:rsidRPr="004317E7">
        <w:rPr>
          <w:szCs w:val="22"/>
        </w:rPr>
        <w:t xml:space="preserve">or </w:t>
      </w:r>
      <w:r w:rsidRPr="00292C22">
        <w:rPr>
          <w:szCs w:val="22"/>
        </w:rPr>
        <w:t>michelle.sclater@fcc.gov</w:t>
      </w:r>
      <w:r>
        <w:rPr>
          <w:szCs w:val="22"/>
        </w:rPr>
        <w:t xml:space="preserve">; or </w:t>
      </w:r>
      <w:r w:rsidRPr="00292C22">
        <w:rPr>
          <w:szCs w:val="22"/>
        </w:rPr>
        <w:t xml:space="preserve">Carmell Weathers, Special Assistant to the DFO, at </w:t>
      </w:r>
      <w:r>
        <w:rPr>
          <w:szCs w:val="22"/>
        </w:rPr>
        <w:t>(</w:t>
      </w:r>
      <w:r w:rsidRPr="00292C22">
        <w:rPr>
          <w:szCs w:val="22"/>
        </w:rPr>
        <w:t>202</w:t>
      </w:r>
      <w:r>
        <w:rPr>
          <w:szCs w:val="22"/>
        </w:rPr>
        <w:t xml:space="preserve">) </w:t>
      </w:r>
      <w:r w:rsidRPr="00292C22">
        <w:rPr>
          <w:szCs w:val="22"/>
        </w:rPr>
        <w:t>418-2325</w:t>
      </w:r>
      <w:r>
        <w:rPr>
          <w:szCs w:val="22"/>
        </w:rPr>
        <w:t xml:space="preserve"> or </w:t>
      </w:r>
      <w:r w:rsidRPr="00292C22">
        <w:rPr>
          <w:szCs w:val="22"/>
        </w:rPr>
        <w:t>carmell.weathers@fcc.gov</w:t>
      </w:r>
      <w:r>
        <w:rPr>
          <w:szCs w:val="22"/>
        </w:rPr>
        <w:t>.</w:t>
      </w:r>
    </w:p>
    <w:p w:rsidR="002C148E" w:rsidRPr="004317E7" w:rsidP="002C148E">
      <w:pPr>
        <w:spacing w:before="120" w:after="240"/>
        <w:jc w:val="center"/>
        <w:rPr>
          <w:b/>
          <w:szCs w:val="22"/>
        </w:rPr>
      </w:pPr>
      <w:r w:rsidRPr="004317E7">
        <w:rPr>
          <w:b/>
          <w:szCs w:val="22"/>
        </w:rPr>
        <w:t>- FCC -</w:t>
      </w:r>
    </w:p>
    <w:p w:rsidR="00602577" w:rsidP="002C148E">
      <w:pPr>
        <w:spacing w:before="60"/>
        <w:jc w:val="right"/>
        <w:rPr>
          <w:sz w:val="24"/>
        </w:rPr>
      </w:pPr>
    </w:p>
    <w:sectPr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35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35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35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C24E76">
      <w:r>
        <w:separator/>
      </w:r>
    </w:p>
  </w:footnote>
  <w:footnote w:type="continuationSeparator" w:id="1">
    <w:p w:rsidR="00C24E76">
      <w:r>
        <w:continuationSeparator/>
      </w:r>
    </w:p>
  </w:footnote>
  <w:footnote w:id="2">
    <w:p w:rsidR="002C148E" w:rsidRPr="002F6A0E" w:rsidP="002C148E">
      <w:pPr>
        <w:autoSpaceDE w:val="0"/>
        <w:autoSpaceDN w:val="0"/>
        <w:adjustRightInd w:val="0"/>
        <w:spacing w:after="120"/>
        <w:rPr>
          <w:bCs/>
          <w:caps/>
          <w:sz w:val="20"/>
        </w:rPr>
      </w:pPr>
      <w:r w:rsidRPr="002F6A0E">
        <w:rPr>
          <w:rStyle w:val="FootnoteReference"/>
          <w:sz w:val="20"/>
        </w:rPr>
        <w:footnoteRef/>
      </w:r>
      <w:r w:rsidRPr="002F6A0E">
        <w:rPr>
          <w:sz w:val="20"/>
        </w:rPr>
        <w:t xml:space="preserve"> </w:t>
      </w:r>
      <w:r w:rsidRPr="00E7159D">
        <w:rPr>
          <w:i/>
          <w:sz w:val="20"/>
        </w:rPr>
        <w:t>FCC Announces North American Numbering Council Issue-specific Working Groups Membership</w:t>
      </w:r>
      <w:r w:rsidRPr="002F6A0E">
        <w:rPr>
          <w:sz w:val="20"/>
        </w:rPr>
        <w:t xml:space="preserve">, Public Notice, DA 18-106 (February 5, 2018).  </w:t>
      </w:r>
    </w:p>
  </w:footnote>
  <w:footnote w:id="3">
    <w:p w:rsidR="002C148E" w:rsidRPr="00FA54B8" w:rsidP="002C148E">
      <w:pPr>
        <w:autoSpaceDE w:val="0"/>
        <w:autoSpaceDN w:val="0"/>
        <w:adjustRightInd w:val="0"/>
        <w:rPr>
          <w:rFonts w:ascii="TimesNewRoman" w:hAnsi="TimesNewRoman" w:cs="TimesNewRoman"/>
          <w:color w:val="010101"/>
          <w:sz w:val="20"/>
        </w:rPr>
      </w:pPr>
      <w:r w:rsidRPr="002F6A0E">
        <w:rPr>
          <w:rStyle w:val="FootnoteReference"/>
          <w:sz w:val="20"/>
        </w:rPr>
        <w:footnoteRef/>
      </w:r>
      <w:r w:rsidRPr="002F6A0E">
        <w:rPr>
          <w:sz w:val="20"/>
        </w:rPr>
        <w:t xml:space="preserve"> </w:t>
      </w:r>
      <w:r w:rsidRPr="00FA54B8">
        <w:rPr>
          <w:rFonts w:ascii="TimesNewRoman,Italic" w:hAnsi="TimesNewRoman,Italic" w:cs="TimesNewRoman,Italic"/>
          <w:i/>
          <w:iCs/>
          <w:color w:val="010101"/>
          <w:sz w:val="20"/>
        </w:rPr>
        <w:t xml:space="preserve">FCC Announces the </w:t>
      </w:r>
      <w:r>
        <w:rPr>
          <w:rFonts w:ascii="TimesNewRoman,Italic" w:hAnsi="TimesNewRoman,Italic" w:cs="TimesNewRoman,Italic"/>
          <w:i/>
          <w:iCs/>
          <w:color w:val="010101"/>
          <w:sz w:val="20"/>
        </w:rPr>
        <w:t xml:space="preserve">Chair, Vice Chair and </w:t>
      </w:r>
      <w:r w:rsidRPr="00FA54B8">
        <w:rPr>
          <w:rFonts w:ascii="TimesNewRoman,Italic" w:hAnsi="TimesNewRoman,Italic" w:cs="TimesNewRoman,Italic"/>
          <w:i/>
          <w:iCs/>
          <w:color w:val="010101"/>
          <w:sz w:val="20"/>
        </w:rPr>
        <w:t xml:space="preserve">Membership of the </w:t>
      </w:r>
      <w:r>
        <w:rPr>
          <w:rFonts w:ascii="TimesNewRoman,Italic" w:hAnsi="TimesNewRoman,Italic" w:cs="TimesNewRoman,Italic"/>
          <w:i/>
          <w:iCs/>
          <w:color w:val="010101"/>
          <w:sz w:val="20"/>
        </w:rPr>
        <w:t>North American Numbering Council</w:t>
      </w:r>
      <w:r w:rsidRPr="00FA54B8">
        <w:rPr>
          <w:rFonts w:ascii="TimesNewRoman" w:hAnsi="TimesNewRoman" w:cs="TimesNewRoman"/>
          <w:color w:val="010101"/>
          <w:sz w:val="20"/>
        </w:rPr>
        <w:t xml:space="preserve">, </w:t>
      </w:r>
      <w:r>
        <w:rPr>
          <w:rFonts w:ascii="TimesNewRoman" w:hAnsi="TimesNewRoman" w:cs="TimesNewRoman"/>
          <w:color w:val="010101"/>
          <w:sz w:val="20"/>
        </w:rPr>
        <w:t>CC</w:t>
      </w:r>
    </w:p>
    <w:p w:rsidR="002C148E" w:rsidRPr="002F6A0E" w:rsidP="002C148E">
      <w:pPr>
        <w:pStyle w:val="FootnoteText"/>
        <w:spacing w:after="120"/>
        <w:rPr>
          <w:sz w:val="20"/>
        </w:rPr>
      </w:pPr>
      <w:r w:rsidRPr="00FA54B8">
        <w:rPr>
          <w:rFonts w:ascii="TimesNewRoman" w:hAnsi="TimesNewRoman" w:cs="TimesNewRoman"/>
          <w:color w:val="010101"/>
          <w:sz w:val="20"/>
        </w:rPr>
        <w:t xml:space="preserve">Docket No. </w:t>
      </w:r>
      <w:r>
        <w:rPr>
          <w:rFonts w:ascii="TimesNewRoman" w:hAnsi="TimesNewRoman" w:cs="TimesNewRoman"/>
          <w:color w:val="010101"/>
          <w:sz w:val="20"/>
        </w:rPr>
        <w:t>92-237</w:t>
      </w:r>
      <w:r w:rsidRPr="00FA54B8">
        <w:rPr>
          <w:rFonts w:ascii="TimesNewRoman" w:hAnsi="TimesNewRoman" w:cs="TimesNewRoman"/>
          <w:color w:val="010101"/>
          <w:sz w:val="20"/>
        </w:rPr>
        <w:t xml:space="preserve">, Public Notice, </w:t>
      </w:r>
      <w:r>
        <w:rPr>
          <w:rFonts w:ascii="TimesNewRoman" w:hAnsi="TimesNewRoman" w:cs="TimesNewRoman"/>
          <w:color w:val="010101"/>
          <w:sz w:val="20"/>
        </w:rPr>
        <w:t>32 FCC Rcd 9423 (</w:t>
      </w:r>
      <w:r w:rsidRPr="00FA54B8">
        <w:rPr>
          <w:rFonts w:ascii="TimesNewRoman" w:hAnsi="TimesNewRoman" w:cs="TimesNewRoman"/>
          <w:color w:val="010101"/>
          <w:sz w:val="20"/>
        </w:rPr>
        <w:t>2017).</w:t>
      </w:r>
      <w:r w:rsidRPr="002F6A0E">
        <w:rPr>
          <w:i/>
          <w:sz w:val="20"/>
        </w:rPr>
        <w:t xml:space="preserve"> </w:t>
      </w:r>
    </w:p>
  </w:footnote>
  <w:footnote w:id="4">
    <w:p w:rsidR="002C148E" w:rsidRPr="002F6A0E" w:rsidP="002C148E">
      <w:pPr>
        <w:pStyle w:val="FootnoteText"/>
        <w:spacing w:after="120"/>
        <w:rPr>
          <w:sz w:val="20"/>
        </w:rPr>
      </w:pPr>
      <w:r w:rsidRPr="002F6A0E">
        <w:rPr>
          <w:rStyle w:val="FootnoteReference"/>
          <w:sz w:val="20"/>
        </w:rPr>
        <w:footnoteRef/>
      </w:r>
      <w:r w:rsidRPr="002F6A0E">
        <w:rPr>
          <w:sz w:val="20"/>
        </w:rPr>
        <w:t xml:space="preserve"> </w:t>
      </w:r>
      <w:r w:rsidRPr="002F6A0E">
        <w:rPr>
          <w:i/>
          <w:sz w:val="20"/>
        </w:rPr>
        <w:t>See</w:t>
      </w:r>
      <w:r w:rsidRPr="002F6A0E">
        <w:rPr>
          <w:sz w:val="20"/>
        </w:rPr>
        <w:t xml:space="preserve"> </w:t>
      </w:r>
      <w:r w:rsidRPr="002F6A0E">
        <w:rPr>
          <w:rFonts w:cs="TimesNewRoman"/>
          <w:color w:val="010101"/>
          <w:sz w:val="20"/>
        </w:rPr>
        <w:t>5 U.S.C. App. 2.</w:t>
      </w:r>
    </w:p>
  </w:footnote>
  <w:footnote w:id="5">
    <w:p w:rsidR="002C148E" w:rsidRPr="002F6A0E" w:rsidP="002C148E">
      <w:pPr>
        <w:pStyle w:val="FootnoteText"/>
        <w:spacing w:after="120"/>
        <w:rPr>
          <w:sz w:val="20"/>
        </w:rPr>
      </w:pPr>
      <w:r w:rsidRPr="002F6A0E">
        <w:rPr>
          <w:rStyle w:val="FootnoteReference"/>
          <w:sz w:val="20"/>
        </w:rPr>
        <w:footnoteRef/>
      </w:r>
      <w:r w:rsidRPr="002F6A0E">
        <w:rPr>
          <w:sz w:val="20"/>
        </w:rPr>
        <w:t xml:space="preserve"> </w:t>
      </w:r>
      <w:r w:rsidRPr="002F6A0E">
        <w:rPr>
          <w:i/>
          <w:sz w:val="20"/>
        </w:rPr>
        <w:t>See</w:t>
      </w:r>
      <w:r w:rsidRPr="002F6A0E">
        <w:rPr>
          <w:sz w:val="20"/>
        </w:rPr>
        <w:t xml:space="preserve"> </w:t>
      </w:r>
      <w:r w:rsidRPr="002F6A0E">
        <w:rPr>
          <w:i/>
          <w:sz w:val="20"/>
        </w:rPr>
        <w:t>id</w:t>
      </w:r>
      <w:r w:rsidRPr="002F6A0E">
        <w:rPr>
          <w:sz w:val="20"/>
        </w:rPr>
        <w:t>.</w:t>
      </w:r>
    </w:p>
  </w:footnote>
  <w:footnote w:id="6">
    <w:p w:rsidR="002C148E" w:rsidRPr="002F6A0E" w:rsidP="002C148E">
      <w:pPr>
        <w:pStyle w:val="FootnoteText"/>
        <w:spacing w:after="120"/>
        <w:rPr>
          <w:sz w:val="20"/>
        </w:rPr>
      </w:pPr>
      <w:r w:rsidRPr="002F6A0E">
        <w:rPr>
          <w:rStyle w:val="FootnoteReference"/>
          <w:sz w:val="20"/>
        </w:rPr>
        <w:footnoteRef/>
      </w:r>
      <w:r w:rsidRPr="002F6A0E">
        <w:rPr>
          <w:sz w:val="20"/>
        </w:rPr>
        <w:t xml:space="preserve"> </w:t>
      </w:r>
      <w:r w:rsidRPr="002F6A0E">
        <w:rPr>
          <w:i/>
          <w:sz w:val="20"/>
        </w:rPr>
        <w:t>See</w:t>
      </w:r>
      <w:r w:rsidRPr="002F6A0E">
        <w:rPr>
          <w:sz w:val="20"/>
        </w:rPr>
        <w:t xml:space="preserve"> 47 CFR § 1.1204(b)(1)(exempt treatment of presentations regarding a Notice of Inquiry).</w:t>
      </w:r>
    </w:p>
  </w:footnote>
  <w:footnote w:id="7">
    <w:p w:rsidR="002C148E" w:rsidRPr="002F6A0E" w:rsidP="002C148E">
      <w:pPr>
        <w:widowControl w:val="0"/>
        <w:tabs>
          <w:tab w:val="center" w:pos="4680"/>
        </w:tabs>
        <w:suppressAutoHyphens/>
        <w:spacing w:after="120"/>
        <w:rPr>
          <w:sz w:val="20"/>
        </w:rPr>
      </w:pPr>
      <w:r w:rsidRPr="002F6A0E">
        <w:rPr>
          <w:rStyle w:val="FootnoteReference"/>
          <w:sz w:val="20"/>
        </w:rPr>
        <w:footnoteRef/>
      </w:r>
      <w:r w:rsidRPr="002F6A0E">
        <w:rPr>
          <w:sz w:val="20"/>
        </w:rPr>
        <w:t xml:space="preserve"> </w:t>
      </w:r>
      <w:r w:rsidRPr="002F6A0E">
        <w:rPr>
          <w:i/>
          <w:sz w:val="20"/>
        </w:rPr>
        <w:t>See, e.g</w:t>
      </w:r>
      <w:r w:rsidRPr="002F6A0E">
        <w:rPr>
          <w:sz w:val="20"/>
        </w:rPr>
        <w:t xml:space="preserve">., </w:t>
      </w:r>
      <w:r w:rsidRPr="00E7159D">
        <w:rPr>
          <w:i/>
          <w:sz w:val="20"/>
        </w:rPr>
        <w:t>Call</w:t>
      </w:r>
      <w:r w:rsidRPr="002F6A0E">
        <w:rPr>
          <w:i/>
          <w:sz w:val="20"/>
        </w:rPr>
        <w:t xml:space="preserve"> Authentication Trust Anchor</w:t>
      </w:r>
      <w:r w:rsidRPr="002F6A0E">
        <w:rPr>
          <w:sz w:val="20"/>
        </w:rPr>
        <w:t>, Notice of Inquiry,</w:t>
      </w:r>
      <w:r w:rsidRPr="00E7159D">
        <w:rPr>
          <w:sz w:val="20"/>
        </w:rPr>
        <w:t xml:space="preserve"> </w:t>
      </w:r>
      <w:r w:rsidRPr="002F6A0E">
        <w:rPr>
          <w:sz w:val="20"/>
        </w:rPr>
        <w:t xml:space="preserve">32 FCC Rcd 5988 (2017); </w:t>
      </w:r>
      <w:r w:rsidRPr="002F6A0E">
        <w:rPr>
          <w:i/>
          <w:sz w:val="20"/>
        </w:rPr>
        <w:t>Toll Free Assignment Modernization et al.</w:t>
      </w:r>
      <w:r w:rsidRPr="002F6A0E">
        <w:rPr>
          <w:sz w:val="20"/>
        </w:rPr>
        <w:t>,</w:t>
      </w:r>
      <w:r w:rsidRPr="00E7159D">
        <w:rPr>
          <w:sz w:val="20"/>
        </w:rPr>
        <w:t xml:space="preserve"> Notice of Proposed Rulemaking, </w:t>
      </w:r>
      <w:r w:rsidRPr="002F6A0E">
        <w:rPr>
          <w:sz w:val="20"/>
        </w:rPr>
        <w:t xml:space="preserve">32 FCC Rcd 7885 (2017); </w:t>
      </w:r>
      <w:r w:rsidRPr="002F6A0E">
        <w:rPr>
          <w:i/>
          <w:sz w:val="20"/>
        </w:rPr>
        <w:t>Nationwide Number Portability et al.</w:t>
      </w:r>
      <w:r w:rsidRPr="002F6A0E">
        <w:rPr>
          <w:sz w:val="20"/>
        </w:rPr>
        <w:t xml:space="preserve">, </w:t>
      </w:r>
      <w:r>
        <w:rPr>
          <w:sz w:val="20"/>
        </w:rPr>
        <w:t>Notice of Inquiry and Notice of Proposed Rulemaking,</w:t>
      </w:r>
      <w:r w:rsidRPr="002F6A0E">
        <w:rPr>
          <w:sz w:val="20"/>
        </w:rPr>
        <w:t xml:space="preserve"> 32 FCC Rcd 8034</w:t>
      </w:r>
      <w:r>
        <w:rPr>
          <w:sz w:val="20"/>
        </w:rPr>
        <w:t xml:space="preserve"> (2017).</w:t>
      </w:r>
      <w:r w:rsidRPr="002F6A0E">
        <w:rPr>
          <w:sz w:val="20"/>
        </w:rPr>
        <w:t xml:space="preserve">  </w:t>
      </w:r>
      <w:r w:rsidRPr="00E7159D">
        <w:rPr>
          <w:i/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35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35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577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width:41.75pt;height:41.75pt;margin-top:8.5pt;margin-left:34.95pt;position:absolute;z-index:251661312" o:allowincell="f">
          <v:imagedata r:id="rId1" o:title="fcc_logo"/>
          <w10:wrap type="topAndBottom"/>
        </v:shape>
      </w:pict>
    </w:r>
    <w:r w:rsidR="00D60EFF">
      <w:rPr>
        <w:rFonts w:ascii="News Gothic MT" w:hAnsi="News Gothic MT"/>
        <w:b/>
        <w:kern w:val="28"/>
        <w:sz w:val="96"/>
      </w:rPr>
      <w:t xml:space="preserve">  </w:t>
    </w:r>
    <w:r>
      <w:rPr>
        <w:rFonts w:ascii="News Gothic MT" w:hAnsi="News Gothic MT"/>
        <w:b/>
        <w:kern w:val="28"/>
        <w:sz w:val="96"/>
      </w:rPr>
      <w:t>PUBLIC NOTICE</w:t>
    </w:r>
  </w:p>
  <w:p w:rsidR="00602577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w:pict>
        <v:line id="_x0000_s2050" style="position:absolute;z-index:251659264" from="37.6pt,54.95pt" to="501.1pt,55.15pt" o:allowincell="f"/>
      </w:pict>
    </w:r>
    <w:r>
      <w:rPr>
        <w:rFonts w:ascii="News Gothic MT" w:hAnsi="News Gothic MT"/>
        <w:b/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width:244.8pt;height:50.4pt;margin-top:0.4pt;margin-left:30pt;position:absolute;z-index:251658240" o:allowincell="f" stroked="f">
          <v:textbox>
            <w:txbxContent>
              <w:p w:rsidR="006025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6025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St., S.W.</w:t>
                </w:r>
              </w:p>
              <w:p w:rsidR="00602577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</v:shape>
      </w:pict>
    </w:r>
    <w:r>
      <w:rPr>
        <w:rFonts w:ascii="News Gothic MT" w:hAnsi="News Gothic MT"/>
        <w:b/>
        <w:noProof/>
        <w:sz w:val="24"/>
      </w:rPr>
      <w:pict>
        <v:shape id="_x0000_s2052" type="#_x0000_t202" style="width:207.95pt;height:43.2pt;margin-top:10.25pt;margin-left:301.5pt;position:absolute;z-index:251660288" o:allowincell="f" stroked="f">
          <v:textbox inset=",0,,0">
            <w:txbxContent>
              <w:p w:rsidR="00602577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6025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ab/>
                  <w:t xml:space="preserve">Internet: </w:t>
                </w:r>
                <w:bookmarkStart w:id="0" w:name="_Hlt233824"/>
                <w:r>
                  <w:rPr>
                    <w:rFonts w:ascii="Arial" w:hAnsi="Arial"/>
                    <w:b/>
                    <w:sz w:val="16"/>
                  </w:rPr>
                  <w:t>h</w:t>
                </w:r>
                <w:bookmarkEnd w:id="0"/>
                <w:r>
                  <w:rPr>
                    <w:rFonts w:ascii="Arial" w:hAnsi="Arial"/>
                    <w:b/>
                    <w:sz w:val="16"/>
                  </w:rPr>
                  <w:t>ttp://www.fcc.gov</w:t>
                </w:r>
              </w:p>
              <w:p w:rsidR="006025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  <w:p w:rsidR="00602577">
                <w:pPr>
                  <w:jc w:val="right"/>
                </w:pPr>
              </w:p>
            </w:txbxContent>
          </v:textbox>
        </v:shape>
      </w:pict>
    </w:r>
  </w:p>
  <w:p w:rsidR="00602577">
    <w:pPr>
      <w:pStyle w:val="Header"/>
      <w:tabs>
        <w:tab w:val="left" w:pos="1080"/>
        <w:tab w:val="clear" w:pos="4320"/>
        <w:tab w:val="clear" w:pos="864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u w:val="none"/>
        <w:vertAlign w:val="baseline"/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linkStyle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8E"/>
    <w:rsid w:val="000265AE"/>
    <w:rsid w:val="00030F22"/>
    <w:rsid w:val="00292C22"/>
    <w:rsid w:val="002C148E"/>
    <w:rsid w:val="002F6A0E"/>
    <w:rsid w:val="003651FD"/>
    <w:rsid w:val="004317E7"/>
    <w:rsid w:val="00602577"/>
    <w:rsid w:val="006422E5"/>
    <w:rsid w:val="0094123A"/>
    <w:rsid w:val="009866F8"/>
    <w:rsid w:val="00A035DE"/>
    <w:rsid w:val="00C24E76"/>
    <w:rsid w:val="00CF2407"/>
    <w:rsid w:val="00D17DC0"/>
    <w:rsid w:val="00D379F9"/>
    <w:rsid w:val="00D60EFF"/>
    <w:rsid w:val="00E163BD"/>
    <w:rsid w:val="00E7159D"/>
    <w:rsid w:val="00FA54B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6F8"/>
    <w:rPr>
      <w:sz w:val="22"/>
    </w:rPr>
  </w:style>
  <w:style w:type="paragraph" w:styleId="Heading1">
    <w:name w:val="heading 1"/>
    <w:basedOn w:val="Normal"/>
    <w:next w:val="Normal"/>
    <w:qFormat/>
    <w:rsid w:val="009866F8"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9866F8"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866F8"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866F8"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866F8"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9866F8"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9866F8"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9866F8"/>
    <w:pPr>
      <w:widowControl w:val="0"/>
      <w:numPr>
        <w:ilvl w:val="7"/>
        <w:numId w:val="3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9866F8"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866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66F8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9866F8"/>
    <w:rPr>
      <w:color w:val="0000FF"/>
      <w:u w:val="single"/>
    </w:rPr>
  </w:style>
  <w:style w:type="paragraph" w:styleId="BlockText">
    <w:name w:val="Block Text"/>
    <w:basedOn w:val="Normal"/>
    <w:semiHidden/>
    <w:rsid w:val="009866F8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rsid w:val="009866F8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rsid w:val="009866F8"/>
    <w:pPr>
      <w:spacing w:before="120" w:after="120"/>
    </w:pPr>
    <w:rPr>
      <w:b/>
    </w:rPr>
  </w:style>
  <w:style w:type="character" w:styleId="FootnoteReference">
    <w:name w:val="footnote reference"/>
    <w:semiHidden/>
    <w:rsid w:val="009866F8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9866F8"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rsid w:val="009866F8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rsid w:val="009866F8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rsid w:val="009866F8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sid w:val="009866F8"/>
    <w:rPr>
      <w:caps/>
    </w:rPr>
  </w:style>
  <w:style w:type="character" w:styleId="FollowedHyperlink">
    <w:name w:val="FollowedHyperlink"/>
    <w:semiHidden/>
    <w:rsid w:val="009866F8"/>
    <w:rPr>
      <w:color w:val="800080"/>
      <w:u w:val="single"/>
    </w:rPr>
  </w:style>
  <w:style w:type="character" w:customStyle="1" w:styleId="FootnoteTextChar">
    <w:name w:val="Footnote Text Char"/>
    <w:link w:val="FootnoteText"/>
    <w:semiHidden/>
    <w:rsid w:val="002C148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-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Portrait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2018-02-13T18:46:15Z</dcterms:created>
  <dcterms:modified xsi:type="dcterms:W3CDTF">2018-02-13T18:46:15Z</dcterms:modified>
</cp:coreProperties>
</file>