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251A17">
      <w:pPr>
        <w:jc w:val="center"/>
        <w:rPr>
          <w:b/>
          <w:sz w:val="22"/>
          <w:szCs w:val="22"/>
        </w:rPr>
      </w:pPr>
      <w:bookmarkStart w:id="0" w:name="_GoBack"/>
      <w:bookmarkEnd w:id="0"/>
      <w:r w:rsidRPr="00251A17">
        <w:rPr>
          <w:rFonts w:ascii="Times New Roman Bold" w:hAnsi="Times New Roman Bold"/>
          <w:b/>
          <w:sz w:val="22"/>
          <w:szCs w:val="22"/>
        </w:rPr>
        <w:t>Before</w:t>
      </w:r>
      <w:r w:rsidRPr="00251A17">
        <w:rPr>
          <w:b/>
          <w:sz w:val="22"/>
          <w:szCs w:val="22"/>
        </w:rPr>
        <w:t xml:space="preserve"> the</w:t>
      </w:r>
    </w:p>
    <w:p w:rsidR="00921803" w:rsidRPr="00251A17" w:rsidP="00921803">
      <w:pPr>
        <w:pStyle w:val="StyleBoldCentered"/>
        <w:rPr>
          <w:sz w:val="22"/>
        </w:rPr>
      </w:pPr>
      <w:r w:rsidRPr="00251A17">
        <w:rPr>
          <w:sz w:val="22"/>
        </w:rPr>
        <w:t>F</w:t>
      </w:r>
      <w:r w:rsidRPr="00251A17">
        <w:rPr>
          <w:caps w:val="0"/>
          <w:sz w:val="22"/>
        </w:rPr>
        <w:t>ederal Communications Commission</w:t>
      </w:r>
    </w:p>
    <w:p w:rsidR="004C2EE3" w:rsidRPr="00251A17" w:rsidP="00096D8C">
      <w:pPr>
        <w:pStyle w:val="StyleBoldCentered"/>
        <w:rPr>
          <w:sz w:val="22"/>
        </w:rPr>
      </w:pPr>
      <w:r w:rsidRPr="00251A17">
        <w:rPr>
          <w:caps w:val="0"/>
          <w:sz w:val="22"/>
        </w:rPr>
        <w:t>Washington, D.C. 20554</w:t>
      </w:r>
    </w:p>
    <w:p w:rsidR="004C2EE3" w:rsidRPr="00251A17" w:rsidP="0070224F">
      <w:pPr>
        <w:rPr>
          <w:sz w:val="22"/>
          <w:szCs w:val="22"/>
        </w:rPr>
      </w:pPr>
    </w:p>
    <w:p w:rsidR="004C2EE3" w:rsidRPr="00251A17" w:rsidP="0070224F">
      <w:pPr>
        <w:rPr>
          <w:sz w:val="22"/>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rsidRPr="00251A17">
            <w:pPr>
              <w:tabs>
                <w:tab w:val="center" w:pos="4680"/>
              </w:tabs>
              <w:suppressAutoHyphens/>
              <w:rPr>
                <w:rStyle w:val="DefaultParagraphFont"/>
                <w:spacing w:val="-2"/>
                <w:sz w:val="22"/>
                <w:szCs w:val="22"/>
                <w:lang w:val="en-US" w:eastAsia="en-US" w:bidi="ar-SA"/>
              </w:rPr>
            </w:pPr>
            <w:r w:rsidRPr="00251A17">
              <w:rPr>
                <w:spacing w:val="-2"/>
                <w:sz w:val="22"/>
                <w:szCs w:val="22"/>
                <w:lang w:val="en-US" w:eastAsia="en-US" w:bidi="ar-SA"/>
              </w:rPr>
              <w:t>In the Matter of</w:t>
            </w:r>
          </w:p>
          <w:p w:rsidR="004C2EE3" w:rsidRPr="00251A17" w:rsidP="007115F7">
            <w:pPr>
              <w:tabs>
                <w:tab w:val="center" w:pos="4680"/>
              </w:tabs>
              <w:suppressAutoHyphens/>
              <w:rPr>
                <w:rStyle w:val="DefaultParagraphFont"/>
                <w:spacing w:val="-2"/>
                <w:sz w:val="22"/>
                <w:szCs w:val="22"/>
                <w:lang w:val="en-US" w:eastAsia="en-US" w:bidi="ar-SA"/>
              </w:rPr>
            </w:pPr>
          </w:p>
          <w:p w:rsidR="005C7266" w:rsidP="007115F7">
            <w:pPr>
              <w:tabs>
                <w:tab w:val="center" w:pos="4680"/>
              </w:tabs>
              <w:suppressAutoHyphens/>
              <w:rPr>
                <w:rStyle w:val="DefaultParagraphFont"/>
                <w:spacing w:val="-2"/>
                <w:sz w:val="22"/>
                <w:szCs w:val="22"/>
                <w:lang w:val="en-US" w:eastAsia="en-US" w:bidi="ar-SA"/>
              </w:rPr>
            </w:pPr>
            <w:r>
              <w:rPr>
                <w:spacing w:val="-2"/>
                <w:sz w:val="22"/>
                <w:szCs w:val="22"/>
                <w:lang w:val="en-US" w:eastAsia="en-US" w:bidi="ar-SA"/>
              </w:rPr>
              <w:t>CHOCTAW HOLDINGS</w:t>
            </w:r>
            <w:r w:rsidR="00EC272B">
              <w:rPr>
                <w:spacing w:val="-2"/>
                <w:sz w:val="22"/>
                <w:szCs w:val="22"/>
                <w:lang w:val="en-US" w:eastAsia="en-US" w:bidi="ar-SA"/>
              </w:rPr>
              <w:t>,</w:t>
            </w:r>
            <w:r>
              <w:rPr>
                <w:spacing w:val="-2"/>
                <w:sz w:val="22"/>
                <w:szCs w:val="22"/>
                <w:lang w:val="en-US" w:eastAsia="en-US" w:bidi="ar-SA"/>
              </w:rPr>
              <w:t xml:space="preserve"> LLC</w:t>
            </w:r>
          </w:p>
          <w:p w:rsidR="008223CA" w:rsidP="007115F7">
            <w:pPr>
              <w:tabs>
                <w:tab w:val="center" w:pos="4680"/>
              </w:tabs>
              <w:suppressAutoHyphens/>
              <w:rPr>
                <w:rStyle w:val="DefaultParagraphFont"/>
                <w:spacing w:val="-2"/>
                <w:sz w:val="22"/>
                <w:szCs w:val="22"/>
                <w:lang w:val="en-US" w:eastAsia="en-US" w:bidi="ar-SA"/>
              </w:rPr>
            </w:pPr>
          </w:p>
          <w:p w:rsidR="006B2163" w:rsidP="007115F7">
            <w:pPr>
              <w:tabs>
                <w:tab w:val="center" w:pos="4680"/>
              </w:tabs>
              <w:suppressAutoHyphens/>
              <w:rPr>
                <w:rStyle w:val="DefaultParagraphFont"/>
                <w:spacing w:val="-2"/>
                <w:sz w:val="22"/>
                <w:szCs w:val="22"/>
                <w:lang w:val="en-US" w:eastAsia="en-US" w:bidi="ar-SA"/>
              </w:rPr>
            </w:pPr>
            <w:bookmarkStart w:id="1" w:name="_Hlk503195244"/>
            <w:r>
              <w:rPr>
                <w:spacing w:val="-2"/>
                <w:sz w:val="22"/>
                <w:szCs w:val="22"/>
                <w:lang w:val="en-US" w:eastAsia="en-US" w:bidi="ar-SA"/>
              </w:rPr>
              <w:t>Petition</w:t>
            </w:r>
            <w:r w:rsidR="00800BD8">
              <w:rPr>
                <w:spacing w:val="-2"/>
                <w:sz w:val="22"/>
                <w:szCs w:val="22"/>
                <w:lang w:val="en-US" w:eastAsia="en-US" w:bidi="ar-SA"/>
              </w:rPr>
              <w:t>s</w:t>
            </w:r>
            <w:r>
              <w:rPr>
                <w:spacing w:val="-2"/>
                <w:sz w:val="22"/>
                <w:szCs w:val="22"/>
                <w:lang w:val="en-US" w:eastAsia="en-US" w:bidi="ar-SA"/>
              </w:rPr>
              <w:t xml:space="preserve"> </w:t>
            </w:r>
            <w:r w:rsidR="00EC272B">
              <w:rPr>
                <w:spacing w:val="-2"/>
                <w:sz w:val="22"/>
                <w:szCs w:val="22"/>
                <w:lang w:val="en-US" w:eastAsia="en-US" w:bidi="ar-SA"/>
              </w:rPr>
              <w:t xml:space="preserve">by Warren Havens and </w:t>
            </w:r>
            <w:r w:rsidR="00800BD8">
              <w:rPr>
                <w:spacing w:val="-2"/>
                <w:sz w:val="22"/>
                <w:szCs w:val="22"/>
                <w:lang w:val="en-US" w:eastAsia="en-US" w:bidi="ar-SA"/>
              </w:rPr>
              <w:t>Related Entities</w:t>
            </w:r>
            <w:r w:rsidR="00EC272B">
              <w:rPr>
                <w:spacing w:val="-2"/>
                <w:sz w:val="22"/>
                <w:szCs w:val="22"/>
                <w:lang w:val="en-US" w:eastAsia="en-US" w:bidi="ar-SA"/>
              </w:rPr>
              <w:t xml:space="preserve"> </w:t>
            </w:r>
            <w:r>
              <w:rPr>
                <w:spacing w:val="-2"/>
                <w:sz w:val="22"/>
                <w:szCs w:val="22"/>
                <w:lang w:val="en-US" w:eastAsia="en-US" w:bidi="ar-SA"/>
              </w:rPr>
              <w:t xml:space="preserve">to Deny </w:t>
            </w:r>
            <w:r w:rsidR="00800BD8">
              <w:rPr>
                <w:spacing w:val="-2"/>
                <w:sz w:val="22"/>
                <w:szCs w:val="22"/>
                <w:lang w:val="en-US" w:eastAsia="en-US" w:bidi="ar-SA"/>
              </w:rPr>
              <w:t>Assignment</w:t>
            </w:r>
            <w:r w:rsidR="00A6645A">
              <w:rPr>
                <w:spacing w:val="-2"/>
                <w:sz w:val="22"/>
                <w:szCs w:val="22"/>
                <w:lang w:val="en-US" w:eastAsia="en-US" w:bidi="ar-SA"/>
              </w:rPr>
              <w:t xml:space="preserve"> Applications</w:t>
            </w:r>
          </w:p>
          <w:p w:rsidR="001145ED" w:rsidRPr="00251A17" w:rsidP="007115F7">
            <w:pPr>
              <w:tabs>
                <w:tab w:val="center" w:pos="4680"/>
              </w:tabs>
              <w:suppressAutoHyphens/>
              <w:rPr>
                <w:rStyle w:val="DefaultParagraphFont"/>
                <w:spacing w:val="-2"/>
                <w:sz w:val="22"/>
                <w:szCs w:val="22"/>
                <w:lang w:val="en-US" w:eastAsia="en-US" w:bidi="ar-SA"/>
              </w:rPr>
            </w:pPr>
            <w:bookmarkEnd w:id="1"/>
          </w:p>
        </w:tc>
        <w:tc>
          <w:tcPr>
            <w:tcW w:w="630" w:type="dxa"/>
          </w:tcPr>
          <w:p w:rsidR="004C2EE3" w:rsidRPr="00251A17">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4C2EE3" w:rsidRPr="00251A17">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4C2EE3" w:rsidRPr="00251A17">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4C2EE3" w:rsidRPr="00251A17">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4C2EE3" w:rsidRPr="00251A17">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8223CA">
            <w:pPr>
              <w:tabs>
                <w:tab w:val="center" w:pos="4680"/>
              </w:tabs>
              <w:suppressAutoHyphens/>
              <w:rPr>
                <w:rStyle w:val="DefaultParagraphFont"/>
                <w:b/>
                <w:spacing w:val="-2"/>
                <w:sz w:val="22"/>
                <w:szCs w:val="22"/>
                <w:lang w:val="en-US" w:eastAsia="en-US" w:bidi="ar-SA"/>
              </w:rPr>
            </w:pPr>
            <w:r w:rsidRPr="00251A17">
              <w:rPr>
                <w:b/>
                <w:spacing w:val="-2"/>
                <w:sz w:val="22"/>
                <w:szCs w:val="22"/>
                <w:lang w:val="en-US" w:eastAsia="en-US" w:bidi="ar-SA"/>
              </w:rPr>
              <w:t>)</w:t>
            </w:r>
          </w:p>
          <w:p w:rsidR="00A3106C" w:rsidRPr="00EC272B">
            <w:pPr>
              <w:tabs>
                <w:tab w:val="center" w:pos="4680"/>
              </w:tabs>
              <w:suppressAutoHyphens/>
              <w:rPr>
                <w:rStyle w:val="DefaultParagraphFont"/>
                <w:b/>
                <w:spacing w:val="-2"/>
                <w:sz w:val="22"/>
                <w:szCs w:val="22"/>
                <w:lang w:val="en-US" w:eastAsia="en-US" w:bidi="ar-SA"/>
              </w:rPr>
            </w:pPr>
          </w:p>
        </w:tc>
        <w:tc>
          <w:tcPr>
            <w:tcW w:w="4248" w:type="dxa"/>
          </w:tcPr>
          <w:p w:rsidR="004C2EE3" w:rsidRPr="00251A17">
            <w:pPr>
              <w:tabs>
                <w:tab w:val="center" w:pos="4680"/>
              </w:tabs>
              <w:suppressAutoHyphens/>
              <w:rPr>
                <w:rStyle w:val="DefaultParagraphFont"/>
                <w:spacing w:val="-2"/>
                <w:sz w:val="22"/>
                <w:szCs w:val="22"/>
                <w:lang w:val="en-US" w:eastAsia="en-US" w:bidi="ar-SA"/>
              </w:rPr>
            </w:pPr>
          </w:p>
          <w:p w:rsidR="004C2EE3" w:rsidRPr="00251A17">
            <w:pPr>
              <w:pStyle w:val="TOAHeading"/>
              <w:tabs>
                <w:tab w:val="center" w:pos="4680"/>
                <w:tab w:val="clear" w:pos="9360"/>
              </w:tabs>
              <w:suppressAutoHyphens/>
              <w:rPr>
                <w:rStyle w:val="DefaultParagraphFont"/>
                <w:spacing w:val="-2"/>
                <w:sz w:val="22"/>
                <w:szCs w:val="22"/>
                <w:lang w:val="en-US" w:eastAsia="en-US" w:bidi="ar-SA"/>
              </w:rPr>
            </w:pPr>
          </w:p>
          <w:p w:rsidR="00A3106C" w:rsidRPr="00251A17">
            <w:pPr>
              <w:tabs>
                <w:tab w:val="center" w:pos="4680"/>
              </w:tabs>
              <w:suppressAutoHyphens/>
              <w:rPr>
                <w:rStyle w:val="DefaultParagraphFont"/>
                <w:spacing w:val="-2"/>
                <w:sz w:val="22"/>
                <w:szCs w:val="22"/>
                <w:lang w:val="en-US" w:eastAsia="en-US" w:bidi="ar-SA"/>
              </w:rPr>
            </w:pPr>
            <w:bookmarkStart w:id="2" w:name="_Hlk503193802"/>
            <w:r w:rsidRPr="00251A17">
              <w:rPr>
                <w:spacing w:val="-2"/>
                <w:sz w:val="22"/>
                <w:szCs w:val="22"/>
                <w:lang w:val="en-US" w:eastAsia="en-US" w:bidi="ar-SA"/>
              </w:rPr>
              <w:t xml:space="preserve">FCC File Nos. </w:t>
            </w:r>
            <w:bookmarkStart w:id="3" w:name="_Hlk503039834"/>
            <w:r w:rsidR="005C7266">
              <w:rPr>
                <w:spacing w:val="-2"/>
                <w:sz w:val="22"/>
                <w:szCs w:val="22"/>
                <w:lang w:val="en-US" w:eastAsia="en-US" w:bidi="ar-SA"/>
              </w:rPr>
              <w:t xml:space="preserve">0004030479, 0004193328, </w:t>
            </w:r>
            <w:r w:rsidR="009C308F">
              <w:rPr>
                <w:spacing w:val="-2"/>
                <w:sz w:val="22"/>
                <w:szCs w:val="22"/>
                <w:lang w:val="en-US" w:eastAsia="en-US" w:bidi="ar-SA"/>
              </w:rPr>
              <w:t xml:space="preserve">0004315013, </w:t>
            </w:r>
            <w:r w:rsidR="005C7266">
              <w:rPr>
                <w:spacing w:val="-2"/>
                <w:sz w:val="22"/>
                <w:szCs w:val="22"/>
                <w:lang w:val="en-US" w:eastAsia="en-US" w:bidi="ar-SA"/>
              </w:rPr>
              <w:t>0004430505</w:t>
            </w:r>
            <w:r w:rsidR="008223CA">
              <w:rPr>
                <w:snapToGrid w:val="0"/>
                <w:sz w:val="22"/>
                <w:szCs w:val="22"/>
                <w:lang w:val="en-US" w:eastAsia="en-US" w:bidi="ar-SA"/>
              </w:rPr>
              <w:t xml:space="preserve">, </w:t>
            </w:r>
            <w:r w:rsidR="005C7266">
              <w:rPr>
                <w:spacing w:val="-2"/>
                <w:sz w:val="22"/>
                <w:szCs w:val="22"/>
                <w:lang w:val="en-US" w:eastAsia="en-US" w:bidi="ar-SA"/>
              </w:rPr>
              <w:t>0004507921, 0004604962, 0005224980, 0006967374</w:t>
            </w:r>
            <w:bookmarkEnd w:id="2"/>
            <w:bookmarkEnd w:id="3"/>
          </w:p>
          <w:p w:rsidR="001145ED" w:rsidRPr="00251A17">
            <w:pPr>
              <w:tabs>
                <w:tab w:val="center" w:pos="4680"/>
              </w:tabs>
              <w:suppressAutoHyphens/>
              <w:rPr>
                <w:rStyle w:val="DefaultParagraphFont"/>
                <w:spacing w:val="-2"/>
                <w:sz w:val="22"/>
                <w:szCs w:val="22"/>
                <w:lang w:val="en-US" w:eastAsia="en-US" w:bidi="ar-SA"/>
              </w:rPr>
            </w:pPr>
          </w:p>
        </w:tc>
      </w:tr>
    </w:tbl>
    <w:p w:rsidR="00841AB1" w:rsidRPr="00251A17" w:rsidP="00F021FA">
      <w:pPr>
        <w:pStyle w:val="StyleBoldCentered"/>
        <w:rPr>
          <w:sz w:val="22"/>
        </w:rPr>
      </w:pPr>
      <w:r w:rsidRPr="00251A17">
        <w:rPr>
          <w:sz w:val="22"/>
        </w:rPr>
        <w:t>order</w:t>
      </w:r>
    </w:p>
    <w:p w:rsidR="004C2EE3" w:rsidRPr="00251A17">
      <w:pPr>
        <w:tabs>
          <w:tab w:val="left" w:pos="-720"/>
        </w:tabs>
        <w:suppressAutoHyphens/>
        <w:spacing w:line="227" w:lineRule="auto"/>
        <w:rPr>
          <w:spacing w:val="-2"/>
          <w:sz w:val="22"/>
          <w:szCs w:val="22"/>
        </w:rPr>
      </w:pPr>
    </w:p>
    <w:p w:rsidR="004C2EE3" w:rsidRPr="00251A17" w:rsidP="00133F79">
      <w:pPr>
        <w:tabs>
          <w:tab w:val="left" w:pos="720"/>
          <w:tab w:val="right" w:pos="9360"/>
        </w:tabs>
        <w:suppressAutoHyphens/>
        <w:spacing w:line="227" w:lineRule="auto"/>
        <w:rPr>
          <w:spacing w:val="-2"/>
          <w:sz w:val="22"/>
          <w:szCs w:val="22"/>
        </w:rPr>
      </w:pPr>
      <w:r w:rsidRPr="00216E2E">
        <w:rPr>
          <w:b/>
          <w:spacing w:val="-2"/>
          <w:sz w:val="22"/>
          <w:szCs w:val="22"/>
        </w:rPr>
        <w:t xml:space="preserve">Adopted:  </w:t>
      </w:r>
      <w:r w:rsidR="003D0B67">
        <w:rPr>
          <w:b/>
          <w:spacing w:val="-2"/>
          <w:sz w:val="22"/>
          <w:szCs w:val="22"/>
        </w:rPr>
        <w:t>February 13</w:t>
      </w:r>
      <w:r w:rsidRPr="00216E2E" w:rsidR="00A172B2">
        <w:rPr>
          <w:b/>
          <w:spacing w:val="-2"/>
          <w:sz w:val="22"/>
          <w:szCs w:val="22"/>
        </w:rPr>
        <w:t>, 201</w:t>
      </w:r>
      <w:r w:rsidRPr="00216E2E" w:rsidR="009E1AAA">
        <w:rPr>
          <w:b/>
          <w:spacing w:val="-2"/>
          <w:sz w:val="22"/>
          <w:szCs w:val="22"/>
        </w:rPr>
        <w:t>8</w:t>
      </w:r>
      <w:r w:rsidRPr="00216E2E">
        <w:rPr>
          <w:b/>
          <w:spacing w:val="-2"/>
          <w:sz w:val="22"/>
          <w:szCs w:val="22"/>
        </w:rPr>
        <w:tab/>
      </w:r>
      <w:r w:rsidRPr="00216E2E" w:rsidR="00822CE0">
        <w:rPr>
          <w:b/>
          <w:spacing w:val="-2"/>
          <w:sz w:val="22"/>
          <w:szCs w:val="22"/>
        </w:rPr>
        <w:t>Released</w:t>
      </w:r>
      <w:r w:rsidRPr="00216E2E">
        <w:rPr>
          <w:b/>
          <w:spacing w:val="-2"/>
          <w:sz w:val="22"/>
          <w:szCs w:val="22"/>
        </w:rPr>
        <w:t>:</w:t>
      </w:r>
      <w:r w:rsidRPr="00216E2E" w:rsidR="00822CE0">
        <w:rPr>
          <w:b/>
          <w:spacing w:val="-2"/>
          <w:sz w:val="22"/>
          <w:szCs w:val="22"/>
        </w:rPr>
        <w:t xml:space="preserve"> </w:t>
      </w:r>
      <w:r w:rsidRPr="00216E2E">
        <w:rPr>
          <w:b/>
          <w:spacing w:val="-2"/>
          <w:sz w:val="22"/>
          <w:szCs w:val="22"/>
        </w:rPr>
        <w:t xml:space="preserve"> </w:t>
      </w:r>
      <w:r w:rsidR="003D0B67">
        <w:rPr>
          <w:b/>
          <w:spacing w:val="-2"/>
          <w:sz w:val="22"/>
          <w:szCs w:val="22"/>
        </w:rPr>
        <w:t>February 14</w:t>
      </w:r>
      <w:r w:rsidRPr="00216E2E" w:rsidR="00A172B2">
        <w:rPr>
          <w:b/>
          <w:spacing w:val="-2"/>
          <w:sz w:val="22"/>
          <w:szCs w:val="22"/>
        </w:rPr>
        <w:t>, 201</w:t>
      </w:r>
      <w:r w:rsidR="00EC272B">
        <w:rPr>
          <w:b/>
          <w:spacing w:val="-2"/>
          <w:sz w:val="22"/>
          <w:szCs w:val="22"/>
        </w:rPr>
        <w:t>8</w:t>
      </w:r>
    </w:p>
    <w:p w:rsidR="00822CE0" w:rsidRPr="00251A17">
      <w:pPr>
        <w:rPr>
          <w:sz w:val="22"/>
          <w:szCs w:val="22"/>
        </w:rPr>
      </w:pPr>
    </w:p>
    <w:p w:rsidR="004C2EE3" w:rsidRPr="00251A17">
      <w:pPr>
        <w:rPr>
          <w:spacing w:val="-2"/>
          <w:sz w:val="22"/>
          <w:szCs w:val="22"/>
        </w:rPr>
      </w:pPr>
      <w:r w:rsidRPr="00251A17">
        <w:rPr>
          <w:sz w:val="22"/>
          <w:szCs w:val="22"/>
        </w:rPr>
        <w:t xml:space="preserve">By </w:t>
      </w:r>
      <w:r w:rsidRPr="00251A17" w:rsidR="004E4A22">
        <w:rPr>
          <w:sz w:val="22"/>
          <w:szCs w:val="22"/>
        </w:rPr>
        <w:t>the</w:t>
      </w:r>
      <w:r w:rsidRPr="00251A17" w:rsidR="002A2D2E">
        <w:rPr>
          <w:sz w:val="22"/>
          <w:szCs w:val="22"/>
        </w:rPr>
        <w:t xml:space="preserve"> </w:t>
      </w:r>
      <w:r w:rsidRPr="00251A17" w:rsidR="00A172B2">
        <w:rPr>
          <w:spacing w:val="-2"/>
          <w:sz w:val="22"/>
          <w:szCs w:val="22"/>
        </w:rPr>
        <w:t>Deputy Chief, Mobility Division, Wireless Telecommunications Bureau</w:t>
      </w:r>
      <w:r w:rsidRPr="00251A17">
        <w:rPr>
          <w:spacing w:val="-2"/>
          <w:sz w:val="22"/>
          <w:szCs w:val="22"/>
        </w:rPr>
        <w:t>:</w:t>
      </w:r>
    </w:p>
    <w:p w:rsidR="00412FC5" w:rsidRPr="00251A17" w:rsidP="00412FC5">
      <w:pPr>
        <w:rPr>
          <w:sz w:val="22"/>
          <w:szCs w:val="22"/>
        </w:rPr>
      </w:pPr>
    </w:p>
    <w:p w:rsidR="00462565" w:rsidRPr="00251A17" w:rsidP="00462565">
      <w:pPr>
        <w:pStyle w:val="Heading1"/>
        <w:rPr>
          <w:sz w:val="22"/>
          <w:szCs w:val="22"/>
        </w:rPr>
      </w:pPr>
      <w:r w:rsidRPr="00251A17">
        <w:rPr>
          <w:sz w:val="22"/>
          <w:szCs w:val="22"/>
        </w:rPr>
        <w:t xml:space="preserve">introduction </w:t>
      </w:r>
    </w:p>
    <w:p w:rsidR="002C00E8" w:rsidRPr="00C03E80" w:rsidP="00C03E80">
      <w:pPr>
        <w:pStyle w:val="ParaNum"/>
        <w:numPr>
          <w:ilvl w:val="0"/>
          <w:numId w:val="7"/>
        </w:numPr>
        <w:tabs>
          <w:tab w:val="left" w:pos="1440"/>
        </w:tabs>
        <w:ind w:left="0" w:firstLine="720"/>
        <w:rPr>
          <w:sz w:val="22"/>
          <w:szCs w:val="22"/>
        </w:rPr>
      </w:pPr>
      <w:r>
        <w:rPr>
          <w:sz w:val="22"/>
          <w:szCs w:val="22"/>
        </w:rPr>
        <w:t xml:space="preserve">This </w:t>
      </w:r>
      <w:r w:rsidRPr="002E3A6B">
        <w:rPr>
          <w:i/>
          <w:sz w:val="22"/>
          <w:szCs w:val="22"/>
        </w:rPr>
        <w:t>Order</w:t>
      </w:r>
      <w:r>
        <w:rPr>
          <w:i/>
          <w:sz w:val="22"/>
          <w:szCs w:val="22"/>
        </w:rPr>
        <w:t xml:space="preserve"> </w:t>
      </w:r>
      <w:r w:rsidR="0050199A">
        <w:rPr>
          <w:sz w:val="22"/>
          <w:szCs w:val="22"/>
        </w:rPr>
        <w:t xml:space="preserve">addresses petitions filed by Warren Havens </w:t>
      </w:r>
      <w:r w:rsidR="007B6B33">
        <w:rPr>
          <w:sz w:val="22"/>
          <w:szCs w:val="22"/>
        </w:rPr>
        <w:t xml:space="preserve">(Havens) </w:t>
      </w:r>
      <w:r w:rsidR="0050199A">
        <w:rPr>
          <w:sz w:val="22"/>
          <w:szCs w:val="22"/>
        </w:rPr>
        <w:t xml:space="preserve">and related entities to deny the above-captioned </w:t>
      </w:r>
      <w:r>
        <w:rPr>
          <w:sz w:val="22"/>
          <w:szCs w:val="22"/>
        </w:rPr>
        <w:t>applications to assign</w:t>
      </w:r>
      <w:r w:rsidRPr="00251A17" w:rsidR="0038486A">
        <w:rPr>
          <w:sz w:val="22"/>
          <w:szCs w:val="22"/>
        </w:rPr>
        <w:t xml:space="preserve"> Automated Maritime Telecommunications System (AMTS) licenses</w:t>
      </w:r>
      <w:r w:rsidR="0050199A">
        <w:rPr>
          <w:sz w:val="22"/>
          <w:szCs w:val="22"/>
        </w:rPr>
        <w:t xml:space="preserve"> from Choctaw Holdings, LLC (Choctaw) </w:t>
      </w:r>
      <w:r w:rsidR="00300A5B">
        <w:rPr>
          <w:sz w:val="22"/>
          <w:szCs w:val="22"/>
        </w:rPr>
        <w:t xml:space="preserve">to </w:t>
      </w:r>
      <w:r w:rsidR="0050199A">
        <w:rPr>
          <w:sz w:val="22"/>
          <w:szCs w:val="22"/>
        </w:rPr>
        <w:t>several</w:t>
      </w:r>
      <w:r w:rsidR="00567121">
        <w:rPr>
          <w:sz w:val="22"/>
          <w:szCs w:val="22"/>
        </w:rPr>
        <w:t xml:space="preserve"> gas, oil, and electric companies (CII Companies)</w:t>
      </w:r>
      <w:r w:rsidR="0050199A">
        <w:rPr>
          <w:sz w:val="22"/>
          <w:szCs w:val="22"/>
        </w:rPr>
        <w:t>.</w:t>
      </w:r>
      <w:r>
        <w:rPr>
          <w:rStyle w:val="FootnoteReference"/>
          <w:szCs w:val="22"/>
        </w:rPr>
        <w:footnoteReference w:id="3"/>
      </w:r>
      <w:r w:rsidR="00300A5B">
        <w:rPr>
          <w:sz w:val="22"/>
          <w:szCs w:val="22"/>
        </w:rPr>
        <w:t xml:space="preserve"> </w:t>
      </w:r>
      <w:r w:rsidR="0050199A">
        <w:rPr>
          <w:sz w:val="22"/>
          <w:szCs w:val="22"/>
        </w:rPr>
        <w:t xml:space="preserve"> For the reasons set forth below, we deny petitions filed in 2010</w:t>
      </w:r>
      <w:r>
        <w:rPr>
          <w:rStyle w:val="FootnoteReference"/>
          <w:szCs w:val="22"/>
        </w:rPr>
        <w:footnoteReference w:id="4"/>
      </w:r>
      <w:r w:rsidR="0050199A">
        <w:rPr>
          <w:sz w:val="22"/>
          <w:szCs w:val="22"/>
        </w:rPr>
        <w:t xml:space="preserve"> and 2015</w:t>
      </w:r>
      <w:r>
        <w:rPr>
          <w:rStyle w:val="FootnoteReference"/>
          <w:szCs w:val="22"/>
        </w:rPr>
        <w:footnoteReference w:id="5"/>
      </w:r>
      <w:r w:rsidR="0050199A">
        <w:rPr>
          <w:sz w:val="22"/>
          <w:szCs w:val="22"/>
        </w:rPr>
        <w:t xml:space="preserve"> </w:t>
      </w:r>
      <w:r w:rsidR="00274D15">
        <w:rPr>
          <w:sz w:val="22"/>
          <w:szCs w:val="22"/>
        </w:rPr>
        <w:t>to deny</w:t>
      </w:r>
      <w:r w:rsidR="0050199A">
        <w:rPr>
          <w:sz w:val="22"/>
          <w:szCs w:val="22"/>
        </w:rPr>
        <w:t xml:space="preserve"> File Nos. 0004193328 and 0006967374</w:t>
      </w:r>
      <w:r w:rsidRPr="00092B25" w:rsidR="00092B25">
        <w:rPr>
          <w:sz w:val="22"/>
          <w:szCs w:val="22"/>
        </w:rPr>
        <w:t xml:space="preserve"> </w:t>
      </w:r>
      <w:r w:rsidR="00092B25">
        <w:rPr>
          <w:sz w:val="22"/>
          <w:szCs w:val="22"/>
        </w:rPr>
        <w:t>respectively</w:t>
      </w:r>
      <w:r w:rsidR="0050199A">
        <w:rPr>
          <w:sz w:val="22"/>
          <w:szCs w:val="22"/>
        </w:rPr>
        <w:t xml:space="preserve">, and dismiss </w:t>
      </w:r>
      <w:r w:rsidR="002D2723">
        <w:rPr>
          <w:sz w:val="22"/>
          <w:szCs w:val="22"/>
        </w:rPr>
        <w:t xml:space="preserve">for lack of standing </w:t>
      </w:r>
      <w:r w:rsidR="0050199A">
        <w:rPr>
          <w:sz w:val="22"/>
          <w:szCs w:val="22"/>
        </w:rPr>
        <w:t>a petition filed in 2017</w:t>
      </w:r>
      <w:r>
        <w:rPr>
          <w:rStyle w:val="FootnoteReference"/>
          <w:szCs w:val="22"/>
        </w:rPr>
        <w:footnoteReference w:id="6"/>
      </w:r>
      <w:r w:rsidR="0050199A">
        <w:rPr>
          <w:sz w:val="22"/>
          <w:szCs w:val="22"/>
        </w:rPr>
        <w:t xml:space="preserve"> to deny </w:t>
      </w:r>
      <w:r w:rsidRPr="00251A17" w:rsidR="009C308F">
        <w:rPr>
          <w:spacing w:val="-2"/>
          <w:sz w:val="22"/>
          <w:szCs w:val="22"/>
        </w:rPr>
        <w:t xml:space="preserve">File Nos. </w:t>
      </w:r>
      <w:r w:rsidR="009C308F">
        <w:rPr>
          <w:spacing w:val="-2"/>
          <w:sz w:val="22"/>
          <w:szCs w:val="22"/>
        </w:rPr>
        <w:t>0004030479, 0004193328, 0004430505</w:t>
      </w:r>
      <w:r w:rsidR="009C308F">
        <w:rPr>
          <w:snapToGrid w:val="0"/>
          <w:sz w:val="22"/>
          <w:szCs w:val="22"/>
        </w:rPr>
        <w:t xml:space="preserve">, </w:t>
      </w:r>
      <w:r w:rsidR="009C308F">
        <w:rPr>
          <w:spacing w:val="-2"/>
          <w:sz w:val="22"/>
          <w:szCs w:val="22"/>
        </w:rPr>
        <w:t xml:space="preserve">0004507921, 0004604962, 0005224980, </w:t>
      </w:r>
      <w:r w:rsidR="00092B25">
        <w:rPr>
          <w:spacing w:val="-2"/>
          <w:sz w:val="22"/>
          <w:szCs w:val="22"/>
        </w:rPr>
        <w:t xml:space="preserve">and </w:t>
      </w:r>
      <w:r w:rsidR="009C308F">
        <w:rPr>
          <w:spacing w:val="-2"/>
          <w:sz w:val="22"/>
          <w:szCs w:val="22"/>
        </w:rPr>
        <w:t>0006967374</w:t>
      </w:r>
      <w:r w:rsidR="0050199A">
        <w:rPr>
          <w:sz w:val="22"/>
          <w:szCs w:val="22"/>
        </w:rPr>
        <w:t xml:space="preserve">.  </w:t>
      </w:r>
      <w:r w:rsidR="00567121">
        <w:rPr>
          <w:sz w:val="22"/>
          <w:szCs w:val="22"/>
        </w:rPr>
        <w:t xml:space="preserve"> </w:t>
      </w:r>
    </w:p>
    <w:p w:rsidR="006E786A" w:rsidRPr="00251A17" w:rsidP="006E786A">
      <w:pPr>
        <w:pStyle w:val="Heading1"/>
        <w:tabs>
          <w:tab w:val="left" w:pos="720"/>
        </w:tabs>
        <w:rPr>
          <w:sz w:val="22"/>
          <w:szCs w:val="22"/>
        </w:rPr>
      </w:pPr>
      <w:r w:rsidRPr="00251A17">
        <w:rPr>
          <w:sz w:val="22"/>
          <w:szCs w:val="22"/>
        </w:rPr>
        <w:t>background</w:t>
      </w:r>
    </w:p>
    <w:p w:rsidR="004A52BD" w:rsidP="004A52BD">
      <w:pPr>
        <w:pStyle w:val="ParaNum"/>
        <w:numPr>
          <w:ilvl w:val="0"/>
          <w:numId w:val="7"/>
        </w:numPr>
        <w:tabs>
          <w:tab w:val="left" w:pos="1440"/>
        </w:tabs>
        <w:ind w:left="0" w:firstLine="720"/>
        <w:rPr>
          <w:sz w:val="22"/>
          <w:szCs w:val="22"/>
        </w:rPr>
      </w:pPr>
      <w:r w:rsidRPr="000941F5">
        <w:rPr>
          <w:sz w:val="22"/>
          <w:szCs w:val="22"/>
        </w:rPr>
        <w:t>Maritime Communications/Land Mobile, LLC (MCLM)</w:t>
      </w:r>
      <w:r>
        <w:rPr>
          <w:rStyle w:val="FootnoteReference"/>
          <w:szCs w:val="22"/>
        </w:rPr>
        <w:footnoteReference w:id="7"/>
      </w:r>
      <w:r w:rsidRPr="000941F5">
        <w:rPr>
          <w:sz w:val="22"/>
          <w:szCs w:val="22"/>
        </w:rPr>
        <w:t xml:space="preserve"> </w:t>
      </w:r>
      <w:r w:rsidRPr="000941F5" w:rsidR="00890437">
        <w:rPr>
          <w:sz w:val="22"/>
          <w:szCs w:val="22"/>
        </w:rPr>
        <w:t>was the high bidder for four geographic AMTS</w:t>
      </w:r>
      <w:r w:rsidRPr="000941F5" w:rsidR="000941F5">
        <w:rPr>
          <w:sz w:val="22"/>
          <w:szCs w:val="22"/>
        </w:rPr>
        <w:t xml:space="preserve"> </w:t>
      </w:r>
      <w:r w:rsidRPr="000941F5" w:rsidR="00890437">
        <w:rPr>
          <w:sz w:val="22"/>
          <w:szCs w:val="22"/>
        </w:rPr>
        <w:t>licenses in Auction 61</w:t>
      </w:r>
      <w:r w:rsidR="009644CA">
        <w:rPr>
          <w:sz w:val="22"/>
          <w:szCs w:val="22"/>
        </w:rPr>
        <w:t>.</w:t>
      </w:r>
      <w:r>
        <w:rPr>
          <w:rStyle w:val="FootnoteReference"/>
          <w:sz w:val="22"/>
          <w:szCs w:val="22"/>
        </w:rPr>
        <w:footnoteReference w:id="8"/>
      </w:r>
      <w:r w:rsidR="009644CA">
        <w:rPr>
          <w:sz w:val="22"/>
          <w:szCs w:val="22"/>
        </w:rPr>
        <w:t xml:space="preserve">  MCLM was </w:t>
      </w:r>
      <w:r w:rsidRPr="000941F5" w:rsidR="00890437">
        <w:rPr>
          <w:sz w:val="22"/>
          <w:szCs w:val="22"/>
        </w:rPr>
        <w:t>awarded</w:t>
      </w:r>
      <w:r w:rsidR="009644CA">
        <w:rPr>
          <w:sz w:val="22"/>
          <w:szCs w:val="22"/>
        </w:rPr>
        <w:t xml:space="preserve"> the licenses</w:t>
      </w:r>
      <w:r w:rsidRPr="000941F5" w:rsidR="00890437">
        <w:rPr>
          <w:sz w:val="22"/>
          <w:szCs w:val="22"/>
        </w:rPr>
        <w:t xml:space="preserve"> in </w:t>
      </w:r>
      <w:r w:rsidRPr="000941F5" w:rsidR="00C217E9">
        <w:rPr>
          <w:sz w:val="22"/>
          <w:szCs w:val="22"/>
        </w:rPr>
        <w:t>2006</w:t>
      </w:r>
      <w:r w:rsidR="009644CA">
        <w:rPr>
          <w:sz w:val="22"/>
          <w:szCs w:val="22"/>
        </w:rPr>
        <w:t xml:space="preserve">, but </w:t>
      </w:r>
      <w:r w:rsidRPr="004A52BD">
        <w:rPr>
          <w:sz w:val="22"/>
        </w:rPr>
        <w:t xml:space="preserve">was cautioned </w:t>
      </w:r>
      <w:r w:rsidRPr="004A52BD">
        <w:rPr>
          <w:sz w:val="22"/>
        </w:rPr>
        <w:t>that its representations in connection with Auction 61 remained subject to further inquiry and possible enforcement action.</w:t>
      </w:r>
      <w:r>
        <w:rPr>
          <w:rStyle w:val="FootnoteReference"/>
          <w:sz w:val="22"/>
          <w:szCs w:val="22"/>
        </w:rPr>
        <w:footnoteReference w:id="9"/>
      </w:r>
      <w:r w:rsidRPr="000941F5" w:rsidR="00C217E9">
        <w:rPr>
          <w:sz w:val="22"/>
          <w:szCs w:val="22"/>
        </w:rPr>
        <w:t xml:space="preserve"> </w:t>
      </w:r>
      <w:r w:rsidRPr="000941F5" w:rsidR="00890437">
        <w:rPr>
          <w:sz w:val="22"/>
          <w:szCs w:val="22"/>
        </w:rPr>
        <w:t xml:space="preserve"> </w:t>
      </w:r>
      <w:r w:rsidR="00F82958">
        <w:rPr>
          <w:sz w:val="22"/>
          <w:szCs w:val="22"/>
        </w:rPr>
        <w:t>MCLM al</w:t>
      </w:r>
      <w:r w:rsidR="00B71AA4">
        <w:rPr>
          <w:sz w:val="22"/>
          <w:szCs w:val="22"/>
        </w:rPr>
        <w:t>so</w:t>
      </w:r>
      <w:r w:rsidR="00F82958">
        <w:rPr>
          <w:sz w:val="22"/>
          <w:szCs w:val="22"/>
        </w:rPr>
        <w:t xml:space="preserve"> held several incumbent site-based AMTS licenses.</w:t>
      </w:r>
    </w:p>
    <w:p w:rsidR="000941F5" w:rsidRPr="004A52BD" w:rsidP="004A52BD">
      <w:pPr>
        <w:pStyle w:val="ParaNum"/>
        <w:numPr>
          <w:ilvl w:val="0"/>
          <w:numId w:val="7"/>
        </w:numPr>
        <w:tabs>
          <w:tab w:val="left" w:pos="1440"/>
        </w:tabs>
        <w:ind w:left="0" w:firstLine="720"/>
        <w:rPr>
          <w:sz w:val="22"/>
          <w:szCs w:val="22"/>
        </w:rPr>
      </w:pPr>
      <w:r w:rsidRPr="004A52BD">
        <w:rPr>
          <w:sz w:val="22"/>
        </w:rPr>
        <w:t xml:space="preserve">Between 2009 and </w:t>
      </w:r>
      <w:r w:rsidR="00A04822">
        <w:rPr>
          <w:sz w:val="22"/>
        </w:rPr>
        <w:t xml:space="preserve">early </w:t>
      </w:r>
      <w:r w:rsidRPr="004A52BD">
        <w:rPr>
          <w:sz w:val="22"/>
        </w:rPr>
        <w:t xml:space="preserve">2011, MCLM filed </w:t>
      </w:r>
      <w:r w:rsidR="00A04822">
        <w:rPr>
          <w:sz w:val="22"/>
        </w:rPr>
        <w:t>six</w:t>
      </w:r>
      <w:r w:rsidRPr="004A52BD">
        <w:rPr>
          <w:sz w:val="22"/>
        </w:rPr>
        <w:t xml:space="preserve"> of the above-captioned applications to assign </w:t>
      </w:r>
      <w:r w:rsidRPr="004A52BD" w:rsidR="00B71AA4">
        <w:rPr>
          <w:sz w:val="22"/>
        </w:rPr>
        <w:t>site-based AMTS license</w:t>
      </w:r>
      <w:r w:rsidR="00B71AA4">
        <w:rPr>
          <w:sz w:val="22"/>
        </w:rPr>
        <w:t>s</w:t>
      </w:r>
      <w:r>
        <w:rPr>
          <w:rStyle w:val="FootnoteReference"/>
        </w:rPr>
        <w:footnoteReference w:id="10"/>
      </w:r>
      <w:r w:rsidRPr="004A52BD" w:rsidR="00B71AA4">
        <w:rPr>
          <w:sz w:val="22"/>
        </w:rPr>
        <w:t xml:space="preserve"> </w:t>
      </w:r>
      <w:r w:rsidR="00B71AA4">
        <w:rPr>
          <w:sz w:val="22"/>
        </w:rPr>
        <w:t xml:space="preserve">and </w:t>
      </w:r>
      <w:r w:rsidRPr="004A52BD">
        <w:rPr>
          <w:sz w:val="22"/>
        </w:rPr>
        <w:t>portions of the geographic licenses</w:t>
      </w:r>
      <w:r>
        <w:rPr>
          <w:rStyle w:val="FootnoteReference"/>
        </w:rPr>
        <w:footnoteReference w:id="11"/>
      </w:r>
      <w:r w:rsidRPr="004A52BD" w:rsidR="00F82958">
        <w:rPr>
          <w:sz w:val="22"/>
        </w:rPr>
        <w:t xml:space="preserve"> </w:t>
      </w:r>
      <w:r w:rsidRPr="004A52BD">
        <w:rPr>
          <w:sz w:val="22"/>
        </w:rPr>
        <w:t>to CII Companies.  Havens, individually and on behalf of companies he controlled that held AMTS geographic licenses, petition</w:t>
      </w:r>
      <w:r w:rsidR="0094724B">
        <w:rPr>
          <w:sz w:val="22"/>
        </w:rPr>
        <w:t>ed</w:t>
      </w:r>
      <w:r w:rsidRPr="004A52BD">
        <w:rPr>
          <w:sz w:val="22"/>
        </w:rPr>
        <w:t xml:space="preserve"> to deny the applications on the grounds that MCLM</w:t>
      </w:r>
      <w:r w:rsidR="00B71AA4">
        <w:rPr>
          <w:sz w:val="22"/>
        </w:rPr>
        <w:t>’s licenses were subject to revocation because it</w:t>
      </w:r>
      <w:r w:rsidR="00A04822">
        <w:rPr>
          <w:sz w:val="22"/>
        </w:rPr>
        <w:t xml:space="preserve"> </w:t>
      </w:r>
      <w:r w:rsidRPr="004A52BD">
        <w:rPr>
          <w:sz w:val="22"/>
        </w:rPr>
        <w:t>engaged in misrepresentation, lack of candor</w:t>
      </w:r>
      <w:r w:rsidR="0094724B">
        <w:rPr>
          <w:sz w:val="22"/>
        </w:rPr>
        <w:t>,</w:t>
      </w:r>
      <w:r w:rsidRPr="004A52BD">
        <w:rPr>
          <w:sz w:val="22"/>
        </w:rPr>
        <w:t xml:space="preserve"> and other misconduct in connection with Auction 61.  </w:t>
      </w:r>
      <w:r w:rsidRPr="004A52BD" w:rsidR="004A52BD">
        <w:rPr>
          <w:sz w:val="22"/>
        </w:rPr>
        <w:t>Due to ongoing challenges, fact-gathering, and investigation during</w:t>
      </w:r>
      <w:r w:rsidR="00B71AA4">
        <w:rPr>
          <w:sz w:val="22"/>
        </w:rPr>
        <w:t xml:space="preserve"> this period, the processing of the</w:t>
      </w:r>
      <w:r w:rsidRPr="004A52BD" w:rsidR="004A52BD">
        <w:rPr>
          <w:sz w:val="22"/>
        </w:rPr>
        <w:t xml:space="preserve"> assignment applications was precluded under the Commission’s </w:t>
      </w:r>
      <w:r w:rsidRPr="0094724B" w:rsidR="004A52BD">
        <w:rPr>
          <w:i/>
          <w:sz w:val="22"/>
        </w:rPr>
        <w:t>Jefferson Radio</w:t>
      </w:r>
      <w:r w:rsidRPr="004A52BD" w:rsidR="004A52BD">
        <w:rPr>
          <w:sz w:val="22"/>
        </w:rPr>
        <w:t xml:space="preserve"> policy, which generally prohibits the assignment of a license while </w:t>
      </w:r>
      <w:r w:rsidR="00B71AA4">
        <w:rPr>
          <w:sz w:val="22"/>
        </w:rPr>
        <w:t xml:space="preserve">issues regarding the </w:t>
      </w:r>
      <w:r w:rsidR="00C47CAA">
        <w:rPr>
          <w:sz w:val="22"/>
        </w:rPr>
        <w:t xml:space="preserve">assignor’s </w:t>
      </w:r>
      <w:r w:rsidRPr="004A52BD" w:rsidR="004A52BD">
        <w:rPr>
          <w:sz w:val="22"/>
        </w:rPr>
        <w:t xml:space="preserve">basic qualifications </w:t>
      </w:r>
      <w:r w:rsidR="00B71AA4">
        <w:rPr>
          <w:sz w:val="22"/>
        </w:rPr>
        <w:t>remain unresolved</w:t>
      </w:r>
      <w:r w:rsidRPr="004A52BD" w:rsidR="004A52BD">
        <w:rPr>
          <w:sz w:val="22"/>
        </w:rPr>
        <w:t>.</w:t>
      </w:r>
      <w:r>
        <w:rPr>
          <w:rStyle w:val="FootnoteReference"/>
        </w:rPr>
        <w:footnoteReference w:id="12"/>
      </w:r>
    </w:p>
    <w:p w:rsidR="009644CA" w:rsidP="004A52BD">
      <w:pPr>
        <w:pStyle w:val="ParaNum"/>
        <w:numPr>
          <w:ilvl w:val="0"/>
          <w:numId w:val="7"/>
        </w:numPr>
        <w:tabs>
          <w:tab w:val="left" w:pos="1440"/>
        </w:tabs>
        <w:ind w:left="0" w:firstLine="720"/>
        <w:rPr>
          <w:sz w:val="22"/>
          <w:szCs w:val="22"/>
        </w:rPr>
      </w:pPr>
      <w:r>
        <w:rPr>
          <w:sz w:val="22"/>
          <w:szCs w:val="22"/>
        </w:rPr>
        <w:t>In April</w:t>
      </w:r>
      <w:r w:rsidR="00C217E9">
        <w:rPr>
          <w:sz w:val="22"/>
          <w:szCs w:val="22"/>
        </w:rPr>
        <w:t xml:space="preserve"> 2011, </w:t>
      </w:r>
      <w:r w:rsidRPr="004A52BD" w:rsidR="004A52BD">
        <w:rPr>
          <w:snapToGrid w:val="0"/>
          <w:kern w:val="28"/>
          <w:sz w:val="22"/>
          <w:szCs w:val="20"/>
        </w:rPr>
        <w:t>the Commission designated MCLM for hearing on its basic qualifications based on the alleged misconduct discussed in the Havens pleadings.</w:t>
      </w:r>
      <w:r>
        <w:rPr>
          <w:snapToGrid w:val="0"/>
          <w:kern w:val="28"/>
          <w:sz w:val="20"/>
          <w:szCs w:val="20"/>
          <w:vertAlign w:val="superscript"/>
        </w:rPr>
        <w:footnoteReference w:id="13"/>
      </w:r>
      <w:r w:rsidRPr="004A52BD" w:rsidR="004A52BD">
        <w:rPr>
          <w:snapToGrid w:val="0"/>
          <w:kern w:val="28"/>
          <w:sz w:val="22"/>
          <w:szCs w:val="20"/>
        </w:rPr>
        <w:t xml:space="preserve">  </w:t>
      </w:r>
      <w:r w:rsidRPr="004A52BD" w:rsidR="00017E0C">
        <w:rPr>
          <w:sz w:val="22"/>
          <w:szCs w:val="22"/>
        </w:rPr>
        <w:t>In August 2011, MCLM filed for bankruptcy</w:t>
      </w:r>
      <w:r w:rsidRPr="004A52BD" w:rsidR="00442D97">
        <w:rPr>
          <w:sz w:val="22"/>
          <w:szCs w:val="22"/>
        </w:rPr>
        <w:t>,</w:t>
      </w:r>
      <w:r>
        <w:rPr>
          <w:rStyle w:val="FootnoteReference"/>
          <w:szCs w:val="22"/>
        </w:rPr>
        <w:footnoteReference w:id="14"/>
      </w:r>
      <w:r w:rsidRPr="004A52BD" w:rsidR="00442D97">
        <w:rPr>
          <w:sz w:val="22"/>
          <w:szCs w:val="22"/>
        </w:rPr>
        <w:t xml:space="preserve"> </w:t>
      </w:r>
      <w:r>
        <w:rPr>
          <w:sz w:val="22"/>
          <w:szCs w:val="22"/>
        </w:rPr>
        <w:t xml:space="preserve">and </w:t>
      </w:r>
      <w:r w:rsidRPr="004A52BD" w:rsidR="00442D97">
        <w:rPr>
          <w:sz w:val="22"/>
          <w:szCs w:val="22"/>
        </w:rPr>
        <w:t>inform</w:t>
      </w:r>
      <w:r>
        <w:rPr>
          <w:sz w:val="22"/>
          <w:szCs w:val="22"/>
        </w:rPr>
        <w:t>ed</w:t>
      </w:r>
      <w:r w:rsidRPr="004A52BD" w:rsidR="00442D97">
        <w:rPr>
          <w:sz w:val="22"/>
          <w:szCs w:val="22"/>
        </w:rPr>
        <w:t xml:space="preserve"> the parties to the hearing that it </w:t>
      </w:r>
      <w:r w:rsidR="00B71AA4">
        <w:rPr>
          <w:sz w:val="22"/>
          <w:szCs w:val="22"/>
        </w:rPr>
        <w:t>would</w:t>
      </w:r>
      <w:r w:rsidRPr="004A52BD" w:rsidR="00442D97">
        <w:rPr>
          <w:sz w:val="22"/>
          <w:szCs w:val="22"/>
        </w:rPr>
        <w:t xml:space="preserve"> </w:t>
      </w:r>
      <w:r w:rsidR="00B71AA4">
        <w:rPr>
          <w:sz w:val="22"/>
          <w:szCs w:val="22"/>
        </w:rPr>
        <w:t xml:space="preserve">seek to terminate the hearing pursuant to </w:t>
      </w:r>
      <w:r w:rsidRPr="004A52BD" w:rsidR="00442D97">
        <w:rPr>
          <w:sz w:val="22"/>
          <w:szCs w:val="22"/>
        </w:rPr>
        <w:t>the</w:t>
      </w:r>
      <w:r>
        <w:rPr>
          <w:sz w:val="22"/>
          <w:szCs w:val="22"/>
        </w:rPr>
        <w:t xml:space="preserve"> Commission’s</w:t>
      </w:r>
      <w:r w:rsidRPr="004A52BD" w:rsidR="00442D97">
        <w:rPr>
          <w:sz w:val="22"/>
          <w:szCs w:val="22"/>
        </w:rPr>
        <w:t xml:space="preserve"> </w:t>
      </w:r>
      <w:r w:rsidRPr="004A52BD" w:rsidR="00442D97">
        <w:rPr>
          <w:i/>
          <w:sz w:val="22"/>
          <w:szCs w:val="22"/>
        </w:rPr>
        <w:t>Second Thursday</w:t>
      </w:r>
      <w:r w:rsidRPr="004A52BD" w:rsidR="00442D97">
        <w:rPr>
          <w:sz w:val="22"/>
          <w:szCs w:val="22"/>
        </w:rPr>
        <w:t xml:space="preserve"> doctrine</w:t>
      </w:r>
      <w:r w:rsidR="00B71AA4">
        <w:rPr>
          <w:sz w:val="22"/>
          <w:szCs w:val="22"/>
        </w:rPr>
        <w:t xml:space="preserve">, which </w:t>
      </w:r>
      <w:r w:rsidRPr="009644CA">
        <w:rPr>
          <w:sz w:val="22"/>
        </w:rPr>
        <w:t>permits grant of a</w:t>
      </w:r>
      <w:r>
        <w:rPr>
          <w:sz w:val="22"/>
        </w:rPr>
        <w:t>n</w:t>
      </w:r>
      <w:r w:rsidRPr="009644CA">
        <w:rPr>
          <w:sz w:val="22"/>
        </w:rPr>
        <w:t xml:space="preserve"> assignment </w:t>
      </w:r>
      <w:r>
        <w:rPr>
          <w:sz w:val="22"/>
        </w:rPr>
        <w:t xml:space="preserve">application </w:t>
      </w:r>
      <w:r w:rsidRPr="009644CA">
        <w:rPr>
          <w:sz w:val="22"/>
        </w:rPr>
        <w:t xml:space="preserve">notwithstanding </w:t>
      </w:r>
      <w:r w:rsidR="00B71AA4">
        <w:rPr>
          <w:sz w:val="22"/>
        </w:rPr>
        <w:t>unresolved</w:t>
      </w:r>
      <w:r w:rsidRPr="009644CA">
        <w:rPr>
          <w:sz w:val="22"/>
        </w:rPr>
        <w:t xml:space="preserve"> issues regarding the licensee’s basi</w:t>
      </w:r>
      <w:r>
        <w:rPr>
          <w:sz w:val="22"/>
        </w:rPr>
        <w:t xml:space="preserve">c qualifications </w:t>
      </w:r>
      <w:r w:rsidRPr="009644CA">
        <w:rPr>
          <w:sz w:val="22"/>
        </w:rPr>
        <w:t>if the licensee is in bankruptcy, the assignment will benefit innocent creditors of the licensee, and the individuals charged with misconduct will have no part in the proposed operations and will either derive no benefit from favorable action on the application or only derive a minor benefit which benefit is outweighed by equitable considerations in favor of innocent creditors.</w:t>
      </w:r>
      <w:r>
        <w:rPr>
          <w:rStyle w:val="FootnoteReference"/>
          <w:szCs w:val="22"/>
        </w:rPr>
        <w:footnoteReference w:id="15"/>
      </w:r>
      <w:r w:rsidRPr="004A52BD" w:rsidR="00C51900">
        <w:rPr>
          <w:sz w:val="22"/>
          <w:szCs w:val="22"/>
        </w:rPr>
        <w:t xml:space="preserve">  </w:t>
      </w:r>
    </w:p>
    <w:p w:rsidR="009644CA" w:rsidP="004A52BD">
      <w:pPr>
        <w:pStyle w:val="ParaNum"/>
        <w:numPr>
          <w:ilvl w:val="0"/>
          <w:numId w:val="7"/>
        </w:numPr>
        <w:tabs>
          <w:tab w:val="left" w:pos="1440"/>
        </w:tabs>
        <w:ind w:left="0" w:firstLine="720"/>
        <w:rPr>
          <w:sz w:val="22"/>
          <w:szCs w:val="22"/>
        </w:rPr>
      </w:pPr>
      <w:bookmarkStart w:id="5" w:name="_Hlk503342108"/>
      <w:r>
        <w:rPr>
          <w:sz w:val="22"/>
          <w:szCs w:val="22"/>
        </w:rPr>
        <w:t>In 2012, MCLM</w:t>
      </w:r>
      <w:r w:rsidR="007B6B33">
        <w:rPr>
          <w:sz w:val="22"/>
          <w:szCs w:val="22"/>
        </w:rPr>
        <w:t xml:space="preserve"> filed another above-captioned application to assign AMTS geographic spectrum to a CII Company.</w:t>
      </w:r>
      <w:r>
        <w:rPr>
          <w:rStyle w:val="FootnoteReference"/>
          <w:szCs w:val="22"/>
        </w:rPr>
        <w:footnoteReference w:id="16"/>
      </w:r>
      <w:r w:rsidR="007B6B33">
        <w:rPr>
          <w:sz w:val="22"/>
          <w:szCs w:val="22"/>
        </w:rPr>
        <w:t xml:space="preserve">  </w:t>
      </w:r>
      <w:r w:rsidRPr="004A52BD" w:rsidR="007B6B33">
        <w:rPr>
          <w:sz w:val="22"/>
        </w:rPr>
        <w:t xml:space="preserve">Havens, individually and on behalf of companies he controlled that held </w:t>
      </w:r>
      <w:r w:rsidR="007B6B33">
        <w:rPr>
          <w:sz w:val="22"/>
        </w:rPr>
        <w:t xml:space="preserve">AMTS geographic licenses, filed a </w:t>
      </w:r>
      <w:r w:rsidRPr="004A52BD" w:rsidR="007B6B33">
        <w:rPr>
          <w:sz w:val="22"/>
        </w:rPr>
        <w:t>petition to deny the application</w:t>
      </w:r>
      <w:r w:rsidR="007B6B33">
        <w:rPr>
          <w:sz w:val="22"/>
        </w:rPr>
        <w:t>.</w:t>
      </w:r>
    </w:p>
    <w:p w:rsidR="007B6B33" w:rsidP="007B6B33">
      <w:pPr>
        <w:pStyle w:val="ParaNum"/>
        <w:numPr>
          <w:ilvl w:val="0"/>
          <w:numId w:val="7"/>
        </w:numPr>
        <w:tabs>
          <w:tab w:val="left" w:pos="1440"/>
        </w:tabs>
        <w:ind w:left="0" w:firstLine="720"/>
        <w:rPr>
          <w:sz w:val="22"/>
          <w:szCs w:val="22"/>
        </w:rPr>
      </w:pPr>
      <w:bookmarkEnd w:id="5"/>
      <w:r w:rsidRPr="004A52BD">
        <w:rPr>
          <w:snapToGrid w:val="0"/>
          <w:kern w:val="28"/>
          <w:sz w:val="22"/>
          <w:szCs w:val="20"/>
        </w:rPr>
        <w:t>MCLM filed an application to assign its licenses to Choctaw</w:t>
      </w:r>
      <w:r>
        <w:rPr>
          <w:snapToGrid w:val="0"/>
          <w:kern w:val="28"/>
          <w:sz w:val="22"/>
          <w:szCs w:val="20"/>
        </w:rPr>
        <w:t xml:space="preserve"> (Choctaw Application) in 2013,</w:t>
      </w:r>
      <w:r>
        <w:rPr>
          <w:snapToGrid w:val="0"/>
          <w:kern w:val="28"/>
          <w:sz w:val="20"/>
          <w:szCs w:val="20"/>
          <w:vertAlign w:val="superscript"/>
        </w:rPr>
        <w:footnoteReference w:id="17"/>
      </w:r>
      <w:r>
        <w:rPr>
          <w:snapToGrid w:val="0"/>
          <w:kern w:val="28"/>
          <w:sz w:val="22"/>
          <w:szCs w:val="20"/>
        </w:rPr>
        <w:t xml:space="preserve"> after</w:t>
      </w:r>
      <w:r>
        <w:rPr>
          <w:sz w:val="22"/>
          <w:szCs w:val="22"/>
        </w:rPr>
        <w:t xml:space="preserve"> t</w:t>
      </w:r>
      <w:r w:rsidRPr="004A52BD" w:rsidR="00C51900">
        <w:rPr>
          <w:sz w:val="22"/>
          <w:szCs w:val="22"/>
        </w:rPr>
        <w:t xml:space="preserve">he </w:t>
      </w:r>
      <w:r w:rsidRPr="004A52BD" w:rsidR="00C51900">
        <w:rPr>
          <w:snapToGrid w:val="0"/>
          <w:kern w:val="28"/>
          <w:sz w:val="22"/>
          <w:szCs w:val="20"/>
        </w:rPr>
        <w:t xml:space="preserve">Bankruptcy Court confirmed </w:t>
      </w:r>
      <w:r>
        <w:rPr>
          <w:snapToGrid w:val="0"/>
          <w:kern w:val="28"/>
          <w:sz w:val="22"/>
          <w:szCs w:val="20"/>
        </w:rPr>
        <w:t>a</w:t>
      </w:r>
      <w:r w:rsidRPr="004A52BD" w:rsidR="00C51900">
        <w:rPr>
          <w:snapToGrid w:val="0"/>
          <w:kern w:val="28"/>
          <w:sz w:val="22"/>
          <w:szCs w:val="20"/>
        </w:rPr>
        <w:t xml:space="preserve"> </w:t>
      </w:r>
      <w:r>
        <w:rPr>
          <w:snapToGrid w:val="0"/>
          <w:kern w:val="28"/>
          <w:sz w:val="22"/>
          <w:szCs w:val="20"/>
        </w:rPr>
        <w:t>reorganization p</w:t>
      </w:r>
      <w:r w:rsidR="007C632F">
        <w:rPr>
          <w:snapToGrid w:val="0"/>
          <w:kern w:val="28"/>
          <w:sz w:val="22"/>
          <w:szCs w:val="20"/>
        </w:rPr>
        <w:t>lan</w:t>
      </w:r>
      <w:r>
        <w:rPr>
          <w:snapToGrid w:val="0"/>
          <w:kern w:val="28"/>
          <w:sz w:val="22"/>
          <w:szCs w:val="20"/>
        </w:rPr>
        <w:t xml:space="preserve"> that</w:t>
      </w:r>
      <w:r w:rsidRPr="004A52BD" w:rsidR="00C51900">
        <w:rPr>
          <w:snapToGrid w:val="0"/>
          <w:kern w:val="28"/>
          <w:sz w:val="22"/>
          <w:szCs w:val="20"/>
        </w:rPr>
        <w:t xml:space="preserve"> called for MCLM to assign its licenses to </w:t>
      </w:r>
      <w:r w:rsidRPr="004A52BD" w:rsidR="00113F37">
        <w:rPr>
          <w:snapToGrid w:val="0"/>
          <w:kern w:val="28"/>
          <w:sz w:val="22"/>
          <w:szCs w:val="20"/>
        </w:rPr>
        <w:t>Choctaw</w:t>
      </w:r>
      <w:r w:rsidRPr="004A52BD" w:rsidR="00C51900">
        <w:rPr>
          <w:snapToGrid w:val="0"/>
          <w:kern w:val="28"/>
          <w:sz w:val="22"/>
          <w:szCs w:val="20"/>
        </w:rPr>
        <w:t>, which would prosecute the pending assignment applications and seek assignees for the remainder of MCLM’</w:t>
      </w:r>
      <w:r w:rsidRPr="004A52BD" w:rsidR="00113F37">
        <w:rPr>
          <w:snapToGrid w:val="0"/>
          <w:kern w:val="28"/>
          <w:sz w:val="22"/>
          <w:szCs w:val="20"/>
        </w:rPr>
        <w:t>s spectrum</w:t>
      </w:r>
      <w:r>
        <w:rPr>
          <w:snapToGrid w:val="0"/>
          <w:kern w:val="28"/>
          <w:sz w:val="22"/>
          <w:szCs w:val="20"/>
        </w:rPr>
        <w:t xml:space="preserve">, </w:t>
      </w:r>
      <w:r>
        <w:rPr>
          <w:snapToGrid w:val="0"/>
          <w:kern w:val="28"/>
          <w:sz w:val="22"/>
          <w:szCs w:val="20"/>
        </w:rPr>
        <w:t>and use</w:t>
      </w:r>
      <w:r>
        <w:rPr>
          <w:snapToGrid w:val="0"/>
          <w:kern w:val="28"/>
          <w:sz w:val="22"/>
          <w:szCs w:val="20"/>
        </w:rPr>
        <w:t xml:space="preserve"> the proceeds to repay MCLM’s creditors</w:t>
      </w:r>
      <w:r w:rsidRPr="004A52BD" w:rsidR="00C51900">
        <w:rPr>
          <w:snapToGrid w:val="0"/>
          <w:kern w:val="28"/>
          <w:sz w:val="22"/>
          <w:szCs w:val="20"/>
        </w:rPr>
        <w:t>.</w:t>
      </w:r>
      <w:r w:rsidRPr="004A52BD" w:rsidR="004D4A94">
        <w:rPr>
          <w:sz w:val="22"/>
          <w:szCs w:val="22"/>
        </w:rPr>
        <w:t xml:space="preserve"> </w:t>
      </w:r>
    </w:p>
    <w:p w:rsidR="00CF0C48" w:rsidP="007B6B33">
      <w:pPr>
        <w:pStyle w:val="ParaNum"/>
        <w:numPr>
          <w:ilvl w:val="0"/>
          <w:numId w:val="7"/>
        </w:numPr>
        <w:tabs>
          <w:tab w:val="left" w:pos="1440"/>
        </w:tabs>
        <w:ind w:left="0" w:firstLine="720"/>
        <w:rPr>
          <w:sz w:val="22"/>
          <w:szCs w:val="22"/>
        </w:rPr>
      </w:pPr>
      <w:r>
        <w:rPr>
          <w:sz w:val="22"/>
          <w:szCs w:val="22"/>
        </w:rPr>
        <w:t xml:space="preserve">In 2014, the Commission declined to terminate the hearing or grant </w:t>
      </w:r>
      <w:r>
        <w:rPr>
          <w:i/>
          <w:sz w:val="22"/>
          <w:szCs w:val="22"/>
        </w:rPr>
        <w:t xml:space="preserve">Second Thursday </w:t>
      </w:r>
      <w:r>
        <w:rPr>
          <w:sz w:val="22"/>
          <w:szCs w:val="22"/>
        </w:rPr>
        <w:t>relief.</w:t>
      </w:r>
      <w:r>
        <w:rPr>
          <w:rStyle w:val="FootnoteReference"/>
          <w:szCs w:val="22"/>
        </w:rPr>
        <w:footnoteReference w:id="18"/>
      </w:r>
      <w:r>
        <w:rPr>
          <w:sz w:val="22"/>
          <w:szCs w:val="22"/>
        </w:rPr>
        <w:t xml:space="preserve">  MCLM and Choctaw sought reconsideration.</w:t>
      </w:r>
    </w:p>
    <w:p w:rsidR="007B6B33" w:rsidRPr="007B6B33" w:rsidP="007B6B33">
      <w:pPr>
        <w:pStyle w:val="ParaNum"/>
        <w:numPr>
          <w:ilvl w:val="0"/>
          <w:numId w:val="7"/>
        </w:numPr>
        <w:tabs>
          <w:tab w:val="left" w:pos="1440"/>
        </w:tabs>
        <w:ind w:left="0" w:firstLine="720"/>
        <w:rPr>
          <w:sz w:val="22"/>
          <w:szCs w:val="22"/>
        </w:rPr>
      </w:pPr>
      <w:r w:rsidRPr="007B6B33">
        <w:rPr>
          <w:sz w:val="22"/>
          <w:szCs w:val="22"/>
        </w:rPr>
        <w:t xml:space="preserve">In </w:t>
      </w:r>
      <w:r w:rsidR="007C632F">
        <w:rPr>
          <w:sz w:val="22"/>
          <w:szCs w:val="22"/>
        </w:rPr>
        <w:t xml:space="preserve">October </w:t>
      </w:r>
      <w:r w:rsidRPr="007B6B33">
        <w:rPr>
          <w:sz w:val="22"/>
          <w:szCs w:val="22"/>
        </w:rPr>
        <w:t>201</w:t>
      </w:r>
      <w:r w:rsidR="00CF0C48">
        <w:rPr>
          <w:sz w:val="22"/>
          <w:szCs w:val="22"/>
        </w:rPr>
        <w:t>5</w:t>
      </w:r>
      <w:r w:rsidRPr="007B6B33">
        <w:rPr>
          <w:sz w:val="22"/>
          <w:szCs w:val="22"/>
        </w:rPr>
        <w:t xml:space="preserve">, MCLM filed </w:t>
      </w:r>
      <w:r>
        <w:rPr>
          <w:sz w:val="22"/>
          <w:szCs w:val="22"/>
        </w:rPr>
        <w:t>the last of the</w:t>
      </w:r>
      <w:r w:rsidRPr="007B6B33">
        <w:rPr>
          <w:sz w:val="22"/>
          <w:szCs w:val="22"/>
        </w:rPr>
        <w:t xml:space="preserve"> above-captioned application</w:t>
      </w:r>
      <w:r w:rsidR="00CF0C48">
        <w:rPr>
          <w:sz w:val="22"/>
          <w:szCs w:val="22"/>
        </w:rPr>
        <w:t>s</w:t>
      </w:r>
      <w:r w:rsidRPr="007B6B33">
        <w:rPr>
          <w:sz w:val="22"/>
          <w:szCs w:val="22"/>
        </w:rPr>
        <w:t xml:space="preserve"> to assign AMTS geographic spectrum to a CII Company.</w:t>
      </w:r>
      <w:r>
        <w:rPr>
          <w:rStyle w:val="FootnoteReference"/>
          <w:szCs w:val="22"/>
        </w:rPr>
        <w:footnoteReference w:id="19"/>
      </w:r>
      <w:r w:rsidRPr="007B6B33">
        <w:rPr>
          <w:sz w:val="22"/>
          <w:szCs w:val="22"/>
        </w:rPr>
        <w:t xml:space="preserve">  </w:t>
      </w:r>
      <w:r w:rsidRPr="007B6B33">
        <w:rPr>
          <w:sz w:val="22"/>
        </w:rPr>
        <w:t>Havens, individually and on behalf of companies he controlled that held AMTS geographic licenses, filed a petition to deny the application.</w:t>
      </w:r>
    </w:p>
    <w:p w:rsidR="00E4042F" w:rsidP="00C51900">
      <w:pPr>
        <w:pStyle w:val="ParaNum"/>
        <w:numPr>
          <w:ilvl w:val="0"/>
          <w:numId w:val="7"/>
        </w:numPr>
        <w:tabs>
          <w:tab w:val="left" w:pos="1440"/>
        </w:tabs>
        <w:ind w:left="0" w:firstLine="720"/>
        <w:rPr>
          <w:sz w:val="22"/>
          <w:szCs w:val="22"/>
        </w:rPr>
      </w:pPr>
      <w:r>
        <w:rPr>
          <w:sz w:val="22"/>
          <w:szCs w:val="22"/>
        </w:rPr>
        <w:t xml:space="preserve">Later </w:t>
      </w:r>
      <w:r w:rsidR="007C632F">
        <w:rPr>
          <w:sz w:val="22"/>
          <w:szCs w:val="22"/>
        </w:rPr>
        <w:t>that year</w:t>
      </w:r>
      <w:r>
        <w:rPr>
          <w:sz w:val="22"/>
          <w:szCs w:val="22"/>
        </w:rPr>
        <w:t xml:space="preserve">, </w:t>
      </w:r>
      <w:r w:rsidRPr="00341219" w:rsidR="006B5D92">
        <w:rPr>
          <w:sz w:val="22"/>
          <w:szCs w:val="22"/>
        </w:rPr>
        <w:t xml:space="preserve">Susan L. Uecker </w:t>
      </w:r>
      <w:r w:rsidR="006B5D92">
        <w:rPr>
          <w:sz w:val="22"/>
          <w:szCs w:val="22"/>
        </w:rPr>
        <w:t>was appointed as Receiver</w:t>
      </w:r>
      <w:r w:rsidRPr="00341219" w:rsidR="006B5D92">
        <w:rPr>
          <w:sz w:val="22"/>
          <w:szCs w:val="22"/>
        </w:rPr>
        <w:t xml:space="preserve"> to take control of </w:t>
      </w:r>
      <w:r w:rsidR="006B5D92">
        <w:rPr>
          <w:sz w:val="22"/>
          <w:szCs w:val="22"/>
        </w:rPr>
        <w:t>the</w:t>
      </w:r>
      <w:r w:rsidRPr="00341219" w:rsidR="006B5D92">
        <w:rPr>
          <w:sz w:val="22"/>
          <w:szCs w:val="22"/>
        </w:rPr>
        <w:t xml:space="preserve"> </w:t>
      </w:r>
      <w:r w:rsidR="006B5D92">
        <w:rPr>
          <w:sz w:val="22"/>
          <w:szCs w:val="22"/>
        </w:rPr>
        <w:t>Havens-controlled entities.</w:t>
      </w:r>
      <w:r>
        <w:rPr>
          <w:rStyle w:val="FootnoteReference"/>
          <w:sz w:val="22"/>
          <w:szCs w:val="22"/>
        </w:rPr>
        <w:footnoteReference w:id="20"/>
      </w:r>
      <w:r w:rsidR="006B5D92">
        <w:rPr>
          <w:sz w:val="22"/>
          <w:szCs w:val="22"/>
        </w:rPr>
        <w:t xml:space="preserve">  In early 2016, t</w:t>
      </w:r>
      <w:r w:rsidRPr="0063011C" w:rsidR="006B5D92">
        <w:rPr>
          <w:sz w:val="22"/>
          <w:szCs w:val="22"/>
        </w:rPr>
        <w:t xml:space="preserve">he Commission accepted </w:t>
      </w:r>
      <w:r w:rsidR="00025211">
        <w:rPr>
          <w:sz w:val="22"/>
          <w:szCs w:val="22"/>
        </w:rPr>
        <w:t xml:space="preserve">an </w:t>
      </w:r>
      <w:r w:rsidRPr="0063011C" w:rsidR="006B5D92">
        <w:rPr>
          <w:sz w:val="22"/>
          <w:szCs w:val="22"/>
        </w:rPr>
        <w:t xml:space="preserve">application filed by the Receiver for the </w:t>
      </w:r>
      <w:r w:rsidRPr="0063011C" w:rsidR="006B5D92">
        <w:rPr>
          <w:bCs/>
          <w:sz w:val="22"/>
          <w:szCs w:val="22"/>
        </w:rPr>
        <w:t>involuntary</w:t>
      </w:r>
      <w:r w:rsidRPr="0063011C" w:rsidR="006B5D92">
        <w:rPr>
          <w:sz w:val="22"/>
          <w:szCs w:val="22"/>
        </w:rPr>
        <w:t xml:space="preserve"> transfer of control of </w:t>
      </w:r>
      <w:r w:rsidR="006B5D92">
        <w:rPr>
          <w:sz w:val="22"/>
          <w:szCs w:val="22"/>
        </w:rPr>
        <w:t>their licenses</w:t>
      </w:r>
      <w:r w:rsidRPr="0063011C" w:rsidR="006B5D92">
        <w:rPr>
          <w:sz w:val="22"/>
          <w:szCs w:val="22"/>
        </w:rPr>
        <w:t xml:space="preserve"> to her.</w:t>
      </w:r>
      <w:r>
        <w:rPr>
          <w:rStyle w:val="FootnoteReference"/>
          <w:szCs w:val="22"/>
        </w:rPr>
        <w:footnoteReference w:id="21"/>
      </w:r>
      <w:r w:rsidRPr="0063011C" w:rsidR="006B5D92">
        <w:rPr>
          <w:sz w:val="22"/>
          <w:szCs w:val="22"/>
        </w:rPr>
        <w:t xml:space="preserve"> </w:t>
      </w:r>
      <w:r w:rsidR="006B5D92">
        <w:rPr>
          <w:sz w:val="22"/>
          <w:szCs w:val="22"/>
        </w:rPr>
        <w:t xml:space="preserve"> </w:t>
      </w:r>
    </w:p>
    <w:p w:rsidR="00612D14" w:rsidP="00C51900">
      <w:pPr>
        <w:pStyle w:val="ParaNum"/>
        <w:numPr>
          <w:ilvl w:val="0"/>
          <w:numId w:val="7"/>
        </w:numPr>
        <w:tabs>
          <w:tab w:val="left" w:pos="1440"/>
        </w:tabs>
        <w:ind w:left="0" w:firstLine="720"/>
        <w:rPr>
          <w:sz w:val="22"/>
          <w:szCs w:val="22"/>
        </w:rPr>
      </w:pPr>
      <w:r>
        <w:rPr>
          <w:sz w:val="22"/>
          <w:szCs w:val="22"/>
        </w:rPr>
        <w:t xml:space="preserve">In late </w:t>
      </w:r>
      <w:r w:rsidR="00BF3508">
        <w:rPr>
          <w:sz w:val="22"/>
          <w:szCs w:val="22"/>
        </w:rPr>
        <w:t>2016</w:t>
      </w:r>
      <w:r w:rsidR="00132AE7">
        <w:rPr>
          <w:sz w:val="22"/>
          <w:szCs w:val="22"/>
        </w:rPr>
        <w:t xml:space="preserve">, the </w:t>
      </w:r>
      <w:r w:rsidR="002C38A9">
        <w:rPr>
          <w:sz w:val="22"/>
          <w:szCs w:val="22"/>
        </w:rPr>
        <w:t>Commission</w:t>
      </w:r>
      <w:r w:rsidR="00132AE7">
        <w:rPr>
          <w:sz w:val="22"/>
          <w:szCs w:val="22"/>
        </w:rPr>
        <w:t xml:space="preserve"> </w:t>
      </w:r>
      <w:r w:rsidR="00BF3508">
        <w:rPr>
          <w:sz w:val="22"/>
          <w:szCs w:val="22"/>
        </w:rPr>
        <w:t xml:space="preserve">reconsidered its 2014 decision, </w:t>
      </w:r>
      <w:r w:rsidRPr="00C51900" w:rsidR="00BF3508">
        <w:rPr>
          <w:sz w:val="22"/>
          <w:szCs w:val="22"/>
        </w:rPr>
        <w:t xml:space="preserve">granted </w:t>
      </w:r>
      <w:r w:rsidRPr="00194DF4" w:rsidR="00BF3508">
        <w:rPr>
          <w:i/>
          <w:sz w:val="22"/>
          <w:szCs w:val="22"/>
        </w:rPr>
        <w:t>Second Thursday</w:t>
      </w:r>
      <w:r w:rsidRPr="00C51900" w:rsidR="00BF3508">
        <w:rPr>
          <w:sz w:val="22"/>
          <w:szCs w:val="22"/>
        </w:rPr>
        <w:t xml:space="preserve"> relief</w:t>
      </w:r>
      <w:r w:rsidR="00BF3508">
        <w:rPr>
          <w:sz w:val="22"/>
          <w:szCs w:val="22"/>
        </w:rPr>
        <w:t xml:space="preserve">, and </w:t>
      </w:r>
      <w:r w:rsidRPr="00C51900" w:rsidR="00D15DB5">
        <w:rPr>
          <w:sz w:val="22"/>
          <w:szCs w:val="22"/>
        </w:rPr>
        <w:t>terminated the hearing into MCLM’s character qualifications</w:t>
      </w:r>
      <w:r w:rsidR="00BF3508">
        <w:rPr>
          <w:sz w:val="22"/>
          <w:szCs w:val="22"/>
        </w:rPr>
        <w:t>,</w:t>
      </w:r>
      <w:r w:rsidRPr="00C51900" w:rsidR="00D15DB5">
        <w:rPr>
          <w:sz w:val="22"/>
          <w:szCs w:val="22"/>
        </w:rPr>
        <w:t xml:space="preserve"> permitting the assignment of its licenses</w:t>
      </w:r>
      <w:r w:rsidR="00BF3508">
        <w:rPr>
          <w:sz w:val="22"/>
          <w:szCs w:val="22"/>
        </w:rPr>
        <w:t xml:space="preserve"> </w:t>
      </w:r>
      <w:r w:rsidRPr="00C51900" w:rsidR="00D15DB5">
        <w:rPr>
          <w:sz w:val="22"/>
          <w:szCs w:val="22"/>
        </w:rPr>
        <w:t>to Choctaw</w:t>
      </w:r>
      <w:r w:rsidRPr="00C51900" w:rsidR="00B73FC0">
        <w:rPr>
          <w:sz w:val="22"/>
          <w:szCs w:val="22"/>
        </w:rPr>
        <w:t>.</w:t>
      </w:r>
      <w:r>
        <w:rPr>
          <w:rStyle w:val="FootnoteReference"/>
          <w:szCs w:val="22"/>
        </w:rPr>
        <w:footnoteReference w:id="22"/>
      </w:r>
      <w:r w:rsidRPr="00C51900" w:rsidR="00B73FC0">
        <w:rPr>
          <w:sz w:val="22"/>
          <w:szCs w:val="22"/>
        </w:rPr>
        <w:t xml:space="preserve">  </w:t>
      </w:r>
      <w:r w:rsidR="00BF3508">
        <w:rPr>
          <w:sz w:val="22"/>
          <w:szCs w:val="22"/>
        </w:rPr>
        <w:t xml:space="preserve">With respect to the applications to assign spectrum to CII Companies, the Commission stated, </w:t>
      </w:r>
    </w:p>
    <w:p w:rsidR="00612D14" w:rsidRPr="00612D14" w:rsidP="00612D14">
      <w:pPr>
        <w:pStyle w:val="ParaNum"/>
        <w:tabs>
          <w:tab w:val="left" w:pos="1440"/>
        </w:tabs>
        <w:ind w:left="720" w:right="720"/>
        <w:rPr>
          <w:sz w:val="22"/>
          <w:szCs w:val="22"/>
        </w:rPr>
      </w:pPr>
      <w:r>
        <w:rPr>
          <w:sz w:val="22"/>
          <w:szCs w:val="22"/>
        </w:rPr>
        <w:t>We anticipate that WTB [</w:t>
      </w:r>
      <w:r w:rsidRPr="00377090" w:rsidR="00377090">
        <w:rPr>
          <w:snapToGrid w:val="0"/>
          <w:kern w:val="28"/>
          <w:sz w:val="22"/>
          <w:szCs w:val="20"/>
        </w:rPr>
        <w:t>the Wireless Telecommunications Bureau</w:t>
      </w:r>
      <w:r>
        <w:rPr>
          <w:snapToGrid w:val="0"/>
          <w:kern w:val="28"/>
          <w:sz w:val="22"/>
          <w:szCs w:val="20"/>
        </w:rPr>
        <w:t>]</w:t>
      </w:r>
      <w:r w:rsidRPr="00377090" w:rsidR="00377090">
        <w:rPr>
          <w:snapToGrid w:val="0"/>
          <w:kern w:val="28"/>
          <w:sz w:val="22"/>
          <w:szCs w:val="20"/>
        </w:rPr>
        <w:t xml:space="preserve"> </w:t>
      </w:r>
      <w:r>
        <w:rPr>
          <w:snapToGrid w:val="0"/>
          <w:kern w:val="28"/>
          <w:sz w:val="22"/>
          <w:szCs w:val="20"/>
        </w:rPr>
        <w:t>. . . will grant the Choctaw Application prior to processing any of the applications assigning spectrum to the CII Companies, then, after Choctaw files and WTB processes the notification of consummation of the assignment to Choctaw, that the applications assigning spectrum to the CII Companies will be amended to substitute Choctaw for MCLM as the assignor.  That procedure would be consistent with our decision here and our expectation regarding the processing of all of the subject applications, but we note that WTB retains discretion to address such timing and logistical issues under its existing delegated authority.</w:t>
      </w:r>
      <w:r>
        <w:rPr>
          <w:rStyle w:val="FootnoteReference"/>
          <w:snapToGrid w:val="0"/>
          <w:kern w:val="28"/>
          <w:szCs w:val="20"/>
        </w:rPr>
        <w:footnoteReference w:id="23"/>
      </w:r>
    </w:p>
    <w:p w:rsidR="00A54766" w:rsidRPr="00A54766" w:rsidP="00C51900">
      <w:pPr>
        <w:pStyle w:val="ParaNum"/>
        <w:numPr>
          <w:ilvl w:val="0"/>
          <w:numId w:val="7"/>
        </w:numPr>
        <w:tabs>
          <w:tab w:val="left" w:pos="1440"/>
        </w:tabs>
        <w:ind w:left="0" w:firstLine="720"/>
        <w:rPr>
          <w:sz w:val="22"/>
          <w:szCs w:val="22"/>
        </w:rPr>
      </w:pPr>
      <w:r>
        <w:rPr>
          <w:sz w:val="22"/>
          <w:szCs w:val="22"/>
        </w:rPr>
        <w:t xml:space="preserve">In </w:t>
      </w:r>
      <w:r w:rsidR="00940A26">
        <w:rPr>
          <w:sz w:val="22"/>
          <w:szCs w:val="22"/>
        </w:rPr>
        <w:t>January 2017</w:t>
      </w:r>
      <w:r w:rsidR="002E4C44">
        <w:rPr>
          <w:sz w:val="22"/>
          <w:szCs w:val="22"/>
        </w:rPr>
        <w:t xml:space="preserve">, </w:t>
      </w:r>
      <w:r>
        <w:rPr>
          <w:sz w:val="22"/>
          <w:szCs w:val="22"/>
        </w:rPr>
        <w:t xml:space="preserve">WTB’s Mobility Division </w:t>
      </w:r>
      <w:r w:rsidR="002617F8">
        <w:rPr>
          <w:sz w:val="22"/>
          <w:szCs w:val="22"/>
        </w:rPr>
        <w:t xml:space="preserve">(Division) </w:t>
      </w:r>
      <w:r w:rsidR="002E4C44">
        <w:rPr>
          <w:sz w:val="22"/>
          <w:szCs w:val="22"/>
        </w:rPr>
        <w:t>denied the Havens petitions to deny the above-captioned applications filed between 2009 and 2012 to assign AMTS geographic spectrum to CII Companies</w:t>
      </w:r>
      <w:r w:rsidR="00365495">
        <w:rPr>
          <w:sz w:val="22"/>
          <w:szCs w:val="22"/>
        </w:rPr>
        <w:t>, and one of the above-captioned applications filed in 2010 to assign a site-based AMTS license</w:t>
      </w:r>
      <w:r w:rsidR="002E4C44">
        <w:rPr>
          <w:sz w:val="22"/>
          <w:szCs w:val="22"/>
        </w:rPr>
        <w:t>.</w:t>
      </w:r>
      <w:r>
        <w:rPr>
          <w:rStyle w:val="FootnoteReference"/>
          <w:szCs w:val="22"/>
        </w:rPr>
        <w:footnoteReference w:id="24"/>
      </w:r>
      <w:r w:rsidR="002E4C44">
        <w:rPr>
          <w:sz w:val="22"/>
          <w:szCs w:val="22"/>
        </w:rPr>
        <w:t xml:space="preserve">  </w:t>
      </w:r>
      <w:r w:rsidR="002617F8">
        <w:rPr>
          <w:sz w:val="22"/>
          <w:szCs w:val="22"/>
        </w:rPr>
        <w:t xml:space="preserve">The Division concluded that the Commission’s grant of </w:t>
      </w:r>
      <w:r w:rsidR="002617F8">
        <w:rPr>
          <w:i/>
          <w:sz w:val="22"/>
          <w:szCs w:val="22"/>
        </w:rPr>
        <w:t xml:space="preserve">Second Thursday </w:t>
      </w:r>
      <w:r w:rsidR="002617F8">
        <w:rPr>
          <w:sz w:val="22"/>
          <w:szCs w:val="22"/>
        </w:rPr>
        <w:t xml:space="preserve">relief and </w:t>
      </w:r>
      <w:r w:rsidRPr="00C51900" w:rsidR="002617F8">
        <w:rPr>
          <w:sz w:val="22"/>
          <w:szCs w:val="22"/>
        </w:rPr>
        <w:t>terminat</w:t>
      </w:r>
      <w:r w:rsidR="002617F8">
        <w:rPr>
          <w:sz w:val="22"/>
          <w:szCs w:val="22"/>
        </w:rPr>
        <w:t>ion of</w:t>
      </w:r>
      <w:r w:rsidRPr="00C51900" w:rsidR="002617F8">
        <w:rPr>
          <w:sz w:val="22"/>
          <w:szCs w:val="22"/>
        </w:rPr>
        <w:t xml:space="preserve"> the hearing into MCLM’s character qualifications</w:t>
      </w:r>
      <w:r w:rsidR="002617F8">
        <w:rPr>
          <w:sz w:val="22"/>
          <w:szCs w:val="22"/>
        </w:rPr>
        <w:t xml:space="preserve"> precluded dismissal or denial of the applications on the basis of the misconduct alleged in the petitions, and that the petitions’ other arguments lacked merit.</w:t>
      </w:r>
      <w:r>
        <w:rPr>
          <w:rStyle w:val="FootnoteReference"/>
          <w:szCs w:val="22"/>
        </w:rPr>
        <w:footnoteReference w:id="25"/>
      </w:r>
      <w:r w:rsidR="002617F8">
        <w:rPr>
          <w:sz w:val="22"/>
          <w:szCs w:val="22"/>
        </w:rPr>
        <w:t xml:space="preserve">  </w:t>
      </w:r>
      <w:r w:rsidR="002E4C44">
        <w:rPr>
          <w:sz w:val="22"/>
          <w:szCs w:val="22"/>
        </w:rPr>
        <w:t>Th</w:t>
      </w:r>
      <w:r w:rsidR="002617F8">
        <w:rPr>
          <w:sz w:val="22"/>
          <w:szCs w:val="22"/>
        </w:rPr>
        <w:t>e Division</w:t>
      </w:r>
      <w:r w:rsidR="002E4C44">
        <w:rPr>
          <w:sz w:val="22"/>
          <w:szCs w:val="22"/>
        </w:rPr>
        <w:t xml:space="preserve"> </w:t>
      </w:r>
      <w:r w:rsidR="002617F8">
        <w:rPr>
          <w:sz w:val="22"/>
          <w:szCs w:val="22"/>
        </w:rPr>
        <w:t>failed</w:t>
      </w:r>
      <w:r w:rsidR="002E4C44">
        <w:rPr>
          <w:sz w:val="22"/>
          <w:szCs w:val="22"/>
        </w:rPr>
        <w:t xml:space="preserve">, however, </w:t>
      </w:r>
      <w:r w:rsidR="002617F8">
        <w:rPr>
          <w:sz w:val="22"/>
          <w:szCs w:val="22"/>
        </w:rPr>
        <w:t xml:space="preserve">to </w:t>
      </w:r>
      <w:r w:rsidR="002E4C44">
        <w:rPr>
          <w:sz w:val="22"/>
          <w:szCs w:val="22"/>
        </w:rPr>
        <w:t xml:space="preserve">address the Havens petitions to deny </w:t>
      </w:r>
      <w:r w:rsidR="00025211">
        <w:rPr>
          <w:sz w:val="22"/>
          <w:szCs w:val="22"/>
        </w:rPr>
        <w:t>an</w:t>
      </w:r>
      <w:r w:rsidR="002E4C44">
        <w:rPr>
          <w:sz w:val="22"/>
          <w:szCs w:val="22"/>
        </w:rPr>
        <w:t xml:space="preserve"> above-captioned application filed in 2010</w:t>
      </w:r>
      <w:r>
        <w:rPr>
          <w:rStyle w:val="FootnoteReference"/>
          <w:szCs w:val="22"/>
        </w:rPr>
        <w:footnoteReference w:id="26"/>
      </w:r>
      <w:r w:rsidR="002E4C44">
        <w:rPr>
          <w:sz w:val="22"/>
          <w:szCs w:val="22"/>
        </w:rPr>
        <w:t xml:space="preserve"> and the above-captioned application filed in 2015.</w:t>
      </w:r>
      <w:r>
        <w:rPr>
          <w:rStyle w:val="FootnoteReference"/>
          <w:szCs w:val="22"/>
        </w:rPr>
        <w:footnoteReference w:id="27"/>
      </w:r>
    </w:p>
    <w:p w:rsidR="00377090" w:rsidP="00C51900">
      <w:pPr>
        <w:pStyle w:val="ParaNum"/>
        <w:numPr>
          <w:ilvl w:val="0"/>
          <w:numId w:val="7"/>
        </w:numPr>
        <w:tabs>
          <w:tab w:val="left" w:pos="1440"/>
        </w:tabs>
        <w:ind w:left="0" w:firstLine="720"/>
        <w:rPr>
          <w:sz w:val="22"/>
          <w:szCs w:val="22"/>
        </w:rPr>
      </w:pPr>
      <w:r>
        <w:rPr>
          <w:snapToGrid w:val="0"/>
          <w:kern w:val="28"/>
          <w:sz w:val="22"/>
          <w:szCs w:val="20"/>
        </w:rPr>
        <w:t>WTB</w:t>
      </w:r>
      <w:r w:rsidRPr="00377090">
        <w:rPr>
          <w:snapToGrid w:val="0"/>
          <w:kern w:val="28"/>
          <w:sz w:val="22"/>
          <w:szCs w:val="20"/>
        </w:rPr>
        <w:t xml:space="preserve"> </w:t>
      </w:r>
      <w:r w:rsidR="002D4E18">
        <w:rPr>
          <w:snapToGrid w:val="0"/>
          <w:kern w:val="28"/>
          <w:sz w:val="22"/>
          <w:szCs w:val="20"/>
        </w:rPr>
        <w:t>approved</w:t>
      </w:r>
      <w:r w:rsidR="004F022B">
        <w:rPr>
          <w:snapToGrid w:val="0"/>
          <w:kern w:val="28"/>
          <w:sz w:val="22"/>
          <w:szCs w:val="20"/>
        </w:rPr>
        <w:t xml:space="preserve"> </w:t>
      </w:r>
      <w:r w:rsidR="00250AEB">
        <w:rPr>
          <w:snapToGrid w:val="0"/>
          <w:kern w:val="28"/>
          <w:sz w:val="22"/>
          <w:szCs w:val="20"/>
        </w:rPr>
        <w:t>the Choctaw Application</w:t>
      </w:r>
      <w:r>
        <w:rPr>
          <w:snapToGrid w:val="0"/>
          <w:kern w:val="28"/>
          <w:sz w:val="22"/>
          <w:szCs w:val="20"/>
        </w:rPr>
        <w:t>,</w:t>
      </w:r>
      <w:r w:rsidR="002D4E18">
        <w:rPr>
          <w:snapToGrid w:val="0"/>
          <w:kern w:val="28"/>
          <w:sz w:val="22"/>
          <w:szCs w:val="20"/>
        </w:rPr>
        <w:t xml:space="preserve"> </w:t>
      </w:r>
      <w:r w:rsidR="004D4D33">
        <w:rPr>
          <w:snapToGrid w:val="0"/>
          <w:kern w:val="28"/>
          <w:sz w:val="22"/>
          <w:szCs w:val="20"/>
        </w:rPr>
        <w:t xml:space="preserve">and accepted </w:t>
      </w:r>
      <w:r w:rsidR="00654B5E">
        <w:rPr>
          <w:snapToGrid w:val="0"/>
          <w:kern w:val="28"/>
          <w:sz w:val="22"/>
          <w:szCs w:val="20"/>
        </w:rPr>
        <w:t>Choctaw</w:t>
      </w:r>
      <w:r w:rsidR="004D4D33">
        <w:rPr>
          <w:snapToGrid w:val="0"/>
          <w:kern w:val="28"/>
          <w:sz w:val="22"/>
          <w:szCs w:val="20"/>
        </w:rPr>
        <w:t>’s</w:t>
      </w:r>
      <w:r w:rsidR="00654B5E">
        <w:rPr>
          <w:snapToGrid w:val="0"/>
          <w:kern w:val="28"/>
          <w:sz w:val="22"/>
          <w:szCs w:val="20"/>
        </w:rPr>
        <w:t xml:space="preserve"> consummation </w:t>
      </w:r>
      <w:r w:rsidR="00231D27">
        <w:rPr>
          <w:snapToGrid w:val="0"/>
          <w:kern w:val="28"/>
          <w:sz w:val="22"/>
          <w:szCs w:val="20"/>
        </w:rPr>
        <w:t>notification</w:t>
      </w:r>
      <w:r w:rsidR="004D4D33">
        <w:rPr>
          <w:snapToGrid w:val="0"/>
          <w:kern w:val="28"/>
          <w:sz w:val="22"/>
          <w:szCs w:val="20"/>
        </w:rPr>
        <w:t xml:space="preserve"> in July</w:t>
      </w:r>
      <w:r w:rsidR="00231D27">
        <w:rPr>
          <w:snapToGrid w:val="0"/>
          <w:kern w:val="28"/>
          <w:sz w:val="22"/>
          <w:szCs w:val="20"/>
        </w:rPr>
        <w:t xml:space="preserve"> 2017</w:t>
      </w:r>
      <w:r>
        <w:rPr>
          <w:snapToGrid w:val="0"/>
          <w:kern w:val="28"/>
          <w:sz w:val="22"/>
          <w:szCs w:val="20"/>
        </w:rPr>
        <w:t>.</w:t>
      </w:r>
      <w:r>
        <w:rPr>
          <w:rStyle w:val="FootnoteReference"/>
          <w:snapToGrid w:val="0"/>
          <w:kern w:val="28"/>
          <w:szCs w:val="20"/>
        </w:rPr>
        <w:footnoteReference w:id="28"/>
      </w:r>
      <w:r>
        <w:rPr>
          <w:snapToGrid w:val="0"/>
          <w:kern w:val="28"/>
          <w:sz w:val="22"/>
          <w:szCs w:val="20"/>
        </w:rPr>
        <w:t xml:space="preserve"> </w:t>
      </w:r>
      <w:r w:rsidR="00654B5E">
        <w:rPr>
          <w:snapToGrid w:val="0"/>
          <w:kern w:val="28"/>
          <w:sz w:val="22"/>
          <w:szCs w:val="20"/>
        </w:rPr>
        <w:t xml:space="preserve"> </w:t>
      </w:r>
      <w:r w:rsidR="00365495">
        <w:rPr>
          <w:snapToGrid w:val="0"/>
          <w:kern w:val="28"/>
          <w:sz w:val="22"/>
          <w:szCs w:val="20"/>
        </w:rPr>
        <w:t>I</w:t>
      </w:r>
      <w:r>
        <w:rPr>
          <w:snapToGrid w:val="0"/>
          <w:kern w:val="28"/>
          <w:sz w:val="22"/>
          <w:szCs w:val="20"/>
        </w:rPr>
        <w:t xml:space="preserve">n August 2017, </w:t>
      </w:r>
      <w:r w:rsidRPr="00194DF4" w:rsidR="00BD5CC6">
        <w:rPr>
          <w:sz w:val="22"/>
          <w:szCs w:val="22"/>
        </w:rPr>
        <w:t>WTB</w:t>
      </w:r>
      <w:r>
        <w:rPr>
          <w:sz w:val="22"/>
          <w:szCs w:val="22"/>
        </w:rPr>
        <w:t xml:space="preserve"> </w:t>
      </w:r>
      <w:r w:rsidR="00570D60">
        <w:rPr>
          <w:snapToGrid w:val="0"/>
          <w:kern w:val="28"/>
          <w:sz w:val="22"/>
          <w:szCs w:val="20"/>
        </w:rPr>
        <w:t>p</w:t>
      </w:r>
      <w:r>
        <w:rPr>
          <w:snapToGrid w:val="0"/>
          <w:kern w:val="28"/>
          <w:sz w:val="22"/>
          <w:szCs w:val="20"/>
        </w:rPr>
        <w:t xml:space="preserve">rovided public notice that the above-captioned applications had been updated </w:t>
      </w:r>
      <w:r w:rsidR="00570D60">
        <w:rPr>
          <w:snapToGrid w:val="0"/>
          <w:kern w:val="28"/>
          <w:sz w:val="22"/>
          <w:szCs w:val="20"/>
        </w:rPr>
        <w:t xml:space="preserve">to </w:t>
      </w:r>
      <w:r>
        <w:rPr>
          <w:snapToGrid w:val="0"/>
          <w:kern w:val="28"/>
          <w:sz w:val="22"/>
          <w:szCs w:val="20"/>
        </w:rPr>
        <w:t xml:space="preserve">substitute </w:t>
      </w:r>
      <w:r w:rsidR="00B777AC">
        <w:rPr>
          <w:snapToGrid w:val="0"/>
          <w:kern w:val="28"/>
          <w:sz w:val="22"/>
          <w:szCs w:val="20"/>
        </w:rPr>
        <w:t>Choctaw</w:t>
      </w:r>
      <w:r>
        <w:rPr>
          <w:snapToGrid w:val="0"/>
          <w:kern w:val="28"/>
          <w:sz w:val="22"/>
          <w:szCs w:val="20"/>
        </w:rPr>
        <w:t xml:space="preserve"> for MCLM</w:t>
      </w:r>
      <w:r w:rsidR="00B777AC">
        <w:rPr>
          <w:snapToGrid w:val="0"/>
          <w:kern w:val="28"/>
          <w:sz w:val="22"/>
          <w:szCs w:val="20"/>
        </w:rPr>
        <w:t xml:space="preserve"> as </w:t>
      </w:r>
      <w:r w:rsidR="00570D60">
        <w:rPr>
          <w:snapToGrid w:val="0"/>
          <w:kern w:val="28"/>
          <w:sz w:val="22"/>
          <w:szCs w:val="20"/>
        </w:rPr>
        <w:t>the assignor</w:t>
      </w:r>
      <w:r w:rsidR="00D52A33">
        <w:rPr>
          <w:snapToGrid w:val="0"/>
          <w:kern w:val="28"/>
          <w:sz w:val="22"/>
          <w:szCs w:val="20"/>
        </w:rPr>
        <w:t>.</w:t>
      </w:r>
      <w:r>
        <w:rPr>
          <w:rStyle w:val="FootnoteReference"/>
          <w:snapToGrid w:val="0"/>
          <w:kern w:val="28"/>
          <w:szCs w:val="20"/>
        </w:rPr>
        <w:footnoteReference w:id="29"/>
      </w:r>
      <w:r w:rsidR="00940A26">
        <w:rPr>
          <w:snapToGrid w:val="0"/>
          <w:kern w:val="28"/>
          <w:sz w:val="22"/>
          <w:szCs w:val="20"/>
        </w:rPr>
        <w:t xml:space="preserve">  Havens</w:t>
      </w:r>
      <w:r w:rsidR="004D4D33">
        <w:rPr>
          <w:snapToGrid w:val="0"/>
          <w:kern w:val="28"/>
          <w:sz w:val="22"/>
          <w:szCs w:val="20"/>
        </w:rPr>
        <w:t>, individually and on behalf of</w:t>
      </w:r>
      <w:r w:rsidR="00940A26">
        <w:rPr>
          <w:snapToGrid w:val="0"/>
          <w:kern w:val="28"/>
          <w:sz w:val="22"/>
          <w:szCs w:val="20"/>
        </w:rPr>
        <w:t xml:space="preserve"> Polaris PNT PBC (Polaris)</w:t>
      </w:r>
      <w:r w:rsidR="001C0E86">
        <w:rPr>
          <w:snapToGrid w:val="0"/>
          <w:kern w:val="28"/>
          <w:sz w:val="22"/>
          <w:szCs w:val="20"/>
        </w:rPr>
        <w:t xml:space="preserve"> </w:t>
      </w:r>
      <w:r w:rsidRPr="00401E4E" w:rsidR="001C0E86">
        <w:rPr>
          <w:sz w:val="22"/>
          <w:szCs w:val="22"/>
        </w:rPr>
        <w:t xml:space="preserve">(which </w:t>
      </w:r>
      <w:r w:rsidR="001C0E86">
        <w:rPr>
          <w:sz w:val="22"/>
          <w:szCs w:val="22"/>
        </w:rPr>
        <w:t>Havens</w:t>
      </w:r>
      <w:r w:rsidRPr="00401E4E" w:rsidR="001C0E86">
        <w:rPr>
          <w:sz w:val="22"/>
          <w:szCs w:val="22"/>
        </w:rPr>
        <w:t xml:space="preserve"> </w:t>
      </w:r>
      <w:r w:rsidR="001C0E86">
        <w:rPr>
          <w:sz w:val="22"/>
          <w:szCs w:val="22"/>
        </w:rPr>
        <w:t>form</w:t>
      </w:r>
      <w:r w:rsidRPr="00401E4E" w:rsidR="001C0E86">
        <w:rPr>
          <w:sz w:val="22"/>
          <w:szCs w:val="22"/>
        </w:rPr>
        <w:t>ed</w:t>
      </w:r>
      <w:r w:rsidR="001C0E86">
        <w:rPr>
          <w:sz w:val="22"/>
          <w:szCs w:val="22"/>
        </w:rPr>
        <w:t xml:space="preserve"> </w:t>
      </w:r>
      <w:r w:rsidRPr="00401E4E" w:rsidR="001C0E86">
        <w:rPr>
          <w:sz w:val="22"/>
          <w:szCs w:val="22"/>
        </w:rPr>
        <w:t>in 2016 after the entities he previously controlled were placed in receivership)</w:t>
      </w:r>
      <w:r w:rsidR="004D4D33">
        <w:rPr>
          <w:snapToGrid w:val="0"/>
          <w:kern w:val="28"/>
          <w:sz w:val="22"/>
          <w:szCs w:val="20"/>
        </w:rPr>
        <w:t>,</w:t>
      </w:r>
      <w:r w:rsidR="00940A26">
        <w:rPr>
          <w:snapToGrid w:val="0"/>
          <w:kern w:val="28"/>
          <w:sz w:val="22"/>
          <w:szCs w:val="20"/>
        </w:rPr>
        <w:t xml:space="preserve"> filed a petition to deny seven of the above-captioned applications (all but File No. </w:t>
      </w:r>
      <w:r w:rsidR="00940A26">
        <w:rPr>
          <w:spacing w:val="-2"/>
          <w:sz w:val="22"/>
          <w:szCs w:val="22"/>
        </w:rPr>
        <w:t>0004315013</w:t>
      </w:r>
      <w:r w:rsidR="00940A26">
        <w:rPr>
          <w:snapToGrid w:val="0"/>
          <w:kern w:val="28"/>
          <w:sz w:val="22"/>
          <w:szCs w:val="20"/>
        </w:rPr>
        <w:t>)</w:t>
      </w:r>
      <w:r w:rsidR="00365495">
        <w:rPr>
          <w:snapToGrid w:val="0"/>
          <w:kern w:val="28"/>
          <w:sz w:val="22"/>
          <w:szCs w:val="20"/>
        </w:rPr>
        <w:t>.</w:t>
      </w:r>
      <w:r>
        <w:rPr>
          <w:rStyle w:val="FootnoteReference"/>
          <w:snapToGrid w:val="0"/>
          <w:kern w:val="28"/>
          <w:szCs w:val="20"/>
        </w:rPr>
        <w:footnoteReference w:id="30"/>
      </w:r>
    </w:p>
    <w:p w:rsidR="002F4CC9" w:rsidRPr="00855ABD" w:rsidP="002F4CC9">
      <w:pPr>
        <w:pStyle w:val="Heading1"/>
        <w:tabs>
          <w:tab w:val="left" w:pos="720"/>
        </w:tabs>
        <w:rPr>
          <w:rFonts w:ascii="Times New Roman" w:hAnsi="Times New Roman"/>
          <w:bCs/>
          <w:caps w:val="0"/>
          <w:sz w:val="22"/>
          <w:szCs w:val="22"/>
        </w:rPr>
      </w:pPr>
      <w:r w:rsidRPr="00251A17">
        <w:rPr>
          <w:sz w:val="22"/>
          <w:szCs w:val="22"/>
        </w:rPr>
        <w:t>discussion</w:t>
      </w:r>
    </w:p>
    <w:p w:rsidR="00365495" w:rsidP="00855ABD">
      <w:pPr>
        <w:pStyle w:val="ParaNum"/>
        <w:numPr>
          <w:ilvl w:val="0"/>
          <w:numId w:val="7"/>
        </w:numPr>
        <w:tabs>
          <w:tab w:val="left" w:pos="1440"/>
        </w:tabs>
        <w:ind w:left="0" w:firstLine="720"/>
        <w:rPr>
          <w:sz w:val="22"/>
          <w:szCs w:val="22"/>
        </w:rPr>
      </w:pPr>
      <w:r>
        <w:rPr>
          <w:i/>
          <w:sz w:val="22"/>
          <w:szCs w:val="22"/>
        </w:rPr>
        <w:t>Pre-2017 Petitions.</w:t>
      </w:r>
      <w:r>
        <w:rPr>
          <w:sz w:val="22"/>
          <w:szCs w:val="22"/>
        </w:rPr>
        <w:t xml:space="preserve">  As an initial matter, we deny the still-pending petitions to deny that were filed in 2010 and 2015.  As we concluded with respect to the other pre-2017 petitions, the Commission’s grant of </w:t>
      </w:r>
      <w:r>
        <w:rPr>
          <w:i/>
          <w:sz w:val="22"/>
          <w:szCs w:val="22"/>
        </w:rPr>
        <w:t xml:space="preserve">Second Thursday </w:t>
      </w:r>
      <w:r>
        <w:rPr>
          <w:sz w:val="22"/>
          <w:szCs w:val="22"/>
        </w:rPr>
        <w:t xml:space="preserve">relief and </w:t>
      </w:r>
      <w:r w:rsidRPr="00C51900">
        <w:rPr>
          <w:sz w:val="22"/>
          <w:szCs w:val="22"/>
        </w:rPr>
        <w:t>terminat</w:t>
      </w:r>
      <w:r>
        <w:rPr>
          <w:sz w:val="22"/>
          <w:szCs w:val="22"/>
        </w:rPr>
        <w:t>ion of</w:t>
      </w:r>
      <w:r w:rsidRPr="00C51900">
        <w:rPr>
          <w:sz w:val="22"/>
          <w:szCs w:val="22"/>
        </w:rPr>
        <w:t xml:space="preserve"> the hearing into MCLM’s character qualifications</w:t>
      </w:r>
      <w:r>
        <w:rPr>
          <w:sz w:val="22"/>
          <w:szCs w:val="22"/>
        </w:rPr>
        <w:t xml:space="preserve"> precludes dismissal or denial of the applications on the basis of the misconduct alleged in the petitions, and the petitions’ other arguments lack merit.</w:t>
      </w:r>
    </w:p>
    <w:p w:rsidR="00690C3E" w:rsidP="0081333F">
      <w:pPr>
        <w:pStyle w:val="ParaNum"/>
        <w:numPr>
          <w:ilvl w:val="0"/>
          <w:numId w:val="7"/>
        </w:numPr>
        <w:tabs>
          <w:tab w:val="left" w:pos="1440"/>
        </w:tabs>
        <w:ind w:left="0" w:firstLine="720"/>
        <w:rPr>
          <w:sz w:val="22"/>
          <w:szCs w:val="22"/>
        </w:rPr>
      </w:pPr>
      <w:r w:rsidRPr="00401E4E">
        <w:rPr>
          <w:i/>
          <w:sz w:val="22"/>
          <w:szCs w:val="22"/>
        </w:rPr>
        <w:t>2017 Petition.</w:t>
      </w:r>
      <w:r w:rsidRPr="00401E4E">
        <w:rPr>
          <w:sz w:val="22"/>
          <w:szCs w:val="22"/>
        </w:rPr>
        <w:t xml:space="preserve">  </w:t>
      </w:r>
      <w:r w:rsidR="00B16FD3">
        <w:rPr>
          <w:sz w:val="22"/>
          <w:szCs w:val="22"/>
        </w:rPr>
        <w:t xml:space="preserve">In the 2017 Petition, Havens and Polaris argue that the assignment applications </w:t>
      </w:r>
      <w:r w:rsidRPr="00C77386" w:rsidR="00B16FD3">
        <w:rPr>
          <w:sz w:val="22"/>
          <w:szCs w:val="22"/>
        </w:rPr>
        <w:t>are defective for multiple reasons, including an assertion that Choctaw</w:t>
      </w:r>
      <w:r w:rsidR="00B16FD3">
        <w:rPr>
          <w:sz w:val="22"/>
          <w:szCs w:val="22"/>
        </w:rPr>
        <w:t xml:space="preserve"> was </w:t>
      </w:r>
      <w:r w:rsidR="00F6370B">
        <w:rPr>
          <w:sz w:val="22"/>
          <w:szCs w:val="22"/>
        </w:rPr>
        <w:t>im</w:t>
      </w:r>
      <w:r w:rsidR="00B16FD3">
        <w:rPr>
          <w:sz w:val="22"/>
          <w:szCs w:val="22"/>
        </w:rPr>
        <w:t>properly substituted for MCLM as the assign</w:t>
      </w:r>
      <w:r w:rsidR="00FD0C3F">
        <w:rPr>
          <w:sz w:val="22"/>
          <w:szCs w:val="22"/>
        </w:rPr>
        <w:t>or</w:t>
      </w:r>
      <w:r w:rsidRPr="00C77386" w:rsidR="00B16FD3">
        <w:rPr>
          <w:sz w:val="22"/>
          <w:szCs w:val="22"/>
        </w:rPr>
        <w:t>,</w:t>
      </w:r>
      <w:r>
        <w:rPr>
          <w:rStyle w:val="FootnoteReference"/>
          <w:szCs w:val="22"/>
        </w:rPr>
        <w:footnoteReference w:id="31"/>
      </w:r>
      <w:r w:rsidRPr="00C77386" w:rsidR="00B16FD3">
        <w:rPr>
          <w:sz w:val="22"/>
          <w:szCs w:val="22"/>
        </w:rPr>
        <w:t xml:space="preserve"> and </w:t>
      </w:r>
      <w:r w:rsidR="00B16FD3">
        <w:rPr>
          <w:sz w:val="22"/>
          <w:szCs w:val="22"/>
        </w:rPr>
        <w:t xml:space="preserve">that the Commission’s grant of </w:t>
      </w:r>
      <w:r w:rsidR="00B16FD3">
        <w:rPr>
          <w:i/>
          <w:sz w:val="22"/>
          <w:szCs w:val="22"/>
        </w:rPr>
        <w:t xml:space="preserve">Second Thursday </w:t>
      </w:r>
      <w:r w:rsidR="00B16FD3">
        <w:rPr>
          <w:sz w:val="22"/>
          <w:szCs w:val="22"/>
        </w:rPr>
        <w:t xml:space="preserve">relief was </w:t>
      </w:r>
      <w:r w:rsidR="00F6370B">
        <w:rPr>
          <w:sz w:val="22"/>
          <w:szCs w:val="22"/>
        </w:rPr>
        <w:t>erroneous</w:t>
      </w:r>
      <w:r w:rsidR="00B16FD3">
        <w:rPr>
          <w:sz w:val="22"/>
          <w:szCs w:val="22"/>
        </w:rPr>
        <w:t xml:space="preserve"> because </w:t>
      </w:r>
      <w:r w:rsidR="00824CE2">
        <w:rPr>
          <w:sz w:val="22"/>
          <w:szCs w:val="22"/>
        </w:rPr>
        <w:t>wrongdoers will benefit.</w:t>
      </w:r>
      <w:r>
        <w:rPr>
          <w:rStyle w:val="FootnoteReference"/>
          <w:szCs w:val="22"/>
        </w:rPr>
        <w:footnoteReference w:id="32"/>
      </w:r>
      <w:r w:rsidR="00824CE2">
        <w:rPr>
          <w:sz w:val="22"/>
          <w:szCs w:val="22"/>
        </w:rPr>
        <w:t xml:space="preserve">  They </w:t>
      </w:r>
      <w:r w:rsidRPr="00C77386" w:rsidR="00B16FD3">
        <w:rPr>
          <w:sz w:val="22"/>
          <w:szCs w:val="22"/>
        </w:rPr>
        <w:t>assert standing based on harm caused by insufficient explanation in the Public Notice regarding the substitution of Choctaw for MCLM,</w:t>
      </w:r>
      <w:r>
        <w:rPr>
          <w:rStyle w:val="FootnoteReference"/>
          <w:szCs w:val="22"/>
        </w:rPr>
        <w:footnoteReference w:id="33"/>
      </w:r>
      <w:r w:rsidRPr="00C77386" w:rsidR="00B16FD3">
        <w:rPr>
          <w:sz w:val="22"/>
          <w:szCs w:val="22"/>
        </w:rPr>
        <w:t xml:space="preserve"> </w:t>
      </w:r>
      <w:r w:rsidR="00F6370B">
        <w:rPr>
          <w:sz w:val="22"/>
          <w:szCs w:val="22"/>
        </w:rPr>
        <w:t xml:space="preserve">and </w:t>
      </w:r>
      <w:r w:rsidRPr="00C77386" w:rsidR="00B16FD3">
        <w:rPr>
          <w:sz w:val="22"/>
          <w:szCs w:val="22"/>
        </w:rPr>
        <w:t>Havens’</w:t>
      </w:r>
      <w:r w:rsidR="00824CE2">
        <w:rPr>
          <w:sz w:val="22"/>
          <w:szCs w:val="22"/>
        </w:rPr>
        <w:t>s interest in the entities now controlled by the Receiver</w:t>
      </w:r>
      <w:r>
        <w:rPr>
          <w:sz w:val="22"/>
          <w:szCs w:val="22"/>
        </w:rPr>
        <w:t>.</w:t>
      </w:r>
      <w:r>
        <w:rPr>
          <w:rStyle w:val="FootnoteReference"/>
          <w:szCs w:val="22"/>
        </w:rPr>
        <w:footnoteReference w:id="34"/>
      </w:r>
      <w:r>
        <w:rPr>
          <w:sz w:val="22"/>
          <w:szCs w:val="22"/>
        </w:rPr>
        <w:t xml:space="preserve">  </w:t>
      </w:r>
    </w:p>
    <w:p w:rsidR="00511020" w:rsidP="0081333F">
      <w:pPr>
        <w:pStyle w:val="ParaNum"/>
        <w:numPr>
          <w:ilvl w:val="0"/>
          <w:numId w:val="7"/>
        </w:numPr>
        <w:tabs>
          <w:tab w:val="left" w:pos="1440"/>
        </w:tabs>
        <w:ind w:left="0" w:firstLine="720"/>
        <w:rPr>
          <w:sz w:val="22"/>
          <w:szCs w:val="22"/>
        </w:rPr>
      </w:pPr>
      <w:r w:rsidRPr="00AB0950">
        <w:rPr>
          <w:sz w:val="22"/>
          <w:szCs w:val="22"/>
        </w:rPr>
        <w:t>The Commission has explained that to establish standing, a petitioner must allege facts sufficient to demonstrate that grant of the application would cause it to suffer a direct injury.</w:t>
      </w:r>
      <w:r>
        <w:rPr>
          <w:rStyle w:val="FootnoteReference"/>
          <w:sz w:val="22"/>
          <w:szCs w:val="22"/>
        </w:rPr>
        <w:footnoteReference w:id="35"/>
      </w:r>
      <w:r w:rsidRPr="00AB0950">
        <w:rPr>
          <w:sz w:val="22"/>
          <w:szCs w:val="22"/>
        </w:rPr>
        <w:t xml:space="preserve">  To demonstrate standing, </w:t>
      </w:r>
      <w:r>
        <w:rPr>
          <w:sz w:val="22"/>
          <w:szCs w:val="22"/>
        </w:rPr>
        <w:t>p</w:t>
      </w:r>
      <w:r w:rsidRPr="00AB0950">
        <w:rPr>
          <w:sz w:val="22"/>
          <w:szCs w:val="22"/>
        </w:rPr>
        <w:t>etitioners must show a causal link between the claimed injury and the challenged action, and that the claimed injury would be prevented or redressed by the relief requested.</w:t>
      </w:r>
      <w:r>
        <w:rPr>
          <w:rStyle w:val="FootnoteReference"/>
          <w:sz w:val="22"/>
          <w:szCs w:val="22"/>
        </w:rPr>
        <w:footnoteReference w:id="36"/>
      </w:r>
      <w:r w:rsidRPr="00AB0950">
        <w:rPr>
          <w:sz w:val="22"/>
          <w:szCs w:val="22"/>
        </w:rPr>
        <w:t xml:space="preserve">  For purposes of standing, an injury must be both “concrete and particularized” and “actual or imminent, not conjectural or hypothetical.”</w:t>
      </w:r>
      <w:r>
        <w:rPr>
          <w:rStyle w:val="FootnoteReference"/>
          <w:sz w:val="22"/>
          <w:szCs w:val="22"/>
        </w:rPr>
        <w:footnoteReference w:id="37"/>
      </w:r>
      <w:r>
        <w:rPr>
          <w:sz w:val="22"/>
          <w:szCs w:val="22"/>
        </w:rPr>
        <w:t xml:space="preserve">  </w:t>
      </w:r>
      <w:r w:rsidR="00DF3323">
        <w:rPr>
          <w:sz w:val="22"/>
          <w:szCs w:val="22"/>
        </w:rPr>
        <w:t xml:space="preserve">The Division has held that neither </w:t>
      </w:r>
      <w:r w:rsidR="00C77386">
        <w:rPr>
          <w:sz w:val="22"/>
          <w:szCs w:val="22"/>
        </w:rPr>
        <w:t xml:space="preserve">Havens </w:t>
      </w:r>
      <w:r w:rsidR="00DF3323">
        <w:rPr>
          <w:sz w:val="22"/>
          <w:szCs w:val="22"/>
        </w:rPr>
        <w:t>individually nor any related entity that does not hold any AMTS licenses has standing to challenge the renewal of MCLM’s AMTS licenses</w:t>
      </w:r>
      <w:r>
        <w:rPr>
          <w:rStyle w:val="FootnoteReference"/>
          <w:szCs w:val="22"/>
        </w:rPr>
        <w:footnoteReference w:id="38"/>
      </w:r>
      <w:r w:rsidR="00DF3323">
        <w:rPr>
          <w:sz w:val="22"/>
          <w:szCs w:val="22"/>
        </w:rPr>
        <w:t xml:space="preserve"> or the assignment of that spectrum.</w:t>
      </w:r>
      <w:r>
        <w:rPr>
          <w:rStyle w:val="FootnoteReference"/>
          <w:szCs w:val="22"/>
        </w:rPr>
        <w:footnoteReference w:id="39"/>
      </w:r>
      <w:r w:rsidR="00DF3323">
        <w:rPr>
          <w:sz w:val="22"/>
          <w:szCs w:val="22"/>
        </w:rPr>
        <w:t xml:space="preserve">  </w:t>
      </w:r>
    </w:p>
    <w:p w:rsidR="009729A6" w:rsidRPr="00401E4E" w:rsidP="00511020">
      <w:pPr>
        <w:pStyle w:val="ParaNum"/>
        <w:numPr>
          <w:ilvl w:val="0"/>
          <w:numId w:val="7"/>
        </w:numPr>
        <w:tabs>
          <w:tab w:val="left" w:pos="1440"/>
        </w:tabs>
        <w:ind w:left="0" w:firstLine="720"/>
        <w:rPr>
          <w:sz w:val="22"/>
          <w:szCs w:val="22"/>
        </w:rPr>
      </w:pPr>
      <w:r>
        <w:rPr>
          <w:snapToGrid w:val="0"/>
          <w:kern w:val="28"/>
          <w:sz w:val="22"/>
          <w:szCs w:val="20"/>
        </w:rPr>
        <w:t>Having</w:t>
      </w:r>
      <w:r w:rsidRPr="00266129">
        <w:rPr>
          <w:snapToGrid w:val="0"/>
          <w:kern w:val="28"/>
          <w:sz w:val="22"/>
          <w:szCs w:val="20"/>
        </w:rPr>
        <w:t xml:space="preserve"> carefully reviewed </w:t>
      </w:r>
      <w:r>
        <w:rPr>
          <w:snapToGrid w:val="0"/>
          <w:kern w:val="28"/>
          <w:sz w:val="22"/>
          <w:szCs w:val="20"/>
        </w:rPr>
        <w:t>the record</w:t>
      </w:r>
      <w:r w:rsidRPr="00266129">
        <w:rPr>
          <w:snapToGrid w:val="0"/>
          <w:kern w:val="28"/>
          <w:sz w:val="22"/>
          <w:szCs w:val="20"/>
        </w:rPr>
        <w:t xml:space="preserve">, </w:t>
      </w:r>
      <w:r>
        <w:rPr>
          <w:snapToGrid w:val="0"/>
          <w:kern w:val="28"/>
          <w:sz w:val="22"/>
          <w:szCs w:val="20"/>
        </w:rPr>
        <w:t>w</w:t>
      </w:r>
      <w:r w:rsidR="00B16FD3">
        <w:rPr>
          <w:sz w:val="22"/>
          <w:szCs w:val="22"/>
        </w:rPr>
        <w:t xml:space="preserve">e now conclude that Havens </w:t>
      </w:r>
      <w:r w:rsidR="00C77386">
        <w:rPr>
          <w:sz w:val="22"/>
          <w:szCs w:val="22"/>
        </w:rPr>
        <w:t xml:space="preserve">and Polaris </w:t>
      </w:r>
      <w:r w:rsidR="00B16FD3">
        <w:rPr>
          <w:sz w:val="22"/>
          <w:szCs w:val="22"/>
        </w:rPr>
        <w:t xml:space="preserve">lack standing to challenge </w:t>
      </w:r>
      <w:r w:rsidR="00F6370B">
        <w:rPr>
          <w:sz w:val="22"/>
          <w:szCs w:val="22"/>
        </w:rPr>
        <w:t>the assignment applications at issue</w:t>
      </w:r>
      <w:r w:rsidR="00B16FD3">
        <w:rPr>
          <w:sz w:val="22"/>
          <w:szCs w:val="22"/>
        </w:rPr>
        <w:t xml:space="preserve">.  </w:t>
      </w:r>
      <w:r w:rsidRPr="00C77386" w:rsidR="004D4D33">
        <w:rPr>
          <w:sz w:val="22"/>
          <w:szCs w:val="22"/>
        </w:rPr>
        <w:t>N</w:t>
      </w:r>
      <w:r w:rsidRPr="00C77386" w:rsidR="00365495">
        <w:rPr>
          <w:sz w:val="22"/>
          <w:szCs w:val="22"/>
        </w:rPr>
        <w:t xml:space="preserve">either </w:t>
      </w:r>
      <w:r w:rsidRPr="00C77386" w:rsidR="004D4D33">
        <w:rPr>
          <w:sz w:val="22"/>
          <w:szCs w:val="22"/>
        </w:rPr>
        <w:t>Havens</w:t>
      </w:r>
      <w:r>
        <w:rPr>
          <w:rStyle w:val="FootnoteReference"/>
          <w:snapToGrid w:val="0"/>
          <w:kern w:val="28"/>
          <w:szCs w:val="20"/>
        </w:rPr>
        <w:footnoteReference w:id="40"/>
      </w:r>
      <w:r w:rsidRPr="00C77386" w:rsidR="004D4D33">
        <w:rPr>
          <w:sz w:val="22"/>
          <w:szCs w:val="22"/>
        </w:rPr>
        <w:t xml:space="preserve"> nor Polaris </w:t>
      </w:r>
      <w:r w:rsidRPr="00C77386" w:rsidR="00365495">
        <w:rPr>
          <w:sz w:val="22"/>
          <w:szCs w:val="22"/>
        </w:rPr>
        <w:t>holds a Commission license</w:t>
      </w:r>
      <w:r w:rsidRPr="00C77386" w:rsidR="00401E4E">
        <w:rPr>
          <w:sz w:val="22"/>
          <w:szCs w:val="22"/>
        </w:rPr>
        <w:t>.</w:t>
      </w:r>
      <w:r w:rsidRPr="00C77386" w:rsidR="00365495">
        <w:rPr>
          <w:sz w:val="22"/>
          <w:szCs w:val="22"/>
        </w:rPr>
        <w:t xml:space="preserve">  </w:t>
      </w:r>
      <w:r w:rsidRPr="000543C9" w:rsidR="00266129">
        <w:rPr>
          <w:snapToGrid w:val="0"/>
          <w:kern w:val="28"/>
          <w:sz w:val="22"/>
          <w:szCs w:val="20"/>
        </w:rPr>
        <w:t>The</w:t>
      </w:r>
      <w:r w:rsidR="00A74411">
        <w:rPr>
          <w:snapToGrid w:val="0"/>
          <w:kern w:val="28"/>
          <w:sz w:val="22"/>
          <w:szCs w:val="20"/>
        </w:rPr>
        <w:t>y</w:t>
      </w:r>
      <w:r w:rsidRPr="000543C9" w:rsidR="00266129">
        <w:rPr>
          <w:snapToGrid w:val="0"/>
          <w:kern w:val="28"/>
          <w:sz w:val="22"/>
          <w:szCs w:val="20"/>
        </w:rPr>
        <w:t xml:space="preserve"> do not argue that grant of the </w:t>
      </w:r>
      <w:r w:rsidR="00A74411">
        <w:rPr>
          <w:sz w:val="22"/>
          <w:szCs w:val="22"/>
        </w:rPr>
        <w:t>assignment a</w:t>
      </w:r>
      <w:r w:rsidRPr="000543C9" w:rsidR="00F337E5">
        <w:rPr>
          <w:sz w:val="22"/>
          <w:szCs w:val="22"/>
        </w:rPr>
        <w:t>pplications</w:t>
      </w:r>
      <w:r w:rsidR="00F337E5">
        <w:rPr>
          <w:sz w:val="22"/>
          <w:szCs w:val="22"/>
        </w:rPr>
        <w:t xml:space="preserve"> </w:t>
      </w:r>
      <w:r w:rsidRPr="00266129" w:rsidR="00266129">
        <w:rPr>
          <w:snapToGrid w:val="0"/>
          <w:kern w:val="28"/>
          <w:sz w:val="22"/>
          <w:szCs w:val="20"/>
        </w:rPr>
        <w:t>would cause competitive harm of any sort</w:t>
      </w:r>
      <w:r w:rsidR="00F046B9">
        <w:rPr>
          <w:snapToGrid w:val="0"/>
          <w:kern w:val="28"/>
          <w:sz w:val="22"/>
          <w:szCs w:val="20"/>
        </w:rPr>
        <w:t>, direct or otherwise</w:t>
      </w:r>
      <w:r w:rsidRPr="00266129" w:rsidR="00266129">
        <w:rPr>
          <w:snapToGrid w:val="0"/>
          <w:kern w:val="28"/>
          <w:sz w:val="22"/>
          <w:szCs w:val="20"/>
        </w:rPr>
        <w:t xml:space="preserve">. </w:t>
      </w:r>
      <w:r w:rsidRPr="00266129" w:rsidR="00266129">
        <w:rPr>
          <w:snapToGrid w:val="0"/>
          <w:kern w:val="28"/>
          <w:sz w:val="22"/>
          <w:szCs w:val="20"/>
        </w:rPr>
        <w:t xml:space="preserve"> </w:t>
      </w:r>
      <w:r w:rsidRPr="00266129" w:rsidR="00850F60">
        <w:rPr>
          <w:snapToGrid w:val="0"/>
          <w:kern w:val="28"/>
          <w:sz w:val="22"/>
          <w:szCs w:val="20"/>
        </w:rPr>
        <w:t xml:space="preserve">The </w:t>
      </w:r>
      <w:r>
        <w:rPr>
          <w:snapToGrid w:val="0"/>
          <w:kern w:val="28"/>
          <w:sz w:val="22"/>
          <w:szCs w:val="20"/>
        </w:rPr>
        <w:t>only injury articulated by the p</w:t>
      </w:r>
      <w:r w:rsidRPr="00266129" w:rsidR="00850F60">
        <w:rPr>
          <w:snapToGrid w:val="0"/>
          <w:kern w:val="28"/>
          <w:sz w:val="22"/>
          <w:szCs w:val="20"/>
        </w:rPr>
        <w:t xml:space="preserve">etitioners </w:t>
      </w:r>
      <w:r w:rsidR="00683A61">
        <w:rPr>
          <w:snapToGrid w:val="0"/>
          <w:kern w:val="28"/>
          <w:sz w:val="22"/>
          <w:szCs w:val="20"/>
        </w:rPr>
        <w:t xml:space="preserve">that arises from grant of </w:t>
      </w:r>
      <w:r w:rsidR="00A74411">
        <w:rPr>
          <w:snapToGrid w:val="0"/>
          <w:kern w:val="28"/>
          <w:sz w:val="22"/>
          <w:szCs w:val="20"/>
        </w:rPr>
        <w:t>the assignment a</w:t>
      </w:r>
      <w:r w:rsidR="00850F60">
        <w:rPr>
          <w:snapToGrid w:val="0"/>
          <w:kern w:val="28"/>
          <w:sz w:val="22"/>
          <w:szCs w:val="20"/>
        </w:rPr>
        <w:t xml:space="preserve">pplications </w:t>
      </w:r>
      <w:r w:rsidRPr="00266129" w:rsidR="00850F60">
        <w:rPr>
          <w:snapToGrid w:val="0"/>
          <w:kern w:val="28"/>
          <w:sz w:val="22"/>
          <w:szCs w:val="20"/>
        </w:rPr>
        <w:t>is that</w:t>
      </w:r>
      <w:r w:rsidR="00850F60">
        <w:rPr>
          <w:snapToGrid w:val="0"/>
          <w:kern w:val="28"/>
          <w:sz w:val="22"/>
          <w:szCs w:val="20"/>
        </w:rPr>
        <w:t xml:space="preserve"> the Public Notice provided an insufficient explanation </w:t>
      </w:r>
      <w:r w:rsidR="00C80C1B">
        <w:rPr>
          <w:snapToGrid w:val="0"/>
          <w:kern w:val="28"/>
          <w:sz w:val="22"/>
          <w:szCs w:val="20"/>
        </w:rPr>
        <w:t>for</w:t>
      </w:r>
      <w:r w:rsidR="000B335F">
        <w:rPr>
          <w:snapToGrid w:val="0"/>
          <w:kern w:val="28"/>
          <w:sz w:val="22"/>
          <w:szCs w:val="20"/>
        </w:rPr>
        <w:t xml:space="preserve"> the</w:t>
      </w:r>
      <w:r w:rsidR="00850F60">
        <w:rPr>
          <w:snapToGrid w:val="0"/>
          <w:kern w:val="28"/>
          <w:sz w:val="22"/>
          <w:szCs w:val="20"/>
        </w:rPr>
        <w:t xml:space="preserve"> substitution of Choctaw as the assignor in place of MCLM, </w:t>
      </w:r>
      <w:r w:rsidR="00A74411">
        <w:rPr>
          <w:snapToGrid w:val="0"/>
          <w:kern w:val="28"/>
          <w:sz w:val="22"/>
          <w:szCs w:val="20"/>
        </w:rPr>
        <w:t>and thus deprived interested</w:t>
      </w:r>
      <w:r w:rsidR="00C80C1B">
        <w:rPr>
          <w:snapToGrid w:val="0"/>
          <w:kern w:val="28"/>
          <w:sz w:val="22"/>
          <w:szCs w:val="20"/>
        </w:rPr>
        <w:t xml:space="preserve"> </w:t>
      </w:r>
      <w:r w:rsidR="00850F60">
        <w:rPr>
          <w:snapToGrid w:val="0"/>
          <w:kern w:val="28"/>
          <w:sz w:val="22"/>
          <w:szCs w:val="20"/>
        </w:rPr>
        <w:t>parti</w:t>
      </w:r>
      <w:r w:rsidR="00150301">
        <w:rPr>
          <w:snapToGrid w:val="0"/>
          <w:kern w:val="28"/>
          <w:sz w:val="22"/>
          <w:szCs w:val="20"/>
        </w:rPr>
        <w:t>es</w:t>
      </w:r>
      <w:r w:rsidR="00850F60">
        <w:rPr>
          <w:snapToGrid w:val="0"/>
          <w:kern w:val="28"/>
          <w:sz w:val="22"/>
          <w:szCs w:val="20"/>
        </w:rPr>
        <w:t xml:space="preserve"> </w:t>
      </w:r>
      <w:r w:rsidR="00C80C1B">
        <w:rPr>
          <w:snapToGrid w:val="0"/>
          <w:kern w:val="28"/>
          <w:sz w:val="22"/>
          <w:szCs w:val="20"/>
        </w:rPr>
        <w:t>of notice and</w:t>
      </w:r>
      <w:r w:rsidR="00A07314">
        <w:rPr>
          <w:snapToGrid w:val="0"/>
          <w:kern w:val="28"/>
          <w:sz w:val="22"/>
          <w:szCs w:val="20"/>
        </w:rPr>
        <w:t xml:space="preserve"> </w:t>
      </w:r>
      <w:r w:rsidR="00A74411">
        <w:rPr>
          <w:snapToGrid w:val="0"/>
          <w:kern w:val="28"/>
          <w:sz w:val="22"/>
          <w:szCs w:val="20"/>
        </w:rPr>
        <w:t>the opportunity to object</w:t>
      </w:r>
      <w:r w:rsidR="00850F60">
        <w:rPr>
          <w:snapToGrid w:val="0"/>
          <w:kern w:val="28"/>
          <w:sz w:val="22"/>
          <w:szCs w:val="20"/>
        </w:rPr>
        <w:t>.</w:t>
      </w:r>
      <w:r>
        <w:rPr>
          <w:rStyle w:val="FootnoteReference"/>
          <w:snapToGrid w:val="0"/>
          <w:kern w:val="28"/>
          <w:szCs w:val="20"/>
        </w:rPr>
        <w:footnoteReference w:id="41"/>
      </w:r>
      <w:r w:rsidR="00850F60">
        <w:rPr>
          <w:snapToGrid w:val="0"/>
          <w:kern w:val="28"/>
          <w:sz w:val="22"/>
          <w:szCs w:val="20"/>
        </w:rPr>
        <w:t xml:space="preserve">  </w:t>
      </w:r>
      <w:r w:rsidR="00A74411">
        <w:rPr>
          <w:snapToGrid w:val="0"/>
          <w:kern w:val="28"/>
          <w:sz w:val="22"/>
          <w:szCs w:val="20"/>
        </w:rPr>
        <w:t>T</w:t>
      </w:r>
      <w:r w:rsidR="004E123B">
        <w:rPr>
          <w:snapToGrid w:val="0"/>
          <w:kern w:val="28"/>
          <w:sz w:val="22"/>
          <w:szCs w:val="20"/>
        </w:rPr>
        <w:t>he substitution of Choctaw as assignor</w:t>
      </w:r>
      <w:r w:rsidR="00A74411">
        <w:rPr>
          <w:snapToGrid w:val="0"/>
          <w:kern w:val="28"/>
          <w:sz w:val="22"/>
          <w:szCs w:val="20"/>
        </w:rPr>
        <w:t xml:space="preserve">, however, was elucidated by the Commission in the order granting </w:t>
      </w:r>
      <w:r w:rsidR="00A74411">
        <w:rPr>
          <w:i/>
          <w:snapToGrid w:val="0"/>
          <w:kern w:val="28"/>
          <w:sz w:val="22"/>
          <w:szCs w:val="20"/>
        </w:rPr>
        <w:t xml:space="preserve">Second Thursday </w:t>
      </w:r>
      <w:r w:rsidR="00A74411">
        <w:rPr>
          <w:snapToGrid w:val="0"/>
          <w:kern w:val="28"/>
          <w:sz w:val="22"/>
          <w:szCs w:val="20"/>
        </w:rPr>
        <w:t xml:space="preserve">relief, so there was no need for the Public Notice implementing that decision to repeat the explanation. </w:t>
      </w:r>
      <w:r w:rsidR="000B335F">
        <w:rPr>
          <w:snapToGrid w:val="0"/>
          <w:kern w:val="28"/>
          <w:sz w:val="22"/>
          <w:szCs w:val="20"/>
        </w:rPr>
        <w:t xml:space="preserve"> </w:t>
      </w:r>
      <w:r w:rsidR="00A74411">
        <w:rPr>
          <w:snapToGrid w:val="0"/>
          <w:kern w:val="28"/>
          <w:sz w:val="22"/>
          <w:szCs w:val="20"/>
        </w:rPr>
        <w:t>Moreover, any s</w:t>
      </w:r>
      <w:r w:rsidR="000637DB">
        <w:rPr>
          <w:snapToGrid w:val="0"/>
          <w:kern w:val="28"/>
          <w:sz w:val="22"/>
          <w:szCs w:val="20"/>
        </w:rPr>
        <w:t>uch injury is not direct, let alone actual</w:t>
      </w:r>
      <w:r w:rsidR="00A74411">
        <w:rPr>
          <w:snapToGrid w:val="0"/>
          <w:kern w:val="28"/>
          <w:sz w:val="22"/>
          <w:szCs w:val="20"/>
        </w:rPr>
        <w:t>; Havens and Polaris do not explain how it would be redressed by dismissing the assignment applications and requiring Choctaw to file applications proposing to assign the same spectrum to the same parties</w:t>
      </w:r>
      <w:r w:rsidRPr="00266129" w:rsidR="00A74411">
        <w:rPr>
          <w:snapToGrid w:val="0"/>
          <w:kern w:val="28"/>
          <w:sz w:val="22"/>
          <w:szCs w:val="20"/>
        </w:rPr>
        <w:t>.</w:t>
      </w:r>
      <w:r>
        <w:rPr>
          <w:rStyle w:val="FootnoteReference"/>
          <w:snapToGrid w:val="0"/>
          <w:kern w:val="28"/>
          <w:szCs w:val="20"/>
        </w:rPr>
        <w:footnoteReference w:id="42"/>
      </w:r>
      <w:r w:rsidR="004E123B">
        <w:rPr>
          <w:snapToGrid w:val="0"/>
          <w:kern w:val="28"/>
          <w:sz w:val="22"/>
          <w:szCs w:val="20"/>
        </w:rPr>
        <w:t xml:space="preserve">  </w:t>
      </w:r>
      <w:r w:rsidR="002211EC">
        <w:rPr>
          <w:snapToGrid w:val="0"/>
          <w:kern w:val="28"/>
          <w:sz w:val="22"/>
          <w:szCs w:val="20"/>
        </w:rPr>
        <w:t xml:space="preserve">The </w:t>
      </w:r>
      <w:r w:rsidR="006B2163">
        <w:rPr>
          <w:snapToGrid w:val="0"/>
          <w:kern w:val="28"/>
          <w:sz w:val="22"/>
          <w:szCs w:val="20"/>
        </w:rPr>
        <w:t>remainder</w:t>
      </w:r>
      <w:r w:rsidR="002211EC">
        <w:rPr>
          <w:snapToGrid w:val="0"/>
          <w:kern w:val="28"/>
          <w:sz w:val="22"/>
          <w:szCs w:val="20"/>
        </w:rPr>
        <w:t xml:space="preserve"> of harms </w:t>
      </w:r>
      <w:r>
        <w:rPr>
          <w:snapToGrid w:val="0"/>
          <w:kern w:val="28"/>
          <w:sz w:val="22"/>
          <w:szCs w:val="20"/>
        </w:rPr>
        <w:t>alleged in the p</w:t>
      </w:r>
      <w:r w:rsidR="00E6384E">
        <w:rPr>
          <w:snapToGrid w:val="0"/>
          <w:kern w:val="28"/>
          <w:sz w:val="22"/>
          <w:szCs w:val="20"/>
        </w:rPr>
        <w:t xml:space="preserve">etition </w:t>
      </w:r>
      <w:r w:rsidR="002211EC">
        <w:rPr>
          <w:snapToGrid w:val="0"/>
          <w:kern w:val="28"/>
          <w:sz w:val="22"/>
          <w:szCs w:val="20"/>
        </w:rPr>
        <w:t xml:space="preserve">amount to untimely challenges to actions </w:t>
      </w:r>
      <w:r w:rsidR="00E6384E">
        <w:rPr>
          <w:snapToGrid w:val="0"/>
          <w:kern w:val="28"/>
          <w:sz w:val="22"/>
          <w:szCs w:val="20"/>
        </w:rPr>
        <w:t>in other proceedings</w:t>
      </w:r>
      <w:r w:rsidR="002211EC">
        <w:rPr>
          <w:snapToGrid w:val="0"/>
          <w:kern w:val="28"/>
          <w:sz w:val="22"/>
          <w:szCs w:val="20"/>
        </w:rPr>
        <w:t xml:space="preserve"> </w:t>
      </w:r>
      <w:r w:rsidR="00A50B54">
        <w:rPr>
          <w:snapToGrid w:val="0"/>
          <w:kern w:val="28"/>
          <w:sz w:val="22"/>
          <w:szCs w:val="20"/>
        </w:rPr>
        <w:t>that</w:t>
      </w:r>
      <w:r w:rsidR="006B2163">
        <w:rPr>
          <w:snapToGrid w:val="0"/>
          <w:kern w:val="28"/>
          <w:sz w:val="22"/>
          <w:szCs w:val="20"/>
        </w:rPr>
        <w:t xml:space="preserve">, as such, </w:t>
      </w:r>
      <w:r w:rsidR="002211EC">
        <w:rPr>
          <w:snapToGrid w:val="0"/>
          <w:kern w:val="28"/>
          <w:sz w:val="22"/>
          <w:szCs w:val="20"/>
        </w:rPr>
        <w:t xml:space="preserve">do not form the basis for a cognizable injury </w:t>
      </w:r>
      <w:r w:rsidR="006B2163">
        <w:rPr>
          <w:snapToGrid w:val="0"/>
          <w:kern w:val="28"/>
          <w:sz w:val="22"/>
          <w:szCs w:val="20"/>
        </w:rPr>
        <w:t>directly caused</w:t>
      </w:r>
      <w:r w:rsidR="002211EC">
        <w:rPr>
          <w:snapToGrid w:val="0"/>
          <w:kern w:val="28"/>
          <w:sz w:val="22"/>
          <w:szCs w:val="20"/>
        </w:rPr>
        <w:t xml:space="preserve"> from grant of </w:t>
      </w:r>
      <w:r>
        <w:rPr>
          <w:snapToGrid w:val="0"/>
          <w:kern w:val="28"/>
          <w:sz w:val="22"/>
          <w:szCs w:val="20"/>
        </w:rPr>
        <w:t>the a</w:t>
      </w:r>
      <w:r w:rsidR="002211EC">
        <w:rPr>
          <w:snapToGrid w:val="0"/>
          <w:kern w:val="28"/>
          <w:sz w:val="22"/>
          <w:szCs w:val="20"/>
        </w:rPr>
        <w:t xml:space="preserve">ssignment </w:t>
      </w:r>
      <w:r>
        <w:rPr>
          <w:snapToGrid w:val="0"/>
          <w:kern w:val="28"/>
          <w:sz w:val="22"/>
          <w:szCs w:val="20"/>
        </w:rPr>
        <w:t>a</w:t>
      </w:r>
      <w:r w:rsidR="002211EC">
        <w:rPr>
          <w:snapToGrid w:val="0"/>
          <w:kern w:val="28"/>
          <w:sz w:val="22"/>
          <w:szCs w:val="20"/>
        </w:rPr>
        <w:t xml:space="preserve">pplications.  </w:t>
      </w:r>
      <w:r w:rsidRPr="009729A6">
        <w:rPr>
          <w:snapToGrid w:val="0"/>
          <w:kern w:val="28"/>
          <w:sz w:val="22"/>
          <w:szCs w:val="20"/>
        </w:rPr>
        <w:t xml:space="preserve">We therefore dismiss the </w:t>
      </w:r>
      <w:r w:rsidR="00FB2DB0">
        <w:rPr>
          <w:snapToGrid w:val="0"/>
          <w:kern w:val="28"/>
          <w:sz w:val="22"/>
          <w:szCs w:val="20"/>
        </w:rPr>
        <w:t xml:space="preserve">2017 </w:t>
      </w:r>
      <w:r w:rsidRPr="009729A6">
        <w:rPr>
          <w:snapToGrid w:val="0"/>
          <w:kern w:val="28"/>
          <w:sz w:val="22"/>
          <w:szCs w:val="20"/>
        </w:rPr>
        <w:t>Petition</w:t>
      </w:r>
      <w:r w:rsidR="000D4C2B">
        <w:rPr>
          <w:snapToGrid w:val="0"/>
          <w:kern w:val="28"/>
          <w:sz w:val="22"/>
          <w:szCs w:val="20"/>
        </w:rPr>
        <w:t xml:space="preserve"> for lack of standing.</w:t>
      </w:r>
      <w:r>
        <w:rPr>
          <w:rStyle w:val="FootnoteReference"/>
          <w:snapToGrid w:val="0"/>
          <w:kern w:val="28"/>
          <w:szCs w:val="20"/>
        </w:rPr>
        <w:footnoteReference w:id="43"/>
      </w:r>
    </w:p>
    <w:p w:rsidR="00FF3F4D" w:rsidRPr="00251A17" w:rsidP="00FF3F4D">
      <w:pPr>
        <w:pStyle w:val="Heading1"/>
        <w:rPr>
          <w:sz w:val="22"/>
          <w:szCs w:val="22"/>
        </w:rPr>
      </w:pPr>
      <w:bookmarkStart w:id="6" w:name="a"/>
      <w:bookmarkEnd w:id="6"/>
      <w:r w:rsidRPr="00251A17">
        <w:rPr>
          <w:sz w:val="22"/>
          <w:szCs w:val="22"/>
        </w:rPr>
        <w:t>ordering clauses</w:t>
      </w:r>
    </w:p>
    <w:p w:rsidR="001231A2" w:rsidRPr="001231A2" w:rsidP="00A80FCE">
      <w:pPr>
        <w:pStyle w:val="ParaNum"/>
        <w:numPr>
          <w:ilvl w:val="0"/>
          <w:numId w:val="7"/>
        </w:numPr>
        <w:tabs>
          <w:tab w:val="left" w:pos="1440"/>
        </w:tabs>
        <w:ind w:left="0" w:firstLine="720"/>
        <w:rPr>
          <w:sz w:val="22"/>
          <w:szCs w:val="22"/>
        </w:rPr>
      </w:pPr>
      <w:r w:rsidRPr="00251A17">
        <w:rPr>
          <w:sz w:val="22"/>
          <w:szCs w:val="22"/>
        </w:rPr>
        <w:t xml:space="preserve">Accordingly, IT IS </w:t>
      </w:r>
      <w:r w:rsidRPr="00E456AB">
        <w:rPr>
          <w:sz w:val="22"/>
          <w:szCs w:val="22"/>
        </w:rPr>
        <w:t xml:space="preserve">ORDERED THAT, </w:t>
      </w:r>
      <w:r w:rsidRPr="00405341" w:rsidR="000E4519">
        <w:rPr>
          <w:snapToGrid w:val="0"/>
          <w:sz w:val="22"/>
          <w:szCs w:val="22"/>
        </w:rPr>
        <w:t>pursuant to sections 4(i) and 309(d) of the Communications Act of 1934, as amended, 47 U.S.C. §§ 154(i), 309(d), and section</w:t>
      </w:r>
      <w:r w:rsidR="000E4519">
        <w:rPr>
          <w:snapToGrid w:val="0"/>
          <w:sz w:val="22"/>
          <w:szCs w:val="22"/>
        </w:rPr>
        <w:t>s 1.</w:t>
      </w:r>
      <w:r w:rsidR="009B0E11">
        <w:rPr>
          <w:snapToGrid w:val="0"/>
          <w:sz w:val="22"/>
          <w:szCs w:val="22"/>
        </w:rPr>
        <w:t xml:space="preserve">41 </w:t>
      </w:r>
      <w:r w:rsidR="000E4519">
        <w:rPr>
          <w:snapToGrid w:val="0"/>
          <w:sz w:val="22"/>
          <w:szCs w:val="22"/>
        </w:rPr>
        <w:t>and</w:t>
      </w:r>
      <w:r w:rsidRPr="00405341" w:rsidR="000E4519">
        <w:rPr>
          <w:snapToGrid w:val="0"/>
          <w:sz w:val="22"/>
          <w:szCs w:val="22"/>
        </w:rPr>
        <w:t xml:space="preserve"> 1.</w:t>
      </w:r>
      <w:r w:rsidRPr="00405341" w:rsidR="00531736">
        <w:rPr>
          <w:snapToGrid w:val="0"/>
          <w:sz w:val="22"/>
          <w:szCs w:val="22"/>
        </w:rPr>
        <w:t>93</w:t>
      </w:r>
      <w:r w:rsidR="00531736">
        <w:rPr>
          <w:snapToGrid w:val="0"/>
          <w:sz w:val="22"/>
          <w:szCs w:val="22"/>
        </w:rPr>
        <w:t>9</w:t>
      </w:r>
      <w:r w:rsidRPr="00405341" w:rsidR="00531736">
        <w:rPr>
          <w:snapToGrid w:val="0"/>
          <w:sz w:val="22"/>
          <w:szCs w:val="22"/>
        </w:rPr>
        <w:t xml:space="preserve"> </w:t>
      </w:r>
      <w:r w:rsidRPr="00405341" w:rsidR="000E4519">
        <w:rPr>
          <w:snapToGrid w:val="0"/>
          <w:sz w:val="22"/>
          <w:szCs w:val="22"/>
        </w:rPr>
        <w:t xml:space="preserve">of the Commission’s rules, 47 CFR </w:t>
      </w:r>
      <w:r w:rsidRPr="007B66F5" w:rsidR="000E4519">
        <w:rPr>
          <w:snapToGrid w:val="0"/>
          <w:sz w:val="22"/>
          <w:szCs w:val="22"/>
        </w:rPr>
        <w:t xml:space="preserve">§§ </w:t>
      </w:r>
      <w:r w:rsidR="000E4519">
        <w:rPr>
          <w:snapToGrid w:val="0"/>
          <w:sz w:val="22"/>
          <w:szCs w:val="22"/>
        </w:rPr>
        <w:t>1.</w:t>
      </w:r>
      <w:r w:rsidR="009B0E11">
        <w:rPr>
          <w:snapToGrid w:val="0"/>
          <w:sz w:val="22"/>
          <w:szCs w:val="22"/>
        </w:rPr>
        <w:t>41</w:t>
      </w:r>
      <w:r w:rsidR="000E4519">
        <w:rPr>
          <w:snapToGrid w:val="0"/>
          <w:sz w:val="22"/>
          <w:szCs w:val="22"/>
        </w:rPr>
        <w:t xml:space="preserve">, </w:t>
      </w:r>
      <w:r w:rsidRPr="00405341" w:rsidR="000E4519">
        <w:rPr>
          <w:snapToGrid w:val="0"/>
          <w:sz w:val="22"/>
          <w:szCs w:val="22"/>
        </w:rPr>
        <w:t>1.</w:t>
      </w:r>
      <w:r w:rsidRPr="00405341" w:rsidR="00531736">
        <w:rPr>
          <w:snapToGrid w:val="0"/>
          <w:sz w:val="22"/>
          <w:szCs w:val="22"/>
        </w:rPr>
        <w:t>93</w:t>
      </w:r>
      <w:r w:rsidR="00531736">
        <w:rPr>
          <w:snapToGrid w:val="0"/>
          <w:sz w:val="22"/>
          <w:szCs w:val="22"/>
        </w:rPr>
        <w:t>9</w:t>
      </w:r>
      <w:r w:rsidRPr="00405341" w:rsidR="000E4519">
        <w:rPr>
          <w:snapToGrid w:val="0"/>
          <w:sz w:val="22"/>
          <w:szCs w:val="22"/>
        </w:rPr>
        <w:t xml:space="preserve">, </w:t>
      </w:r>
      <w:r w:rsidR="004304BA">
        <w:rPr>
          <w:snapToGrid w:val="0"/>
          <w:sz w:val="22"/>
          <w:szCs w:val="22"/>
        </w:rPr>
        <w:t xml:space="preserve">that </w:t>
      </w:r>
      <w:r w:rsidR="00F6370B">
        <w:rPr>
          <w:snapToGrid w:val="0"/>
          <w:sz w:val="22"/>
          <w:szCs w:val="22"/>
        </w:rPr>
        <w:t xml:space="preserve">the </w:t>
      </w:r>
      <w:r w:rsidRPr="004304BA" w:rsidR="004304BA">
        <w:rPr>
          <w:snapToGrid w:val="0"/>
          <w:sz w:val="22"/>
          <w:szCs w:val="22"/>
        </w:rPr>
        <w:t xml:space="preserve">Petition to Deny, or in the Alternative Section 1.41 Request </w:t>
      </w:r>
      <w:r w:rsidR="004304BA">
        <w:rPr>
          <w:snapToGrid w:val="0"/>
          <w:sz w:val="22"/>
          <w:szCs w:val="22"/>
        </w:rPr>
        <w:t xml:space="preserve">filed against </w:t>
      </w:r>
      <w:r w:rsidR="00084ACB">
        <w:rPr>
          <w:sz w:val="22"/>
          <w:szCs w:val="22"/>
        </w:rPr>
        <w:t xml:space="preserve">application </w:t>
      </w:r>
      <w:r w:rsidR="004304BA">
        <w:rPr>
          <w:snapToGrid w:val="0"/>
          <w:sz w:val="22"/>
          <w:szCs w:val="22"/>
        </w:rPr>
        <w:t xml:space="preserve">FCC File No. 0004192238 on May 12, 2010, and the </w:t>
      </w:r>
      <w:r w:rsidRPr="004304BA" w:rsidR="004304BA">
        <w:rPr>
          <w:snapToGrid w:val="0"/>
          <w:sz w:val="22"/>
          <w:szCs w:val="22"/>
        </w:rPr>
        <w:t xml:space="preserve">Petition to Dismiss, Petition to Deny or in the Alternative Section 1.41 Request filed </w:t>
      </w:r>
      <w:r w:rsidR="004304BA">
        <w:rPr>
          <w:snapToGrid w:val="0"/>
          <w:sz w:val="22"/>
          <w:szCs w:val="22"/>
        </w:rPr>
        <w:t xml:space="preserve">against </w:t>
      </w:r>
      <w:r w:rsidR="00084ACB">
        <w:rPr>
          <w:sz w:val="22"/>
          <w:szCs w:val="22"/>
        </w:rPr>
        <w:t xml:space="preserve">application </w:t>
      </w:r>
      <w:r w:rsidR="004304BA">
        <w:rPr>
          <w:snapToGrid w:val="0"/>
          <w:sz w:val="22"/>
          <w:szCs w:val="22"/>
        </w:rPr>
        <w:t xml:space="preserve">FCC File No. 0006967374 on </w:t>
      </w:r>
      <w:r w:rsidRPr="004304BA" w:rsidR="004304BA">
        <w:rPr>
          <w:snapToGrid w:val="0"/>
          <w:sz w:val="22"/>
          <w:szCs w:val="22"/>
        </w:rPr>
        <w:t>Oct</w:t>
      </w:r>
      <w:r w:rsidR="004304BA">
        <w:rPr>
          <w:snapToGrid w:val="0"/>
          <w:sz w:val="22"/>
          <w:szCs w:val="22"/>
        </w:rPr>
        <w:t>ober 8, 2015, ARE DENIED.</w:t>
      </w:r>
    </w:p>
    <w:p w:rsidR="00375045" w:rsidP="00A80FCE">
      <w:pPr>
        <w:pStyle w:val="ParaNum"/>
        <w:numPr>
          <w:ilvl w:val="0"/>
          <w:numId w:val="7"/>
        </w:numPr>
        <w:tabs>
          <w:tab w:val="left" w:pos="1440"/>
        </w:tabs>
        <w:ind w:left="0" w:firstLine="720"/>
        <w:rPr>
          <w:sz w:val="22"/>
          <w:szCs w:val="22"/>
        </w:rPr>
      </w:pPr>
      <w:r w:rsidRPr="000543C9">
        <w:rPr>
          <w:snapToGrid w:val="0"/>
          <w:sz w:val="22"/>
          <w:szCs w:val="22"/>
        </w:rPr>
        <w:t xml:space="preserve">IT IS FURTHER ORDERED that, </w:t>
      </w:r>
      <w:r w:rsidRPr="00E456AB">
        <w:rPr>
          <w:sz w:val="22"/>
          <w:szCs w:val="22"/>
        </w:rPr>
        <w:t>pursuant to sections 4(i) and 309(d)</w:t>
      </w:r>
      <w:r w:rsidRPr="004A4C57">
        <w:rPr>
          <w:sz w:val="22"/>
          <w:szCs w:val="22"/>
        </w:rPr>
        <w:t xml:space="preserve"> of the Communications Act of 1934, as amended, 47 U.S.C. §§ 154(i), 309(d), and sections 1.41 and 1.939 of the Commission’s Rules, 47 CFR §§ 1.41, 1.939, </w:t>
      </w:r>
      <w:r w:rsidRPr="00405341" w:rsidR="000E4519">
        <w:rPr>
          <w:snapToGrid w:val="0"/>
          <w:sz w:val="22"/>
          <w:szCs w:val="22"/>
        </w:rPr>
        <w:t xml:space="preserve">the </w:t>
      </w:r>
      <w:r w:rsidRPr="000E4519" w:rsidR="000E4519">
        <w:rPr>
          <w:snapToGrid w:val="0"/>
          <w:sz w:val="22"/>
          <w:szCs w:val="22"/>
        </w:rPr>
        <w:t>Motion for Corrections and Explanations and Petition for Reconsideration in the Alternative and Conditional Petition to Deny</w:t>
      </w:r>
      <w:r w:rsidR="000E4519">
        <w:rPr>
          <w:snapToGrid w:val="0"/>
          <w:sz w:val="22"/>
          <w:szCs w:val="22"/>
        </w:rPr>
        <w:t xml:space="preserve"> filed against</w:t>
      </w:r>
      <w:r w:rsidRPr="000E4519" w:rsidR="000E4519">
        <w:rPr>
          <w:snapToGrid w:val="0"/>
          <w:sz w:val="22"/>
          <w:szCs w:val="22"/>
        </w:rPr>
        <w:t xml:space="preserve"> </w:t>
      </w:r>
      <w:r w:rsidR="00084ACB">
        <w:rPr>
          <w:sz w:val="22"/>
          <w:szCs w:val="22"/>
        </w:rPr>
        <w:t xml:space="preserve">applications </w:t>
      </w:r>
      <w:r w:rsidRPr="000E4519" w:rsidR="000E4519">
        <w:rPr>
          <w:snapToGrid w:val="0"/>
          <w:sz w:val="22"/>
          <w:szCs w:val="22"/>
        </w:rPr>
        <w:t xml:space="preserve">FCC File Nos. 0004030479, 0004193328, 0004315013, 0004430505, 0004507921, 0004604962, 0005224980, </w:t>
      </w:r>
      <w:r w:rsidR="000E4519">
        <w:rPr>
          <w:snapToGrid w:val="0"/>
          <w:sz w:val="22"/>
          <w:szCs w:val="22"/>
        </w:rPr>
        <w:t xml:space="preserve">and </w:t>
      </w:r>
      <w:r w:rsidRPr="000E4519" w:rsidR="000E4519">
        <w:rPr>
          <w:snapToGrid w:val="0"/>
          <w:sz w:val="22"/>
          <w:szCs w:val="22"/>
        </w:rPr>
        <w:t>0006967374</w:t>
      </w:r>
      <w:r w:rsidRPr="00405341" w:rsidR="000E4519">
        <w:rPr>
          <w:snapToGrid w:val="0"/>
          <w:sz w:val="22"/>
          <w:szCs w:val="22"/>
        </w:rPr>
        <w:t xml:space="preserve"> on </w:t>
      </w:r>
      <w:r w:rsidR="000E4519">
        <w:rPr>
          <w:snapToGrid w:val="0"/>
          <w:sz w:val="22"/>
          <w:szCs w:val="22"/>
        </w:rPr>
        <w:t xml:space="preserve">August 9, 2017, </w:t>
      </w:r>
      <w:r w:rsidR="004304BA">
        <w:rPr>
          <w:snapToGrid w:val="0"/>
          <w:sz w:val="22"/>
          <w:szCs w:val="22"/>
        </w:rPr>
        <w:t>IS</w:t>
      </w:r>
      <w:r w:rsidR="000E4519">
        <w:rPr>
          <w:snapToGrid w:val="0"/>
          <w:sz w:val="22"/>
          <w:szCs w:val="22"/>
        </w:rPr>
        <w:t xml:space="preserve"> DISMISSED</w:t>
      </w:r>
      <w:r w:rsidR="009B0E11">
        <w:rPr>
          <w:snapToGrid w:val="0"/>
          <w:sz w:val="22"/>
          <w:szCs w:val="22"/>
        </w:rPr>
        <w:t xml:space="preserve"> as moot</w:t>
      </w:r>
      <w:r w:rsidR="000E4519">
        <w:rPr>
          <w:snapToGrid w:val="0"/>
        </w:rPr>
        <w:t xml:space="preserve">. </w:t>
      </w:r>
    </w:p>
    <w:p w:rsidR="004304BA" w:rsidP="00A80FCE">
      <w:pPr>
        <w:pStyle w:val="ParaNum"/>
        <w:numPr>
          <w:ilvl w:val="0"/>
          <w:numId w:val="7"/>
        </w:numPr>
        <w:tabs>
          <w:tab w:val="left" w:pos="1440"/>
        </w:tabs>
        <w:ind w:left="0" w:firstLine="720"/>
        <w:rPr>
          <w:sz w:val="22"/>
          <w:szCs w:val="22"/>
        </w:rPr>
      </w:pPr>
      <w:bookmarkStart w:id="7" w:name="_Hlk503351768"/>
      <w:r w:rsidRPr="000543C9">
        <w:rPr>
          <w:snapToGrid w:val="0"/>
          <w:sz w:val="22"/>
          <w:szCs w:val="22"/>
        </w:rPr>
        <w:t xml:space="preserve">IT IS FURTHER ORDERED that, </w:t>
      </w:r>
      <w:r w:rsidRPr="00E456AB" w:rsidR="000E4519">
        <w:rPr>
          <w:sz w:val="22"/>
          <w:szCs w:val="22"/>
        </w:rPr>
        <w:t>pursuant to sections 4(i) and 309(d)</w:t>
      </w:r>
      <w:r w:rsidRPr="004A4C57" w:rsidR="000E4519">
        <w:rPr>
          <w:sz w:val="22"/>
          <w:szCs w:val="22"/>
        </w:rPr>
        <w:t xml:space="preserve"> of the Communications Act of 1934, as amended, 47 U.S.C. §§ 154(i), 309(d), and sections 1.41 and 1.939 of the Commission’s Rules, 47 CFR §§ 1.41, 1.939, </w:t>
      </w:r>
      <w:bookmarkEnd w:id="7"/>
      <w:r w:rsidRPr="004A4C57" w:rsidR="000E4519">
        <w:rPr>
          <w:sz w:val="22"/>
          <w:szCs w:val="22"/>
        </w:rPr>
        <w:t>that the Petition to Deny or In the Alternative Petition for Relief Under Sections 1.41, 1.2 and Other Rules</w:t>
      </w:r>
      <w:r w:rsidR="000E4519">
        <w:rPr>
          <w:sz w:val="22"/>
          <w:szCs w:val="22"/>
        </w:rPr>
        <w:t xml:space="preserve"> filed against FCC File Nos. </w:t>
      </w:r>
      <w:r w:rsidR="000E4519">
        <w:rPr>
          <w:spacing w:val="-2"/>
          <w:sz w:val="22"/>
          <w:szCs w:val="22"/>
        </w:rPr>
        <w:t xml:space="preserve">0004030479, 0004193328, 0004430505, 0004507921, 0004604962, 0005224980, and 0006967374 on August 16, 2017, </w:t>
      </w:r>
      <w:r w:rsidR="00084ACB">
        <w:rPr>
          <w:spacing w:val="-2"/>
          <w:sz w:val="22"/>
          <w:szCs w:val="22"/>
        </w:rPr>
        <w:t>IS</w:t>
      </w:r>
      <w:r w:rsidR="000E4519">
        <w:rPr>
          <w:sz w:val="22"/>
          <w:szCs w:val="22"/>
        </w:rPr>
        <w:t xml:space="preserve"> DISMISSED</w:t>
      </w:r>
      <w:r>
        <w:rPr>
          <w:sz w:val="22"/>
          <w:szCs w:val="22"/>
        </w:rPr>
        <w:t>.</w:t>
      </w:r>
    </w:p>
    <w:p w:rsidR="00882825" w:rsidRPr="00251A17" w:rsidP="00A80FCE">
      <w:pPr>
        <w:pStyle w:val="ParaNum"/>
        <w:numPr>
          <w:ilvl w:val="0"/>
          <w:numId w:val="7"/>
        </w:numPr>
        <w:tabs>
          <w:tab w:val="left" w:pos="1440"/>
        </w:tabs>
        <w:ind w:left="0" w:firstLine="720"/>
        <w:rPr>
          <w:sz w:val="22"/>
          <w:szCs w:val="22"/>
        </w:rPr>
      </w:pPr>
      <w:r>
        <w:rPr>
          <w:sz w:val="22"/>
          <w:szCs w:val="22"/>
        </w:rPr>
        <w:t xml:space="preserve">IT IS FURTHER ORDERED that </w:t>
      </w:r>
      <w:r w:rsidR="001231A2">
        <w:rPr>
          <w:sz w:val="22"/>
          <w:szCs w:val="22"/>
        </w:rPr>
        <w:t xml:space="preserve">applications FCC File Nos. </w:t>
      </w:r>
      <w:r w:rsidR="001231A2">
        <w:rPr>
          <w:spacing w:val="-2"/>
          <w:sz w:val="22"/>
          <w:szCs w:val="22"/>
        </w:rPr>
        <w:t xml:space="preserve">0004030479, 0004193328, 0004430505, 0004507921, 0004604962, 0005224980, and 0006967374 SHALL BE PROCESSED in accordance with this </w:t>
      </w:r>
      <w:r w:rsidR="001231A2">
        <w:rPr>
          <w:i/>
          <w:spacing w:val="-2"/>
          <w:sz w:val="22"/>
          <w:szCs w:val="22"/>
        </w:rPr>
        <w:t>Order</w:t>
      </w:r>
      <w:r w:rsidR="001231A2">
        <w:rPr>
          <w:spacing w:val="-2"/>
          <w:sz w:val="22"/>
          <w:szCs w:val="22"/>
        </w:rPr>
        <w:t xml:space="preserve"> and the Commission’s rules</w:t>
      </w:r>
      <w:r w:rsidR="000E4519">
        <w:rPr>
          <w:sz w:val="22"/>
          <w:szCs w:val="22"/>
        </w:rPr>
        <w:t>.</w:t>
      </w:r>
    </w:p>
    <w:p w:rsidR="00A3106C" w:rsidRPr="00251A17" w:rsidP="00D47772">
      <w:pPr>
        <w:pStyle w:val="ParaNum"/>
        <w:numPr>
          <w:ilvl w:val="0"/>
          <w:numId w:val="7"/>
        </w:numPr>
        <w:tabs>
          <w:tab w:val="left" w:pos="1440"/>
        </w:tabs>
        <w:ind w:left="0" w:firstLine="720"/>
        <w:rPr>
          <w:sz w:val="22"/>
          <w:szCs w:val="22"/>
        </w:rPr>
      </w:pPr>
      <w:r w:rsidRPr="00251A17">
        <w:rPr>
          <w:sz w:val="22"/>
          <w:szCs w:val="22"/>
        </w:rPr>
        <w:t>Th</w:t>
      </w:r>
      <w:r w:rsidR="000E4519">
        <w:rPr>
          <w:sz w:val="22"/>
          <w:szCs w:val="22"/>
        </w:rPr>
        <w:t>ese</w:t>
      </w:r>
      <w:r w:rsidRPr="00251A17">
        <w:rPr>
          <w:sz w:val="22"/>
          <w:szCs w:val="22"/>
        </w:rPr>
        <w:t xml:space="preserve"> action</w:t>
      </w:r>
      <w:r w:rsidR="000E4519">
        <w:rPr>
          <w:sz w:val="22"/>
          <w:szCs w:val="22"/>
        </w:rPr>
        <w:t>s</w:t>
      </w:r>
      <w:r w:rsidRPr="00251A17">
        <w:rPr>
          <w:sz w:val="22"/>
          <w:szCs w:val="22"/>
        </w:rPr>
        <w:t xml:space="preserve"> </w:t>
      </w:r>
      <w:r w:rsidR="00D47674">
        <w:rPr>
          <w:sz w:val="22"/>
          <w:szCs w:val="22"/>
        </w:rPr>
        <w:t>are</w:t>
      </w:r>
      <w:r w:rsidRPr="00251A17" w:rsidR="00D47674">
        <w:rPr>
          <w:sz w:val="22"/>
          <w:szCs w:val="22"/>
        </w:rPr>
        <w:t xml:space="preserve"> taken</w:t>
      </w:r>
      <w:r w:rsidRPr="00251A17">
        <w:rPr>
          <w:sz w:val="22"/>
          <w:szCs w:val="22"/>
        </w:rPr>
        <w:t xml:space="preserve"> under delegated authority pursuant to sections 0.131 and 0.331 of the Commission’s Rules, 47 CFR §§ 0.131, 0.331.</w:t>
      </w:r>
    </w:p>
    <w:p w:rsidR="00A3106C" w:rsidRPr="00251A17" w:rsidP="00A3106C">
      <w:pPr>
        <w:pStyle w:val="ParaNum"/>
        <w:tabs>
          <w:tab w:val="left" w:pos="1440"/>
        </w:tabs>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FEDERAL COMMUNICATIONS COMMISSION</w:t>
      </w:r>
    </w:p>
    <w:p w:rsidR="00A3106C" w:rsidRPr="00251A17" w:rsidP="00A3106C">
      <w:pPr>
        <w:pStyle w:val="ParaNum"/>
        <w:tabs>
          <w:tab w:val="left" w:pos="1440"/>
        </w:tabs>
        <w:rPr>
          <w:sz w:val="22"/>
          <w:szCs w:val="22"/>
        </w:rPr>
      </w:pPr>
    </w:p>
    <w:p w:rsidR="00A3106C" w:rsidRPr="00251A17" w:rsidP="00A3106C">
      <w:pPr>
        <w:pStyle w:val="ParaNum"/>
        <w:tabs>
          <w:tab w:val="left" w:pos="1440"/>
        </w:tabs>
        <w:rPr>
          <w:sz w:val="22"/>
          <w:szCs w:val="22"/>
        </w:rPr>
      </w:pP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Scot Stone</w:t>
      </w: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Deputy Chief, Mobility Division</w:t>
      </w:r>
    </w:p>
    <w:p w:rsidR="00A3106C" w:rsidRPr="00251A17" w:rsidP="00A3106C">
      <w:pPr>
        <w:pStyle w:val="ParaNum"/>
        <w:tabs>
          <w:tab w:val="left" w:pos="1440"/>
        </w:tabs>
        <w:spacing w:after="0"/>
        <w:rPr>
          <w:sz w:val="22"/>
          <w:szCs w:val="22"/>
        </w:rPr>
      </w:pPr>
      <w:r w:rsidRPr="00251A17">
        <w:rPr>
          <w:sz w:val="22"/>
          <w:szCs w:val="22"/>
        </w:rPr>
        <w:tab/>
      </w:r>
      <w:r w:rsidRPr="00251A17">
        <w:rPr>
          <w:sz w:val="22"/>
          <w:szCs w:val="22"/>
        </w:rPr>
        <w:tab/>
      </w:r>
      <w:r w:rsidRPr="00251A17">
        <w:rPr>
          <w:sz w:val="22"/>
          <w:szCs w:val="22"/>
        </w:rPr>
        <w:tab/>
      </w:r>
      <w:r w:rsidRPr="00251A17">
        <w:rPr>
          <w:sz w:val="22"/>
          <w:szCs w:val="22"/>
        </w:rPr>
        <w:tab/>
      </w:r>
      <w:r w:rsidRPr="00251A17">
        <w:rPr>
          <w:sz w:val="22"/>
          <w:szCs w:val="22"/>
        </w:rPr>
        <w:tab/>
        <w:t>Wireless Telecommunications Bureau</w:t>
      </w:r>
    </w:p>
    <w:p w:rsidR="00A3106C" w:rsidRPr="00251A17" w:rsidP="00A3106C">
      <w:pPr>
        <w:pStyle w:val="ParaNum"/>
        <w:tabs>
          <w:tab w:val="left" w:pos="1440"/>
        </w:tabs>
        <w:rPr>
          <w:sz w:val="22"/>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19" w:rsidP="0055614C">
    <w:pPr>
      <w:pStyle w:val="Footer"/>
      <w:framePr w:wrap="around" w:vAnchor="text" w:hAnchor="margin" w:xAlign="center" w:y="1"/>
    </w:pPr>
    <w:r>
      <w:fldChar w:fldCharType="begin"/>
    </w:r>
    <w:r>
      <w:instrText xml:space="preserve">PAGE  </w:instrText>
    </w:r>
    <w:r>
      <w:fldChar w:fldCharType="separate"/>
    </w:r>
    <w:r>
      <w:fldChar w:fldCharType="end"/>
    </w:r>
  </w:p>
  <w:p w:rsidR="000E4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19" w:rsidP="0055614C">
    <w:pPr>
      <w:pStyle w:val="Footer"/>
      <w:framePr w:wrap="around" w:vAnchor="text" w:hAnchor="margin" w:xAlign="center" w:y="1"/>
    </w:pPr>
    <w:r>
      <w:fldChar w:fldCharType="begin"/>
    </w:r>
    <w:r>
      <w:instrText xml:space="preserve">PAGE  </w:instrText>
    </w:r>
    <w:r>
      <w:fldChar w:fldCharType="separate"/>
    </w:r>
    <w:r w:rsidR="009874CB">
      <w:rPr>
        <w:noProof/>
      </w:rPr>
      <w:t>2</w:t>
    </w:r>
    <w:r>
      <w:fldChar w:fldCharType="end"/>
    </w:r>
  </w:p>
  <w:p w:rsidR="000E4519">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1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7334">
      <w:r>
        <w:separator/>
      </w:r>
    </w:p>
  </w:footnote>
  <w:footnote w:type="continuationSeparator" w:id="1">
    <w:p w:rsidR="00297334" w:rsidP="00C721AC">
      <w:pPr>
        <w:spacing w:before="120"/>
        <w:rPr>
          <w:sz w:val="20"/>
        </w:rPr>
      </w:pPr>
      <w:r>
        <w:rPr>
          <w:sz w:val="20"/>
        </w:rPr>
        <w:t xml:space="preserve">(Continued from previous page)  </w:t>
      </w:r>
      <w:r>
        <w:rPr>
          <w:sz w:val="20"/>
        </w:rPr>
        <w:separator/>
      </w:r>
    </w:p>
  </w:footnote>
  <w:footnote w:type="continuationNotice" w:id="2">
    <w:p w:rsidR="00297334" w:rsidRPr="00530019" w:rsidP="00530019">
      <w:pPr>
        <w:pStyle w:val="Footer"/>
      </w:pPr>
    </w:p>
  </w:footnote>
  <w:footnote w:id="3">
    <w:p w:rsidR="00307D19">
      <w:pPr>
        <w:pStyle w:val="FootnoteText"/>
      </w:pPr>
      <w:r>
        <w:rPr>
          <w:rStyle w:val="FootnoteReference"/>
        </w:rPr>
        <w:footnoteRef/>
      </w:r>
      <w:r>
        <w:t xml:space="preserve"> </w:t>
      </w:r>
      <w:r w:rsidR="008223CA">
        <w:t>The term “CII Companies” incorporates the acronym for “Critical Infrastructure Industry,” and is used here to collectively refer to the proposed assignees of Choctaw’s spectrum</w:t>
      </w:r>
      <w:r w:rsidR="00A8094A">
        <w:t xml:space="preserve">.  </w:t>
      </w:r>
    </w:p>
  </w:footnote>
  <w:footnote w:id="4">
    <w:p w:rsidR="0050199A">
      <w:pPr>
        <w:pStyle w:val="FootnoteText"/>
      </w:pPr>
      <w:r>
        <w:rPr>
          <w:rStyle w:val="FootnoteReference"/>
        </w:rPr>
        <w:footnoteRef/>
      </w:r>
      <w:r>
        <w:t xml:space="preserve"> </w:t>
      </w:r>
      <w:bookmarkStart w:id="4" w:name="_Hlk503352123"/>
      <w:r>
        <w:t>Petition of Warren Havens, Environmentel LLC, Verde Systems LLC, Intelligent Transportation &amp; Monitoring LLC, Telesaurus Holdings GB LLC, and Skybridge Spectrum Foundation to Deny, or in the Alternative Section 1.41 Request (filed May 12, 2010)</w:t>
      </w:r>
      <w:bookmarkEnd w:id="4"/>
      <w:r>
        <w:t>.</w:t>
      </w:r>
    </w:p>
  </w:footnote>
  <w:footnote w:id="5">
    <w:p w:rsidR="0050199A">
      <w:pPr>
        <w:pStyle w:val="FootnoteText"/>
      </w:pPr>
      <w:r>
        <w:rPr>
          <w:rStyle w:val="FootnoteReference"/>
        </w:rPr>
        <w:footnoteRef/>
      </w:r>
      <w:r>
        <w:t xml:space="preserve"> </w:t>
      </w:r>
      <w:r w:rsidR="009C308F">
        <w:t>Petition of Warren Havens, Environmentel LLC, Environmentel-2 LLC, Verde Systems LLC, Intelligent Transportation &amp; Monitoring LLC, Telesaurus Holdings GB LLC, V2G LLC, and Skybridge Spectrum Foundation to Dismiss, Petition to Deny or in the Alternative Section 1.41 Request (filed Oct. 8, 2015).</w:t>
      </w:r>
    </w:p>
  </w:footnote>
  <w:footnote w:id="6">
    <w:p w:rsidR="009C308F">
      <w:pPr>
        <w:pStyle w:val="FootnoteText"/>
      </w:pPr>
      <w:r>
        <w:rPr>
          <w:rStyle w:val="FootnoteReference"/>
        </w:rPr>
        <w:footnoteRef/>
      </w:r>
      <w:r>
        <w:t xml:space="preserve"> Petition of Warren Havens and Polaris PNT PBC to Deny or in the Alternative Petition for Relief under Sections 1.41, 1.2 and Other Rules (filed Aug. 16, 2017) (2017 Petition).  The 2017 Petition states</w:t>
      </w:r>
      <w:r w:rsidR="002D2723">
        <w:t xml:space="preserve">, </w:t>
      </w:r>
      <w:r w:rsidR="002D2723">
        <w:rPr>
          <w:i/>
        </w:rPr>
        <w:t>see id.</w:t>
      </w:r>
      <w:r w:rsidR="002D2723">
        <w:t xml:space="preserve"> at 2,</w:t>
      </w:r>
      <w:r>
        <w:t xml:space="preserve"> that it supersedes and replaces an earlier </w:t>
      </w:r>
      <w:r w:rsidR="002D2723">
        <w:t>Motion for Corrections and Explanations and Petition for Reconsideration in the Alternative and Conditional Petition to Den</w:t>
      </w:r>
      <w:r w:rsidR="00800BD8">
        <w:t>y (filed Aug. 9, 2017) (</w:t>
      </w:r>
      <w:r w:rsidR="0007499F">
        <w:t xml:space="preserve">Correction </w:t>
      </w:r>
      <w:r w:rsidR="00800BD8">
        <w:t>Motion)</w:t>
      </w:r>
      <w:r w:rsidR="002D2723">
        <w:t xml:space="preserve"> </w:t>
      </w:r>
      <w:r>
        <w:t>filed by the same parties</w:t>
      </w:r>
      <w:r w:rsidR="002D2723">
        <w:t xml:space="preserve"> against all of the above-captioned applications</w:t>
      </w:r>
      <w:r>
        <w:t xml:space="preserve">.  We therefore </w:t>
      </w:r>
      <w:r w:rsidR="00CB4F39">
        <w:t xml:space="preserve">find </w:t>
      </w:r>
      <w:r w:rsidR="00EC4D63">
        <w:t xml:space="preserve">that </w:t>
      </w:r>
      <w:r>
        <w:t xml:space="preserve">the </w:t>
      </w:r>
      <w:r w:rsidR="0007499F">
        <w:t xml:space="preserve">Correction </w:t>
      </w:r>
      <w:r w:rsidR="002D2723">
        <w:t>Motion</w:t>
      </w:r>
      <w:r w:rsidR="00CB4F39">
        <w:t xml:space="preserve"> is moot</w:t>
      </w:r>
      <w:r>
        <w:t xml:space="preserve">. </w:t>
      </w:r>
    </w:p>
  </w:footnote>
  <w:footnote w:id="7">
    <w:p w:rsidR="009644CA">
      <w:pPr>
        <w:pStyle w:val="FootnoteText"/>
      </w:pPr>
      <w:r>
        <w:rPr>
          <w:rStyle w:val="FootnoteReference"/>
        </w:rPr>
        <w:footnoteRef/>
      </w:r>
      <w:r>
        <w:t xml:space="preserve"> References herein to MCLM also include </w:t>
      </w:r>
      <w:r w:rsidRPr="009644CA">
        <w:t>Maritime Communications/Land Mobile, LLC</w:t>
      </w:r>
      <w:r w:rsidR="00274D15">
        <w:t>, Debtor-in-Possession</w:t>
      </w:r>
      <w:r w:rsidR="007B6B33">
        <w:t>, after the company filed for Chapter 11 protection under the United States Bankruptcy Code</w:t>
      </w:r>
      <w:r w:rsidR="00274D15">
        <w:t>, as discussed below</w:t>
      </w:r>
      <w:r w:rsidR="007B6B33">
        <w:t>.</w:t>
      </w:r>
    </w:p>
  </w:footnote>
  <w:footnote w:id="8">
    <w:p w:rsidR="00274D15" w:rsidP="00274D15">
      <w:pPr>
        <w:pStyle w:val="FootnoteText"/>
      </w:pPr>
      <w:r>
        <w:rPr>
          <w:rStyle w:val="FootnoteReference"/>
        </w:rPr>
        <w:footnoteRef/>
      </w:r>
      <w:r>
        <w:t xml:space="preserve"> </w:t>
      </w:r>
      <w:r w:rsidRPr="00A5789D">
        <w:t xml:space="preserve">The AMTS service was </w:t>
      </w:r>
      <w:r>
        <w:t xml:space="preserve">initially intended primarily for maritime communications </w:t>
      </w:r>
      <w:r w:rsidRPr="00A5789D">
        <w:t>as an alternative to traditional VHF Public Coast station service</w:t>
      </w:r>
      <w:r>
        <w:t>, but t</w:t>
      </w:r>
      <w:r w:rsidRPr="00A5789D">
        <w:t>he Commission later amended the rules to permit public correspondence service and private mobile radio service to fixed and mobile units on land.</w:t>
      </w:r>
      <w:r>
        <w:t xml:space="preserve">  </w:t>
      </w:r>
      <w:r>
        <w:rPr>
          <w:i/>
        </w:rPr>
        <w:t>S</w:t>
      </w:r>
      <w:r w:rsidRPr="000B19E0">
        <w:rPr>
          <w:i/>
        </w:rPr>
        <w:t xml:space="preserve">ee </w:t>
      </w:r>
      <w:r>
        <w:t xml:space="preserve">47 CFR § 80.123; </w:t>
      </w:r>
      <w:r w:rsidRPr="007A05BA">
        <w:rPr>
          <w:i/>
        </w:rPr>
        <w:t>MariTEL, Inc. and Mobex Network Services, LLC</w:t>
      </w:r>
      <w:r>
        <w:t xml:space="preserve">, Report and Order, 22 FCC Rcd 8971 (2007), </w:t>
      </w:r>
      <w:r>
        <w:rPr>
          <w:i/>
        </w:rPr>
        <w:t>subsequent history omitted</w:t>
      </w:r>
      <w:r>
        <w:t xml:space="preserve">.  </w:t>
      </w:r>
    </w:p>
  </w:footnote>
  <w:footnote w:id="9">
    <w:p w:rsidR="000E4519">
      <w:pPr>
        <w:pStyle w:val="FootnoteText"/>
      </w:pPr>
      <w:r>
        <w:rPr>
          <w:rStyle w:val="FootnoteReference"/>
        </w:rPr>
        <w:footnoteRef/>
      </w:r>
      <w:r>
        <w:t xml:space="preserve"> </w:t>
      </w:r>
      <w:r>
        <w:rPr>
          <w:i/>
        </w:rPr>
        <w:t xml:space="preserve">See </w:t>
      </w:r>
      <w:r w:rsidRPr="007001ED">
        <w:rPr>
          <w:i/>
        </w:rPr>
        <w:t>Maritime Communications/Land Mobile, LLC</w:t>
      </w:r>
      <w:r w:rsidRPr="006D2742">
        <w:t>,</w:t>
      </w:r>
      <w:r>
        <w:rPr>
          <w:i/>
        </w:rPr>
        <w:t xml:space="preserve"> </w:t>
      </w:r>
      <w:r w:rsidRPr="007001ED">
        <w:t>Order on Reconsideration</w:t>
      </w:r>
      <w:r>
        <w:rPr>
          <w:i/>
        </w:rPr>
        <w:t xml:space="preserve">, </w:t>
      </w:r>
      <w:r w:rsidRPr="006D2742">
        <w:t>22 FCC Rcd 4780</w:t>
      </w:r>
      <w:r w:rsidR="000D3E05">
        <w:t>, 4781, n.35</w:t>
      </w:r>
      <w:r w:rsidRPr="006D2742">
        <w:t xml:space="preserve"> (WTB MD 2007</w:t>
      </w:r>
      <w:r>
        <w:t>)</w:t>
      </w:r>
      <w:r w:rsidR="0094724B">
        <w:t xml:space="preserve">, </w:t>
      </w:r>
      <w:r w:rsidR="0094724B">
        <w:rPr>
          <w:i/>
        </w:rPr>
        <w:t>review denied</w:t>
      </w:r>
      <w:r w:rsidR="0094724B">
        <w:t>, Memorandum Opinion and Order, 31 FCC Rcd 13729</w:t>
      </w:r>
      <w:r w:rsidRPr="007747BC" w:rsidR="0094724B">
        <w:t xml:space="preserve"> </w:t>
      </w:r>
      <w:r w:rsidR="0094724B">
        <w:t>(2016)</w:t>
      </w:r>
      <w:r w:rsidR="0094724B">
        <w:rPr>
          <w:i/>
        </w:rPr>
        <w:t>,</w:t>
      </w:r>
      <w:r w:rsidRPr="00D64F26" w:rsidR="0094724B">
        <w:rPr>
          <w:i/>
        </w:rPr>
        <w:t xml:space="preserve"> recon. pending</w:t>
      </w:r>
      <w:r w:rsidR="0094724B">
        <w:rPr>
          <w:i/>
        </w:rPr>
        <w:t>.</w:t>
      </w:r>
    </w:p>
  </w:footnote>
  <w:footnote w:id="10">
    <w:p w:rsidR="00B71AA4" w:rsidP="00B71AA4">
      <w:pPr>
        <w:pStyle w:val="FootnoteText"/>
      </w:pPr>
      <w:r>
        <w:rPr>
          <w:rStyle w:val="FootnoteReference"/>
        </w:rPr>
        <w:footnoteRef/>
      </w:r>
      <w:r>
        <w:t xml:space="preserve"> FCC File Nos. 0004193328 (filed Apr. 21, 2010) (assigning spectrum to Duquesne Light Company), 0004315013 (filed July 7, 2010) (assigning spectrum to Puget Sound Energy, Inc.).</w:t>
      </w:r>
    </w:p>
  </w:footnote>
  <w:footnote w:id="11">
    <w:p w:rsidR="00365495">
      <w:pPr>
        <w:pStyle w:val="FootnoteText"/>
      </w:pPr>
      <w:r>
        <w:rPr>
          <w:rStyle w:val="FootnoteReference"/>
        </w:rPr>
        <w:footnoteRef/>
      </w:r>
      <w:r>
        <w:t xml:space="preserve"> FCC File Nos. 0004030479 (filed Nov. 13, 2009) (assigning spectrum to EnCana Oil &amp; Gas (USA), Inc. (EnCana)), 0004430505 (filed Nov. 19, 2010) (assigning spectrum to Enbridge Energy Company, Inc.), 0004507921 (filed Dec. 8, 2010) (assigning spectrum to Dixie Electric Membership Corporation, Inc.), 0004604962 (filed Apr. 17, 2011) (assigning spectrum to EnCana).</w:t>
      </w:r>
    </w:p>
  </w:footnote>
  <w:footnote w:id="12">
    <w:p w:rsidR="009644CA">
      <w:pPr>
        <w:pStyle w:val="FootnoteText"/>
      </w:pPr>
      <w:r>
        <w:rPr>
          <w:rStyle w:val="FootnoteReference"/>
        </w:rPr>
        <w:footnoteRef/>
      </w:r>
      <w:r>
        <w:t xml:space="preserve"> </w:t>
      </w:r>
      <w:r w:rsidRPr="00D96635">
        <w:rPr>
          <w:i/>
        </w:rPr>
        <w:t>See, e.g., Jefferson Radio Corp. v. FCC</w:t>
      </w:r>
      <w:r>
        <w:t xml:space="preserve">, 340 F.2d 781, 783 (D.C. Cir. 1964); </w:t>
      </w:r>
      <w:r w:rsidRPr="00D96635">
        <w:rPr>
          <w:i/>
        </w:rPr>
        <w:t>Stereo Broadcasters, Inc. v. FCC</w:t>
      </w:r>
      <w:r>
        <w:t>, 652 F.2d 1026, 1030 (D.C. Cir. 1981).</w:t>
      </w:r>
    </w:p>
  </w:footnote>
  <w:footnote w:id="13">
    <w:p w:rsidR="004A52BD" w:rsidP="004A52BD">
      <w:pPr>
        <w:pStyle w:val="FootnoteText"/>
      </w:pPr>
      <w:r>
        <w:rPr>
          <w:rStyle w:val="FootnoteReference"/>
        </w:rPr>
        <w:footnoteRef/>
      </w:r>
      <w:r>
        <w:t xml:space="preserve"> </w:t>
      </w:r>
      <w:r w:rsidRPr="006F58CE">
        <w:rPr>
          <w:i/>
        </w:rPr>
        <w:t>See</w:t>
      </w:r>
      <w:r>
        <w:t xml:space="preserve"> </w:t>
      </w:r>
      <w:r w:rsidRPr="007001ED">
        <w:rPr>
          <w:i/>
        </w:rPr>
        <w:t>Maritime Communications/Land Mobile, LLC</w:t>
      </w:r>
      <w:r>
        <w:t xml:space="preserve">, </w:t>
      </w:r>
      <w:r w:rsidRPr="007001ED">
        <w:t>Order to Show Cause, Hearing Designation Order, and Notice of Opportunity for Hearing,</w:t>
      </w:r>
      <w:r w:rsidR="00A04822">
        <w:t xml:space="preserve"> 26 FCC Rcd 6520 (2011)</w:t>
      </w:r>
      <w:r>
        <w:t>.</w:t>
      </w:r>
    </w:p>
  </w:footnote>
  <w:footnote w:id="14">
    <w:p w:rsidR="000E4519">
      <w:pPr>
        <w:pStyle w:val="FootnoteText"/>
      </w:pPr>
      <w:r>
        <w:rPr>
          <w:rStyle w:val="FootnoteReference"/>
        </w:rPr>
        <w:footnoteRef/>
      </w:r>
      <w:r>
        <w:t xml:space="preserve"> </w:t>
      </w:r>
      <w:r w:rsidRPr="006D596C">
        <w:rPr>
          <w:i/>
        </w:rPr>
        <w:t>In re</w:t>
      </w:r>
      <w:r>
        <w:t xml:space="preserve"> </w:t>
      </w:r>
      <w:r w:rsidRPr="00CC4E11">
        <w:rPr>
          <w:i/>
        </w:rPr>
        <w:t>Maritime Communications</w:t>
      </w:r>
      <w:r>
        <w:rPr>
          <w:i/>
        </w:rPr>
        <w:t>/</w:t>
      </w:r>
      <w:r w:rsidRPr="00CC4E11">
        <w:rPr>
          <w:i/>
        </w:rPr>
        <w:t>Land Mobile, LLC</w:t>
      </w:r>
      <w:r>
        <w:t>, No. 11-13463-DWH (Bankr. N.D. Miss.).</w:t>
      </w:r>
    </w:p>
  </w:footnote>
  <w:footnote w:id="15">
    <w:p w:rsidR="000E4519">
      <w:pPr>
        <w:pStyle w:val="FootnoteText"/>
      </w:pPr>
      <w:r>
        <w:rPr>
          <w:rStyle w:val="FootnoteReference"/>
        </w:rPr>
        <w:footnoteRef/>
      </w:r>
      <w:r>
        <w:t xml:space="preserve"> </w:t>
      </w:r>
      <w:r w:rsidRPr="00087AAD">
        <w:rPr>
          <w:i/>
        </w:rPr>
        <w:t>See</w:t>
      </w:r>
      <w:r>
        <w:rPr>
          <w:i/>
        </w:rPr>
        <w:t>, e.g.,</w:t>
      </w:r>
      <w:r>
        <w:t xml:space="preserve"> </w:t>
      </w:r>
      <w:r w:rsidRPr="008D2943">
        <w:rPr>
          <w:i/>
        </w:rPr>
        <w:t>Second Thursday Corp</w:t>
      </w:r>
      <w:r>
        <w:t>.</w:t>
      </w:r>
      <w:r w:rsidRPr="008D2943">
        <w:rPr>
          <w:i/>
        </w:rPr>
        <w:t xml:space="preserve">, </w:t>
      </w:r>
      <w:r w:rsidRPr="008D2943">
        <w:t>Memorandum Opinion and Order,</w:t>
      </w:r>
      <w:r>
        <w:t xml:space="preserve"> 22 FCC 2d 515, 516, para. 5, </w:t>
      </w:r>
      <w:r w:rsidRPr="00087AAD">
        <w:rPr>
          <w:i/>
        </w:rPr>
        <w:t>recon. granted in part</w:t>
      </w:r>
      <w:r>
        <w:t xml:space="preserve">, </w:t>
      </w:r>
      <w:r w:rsidRPr="008D2943">
        <w:t>Memorandum Opinion and Order,</w:t>
      </w:r>
      <w:r>
        <w:t xml:space="preserve"> 25 FCC 2d 112 (1970).</w:t>
      </w:r>
    </w:p>
  </w:footnote>
  <w:footnote w:id="16">
    <w:p w:rsidR="007B6B33">
      <w:pPr>
        <w:pStyle w:val="FootnoteText"/>
      </w:pPr>
      <w:r>
        <w:rPr>
          <w:rStyle w:val="FootnoteReference"/>
        </w:rPr>
        <w:footnoteRef/>
      </w:r>
      <w:r>
        <w:t xml:space="preserve"> FCC File No. 0005224980 (filed July 5, 2012) (assigning spectrum to Shenandoah Valley Electric Cooperative).</w:t>
      </w:r>
    </w:p>
  </w:footnote>
  <w:footnote w:id="17">
    <w:p w:rsidR="004E7CD5" w:rsidP="004E7CD5">
      <w:pPr>
        <w:pStyle w:val="FootnoteText"/>
      </w:pPr>
      <w:r>
        <w:rPr>
          <w:rStyle w:val="FootnoteReference"/>
        </w:rPr>
        <w:footnoteRef/>
      </w:r>
      <w:r>
        <w:t xml:space="preserve"> FCC File No. 0005552500 (filed Jan. 23, 2013, amended Jan. 25, 2013).  </w:t>
      </w:r>
    </w:p>
  </w:footnote>
  <w:footnote w:id="18">
    <w:p w:rsidR="00CF0C48" w:rsidP="00CF0C48">
      <w:pPr>
        <w:pStyle w:val="FootnoteText"/>
      </w:pPr>
      <w:r>
        <w:rPr>
          <w:rStyle w:val="FootnoteReference"/>
        </w:rPr>
        <w:footnoteRef/>
      </w:r>
      <w:r>
        <w:t xml:space="preserve"> </w:t>
      </w:r>
      <w:r w:rsidRPr="00237A4C">
        <w:rPr>
          <w:i/>
        </w:rPr>
        <w:t>See</w:t>
      </w:r>
      <w:r>
        <w:t xml:space="preserve"> </w:t>
      </w:r>
      <w:r w:rsidRPr="0031368F">
        <w:rPr>
          <w:i/>
        </w:rPr>
        <w:t>Maritime Communications/Land Mobile, LLC, Debtor-in-Possession</w:t>
      </w:r>
      <w:r>
        <w:t xml:space="preserve">, </w:t>
      </w:r>
      <w:r w:rsidRPr="0031368F">
        <w:t>Memorandum Opinion and Order</w:t>
      </w:r>
      <w:r>
        <w:t>, 29 FCC Rcd 10871</w:t>
      </w:r>
      <w:r w:rsidR="007C632F">
        <w:t>, 10887, para. 40</w:t>
      </w:r>
      <w:r>
        <w:t xml:space="preserve"> (2014)</w:t>
      </w:r>
      <w:r w:rsidR="007C632F">
        <w:t xml:space="preserve">, </w:t>
      </w:r>
      <w:r w:rsidR="007C632F">
        <w:rPr>
          <w:i/>
        </w:rPr>
        <w:t>recon. granted</w:t>
      </w:r>
      <w:r w:rsidR="007C632F">
        <w:t xml:space="preserve">, </w:t>
      </w:r>
      <w:r w:rsidRPr="007747BC" w:rsidR="007C632F">
        <w:t>Order on Reconsideration and Memorandum Opinion and Orde</w:t>
      </w:r>
      <w:r w:rsidR="007C632F">
        <w:t>r, 31 FCC Rcd 13729</w:t>
      </w:r>
      <w:r w:rsidRPr="007747BC" w:rsidR="007C632F">
        <w:t xml:space="preserve"> </w:t>
      </w:r>
      <w:r w:rsidR="007C632F">
        <w:t>(2016)</w:t>
      </w:r>
      <w:r w:rsidR="007C632F">
        <w:rPr>
          <w:i/>
        </w:rPr>
        <w:t>,</w:t>
      </w:r>
      <w:r w:rsidRPr="00D64F26" w:rsidR="007C632F">
        <w:rPr>
          <w:i/>
        </w:rPr>
        <w:t xml:space="preserve"> recon. pending</w:t>
      </w:r>
      <w:r w:rsidRPr="00237A4C">
        <w:rPr>
          <w:i/>
        </w:rPr>
        <w:t>.</w:t>
      </w:r>
    </w:p>
  </w:footnote>
  <w:footnote w:id="19">
    <w:p w:rsidR="007B6B33" w:rsidP="007B6B33">
      <w:pPr>
        <w:pStyle w:val="FootnoteText"/>
      </w:pPr>
      <w:r>
        <w:rPr>
          <w:rStyle w:val="FootnoteReference"/>
        </w:rPr>
        <w:footnoteRef/>
      </w:r>
      <w:r>
        <w:t xml:space="preserve"> FCC File No. 000</w:t>
      </w:r>
      <w:r w:rsidR="00CF0C48">
        <w:t>6967374</w:t>
      </w:r>
      <w:r>
        <w:t xml:space="preserve"> (filed </w:t>
      </w:r>
      <w:r w:rsidR="00CF0C48">
        <w:t>Oct. 8</w:t>
      </w:r>
      <w:r>
        <w:t>, 201</w:t>
      </w:r>
      <w:r w:rsidR="00CF0C48">
        <w:t>5</w:t>
      </w:r>
      <w:r>
        <w:t xml:space="preserve">) (assigning spectrum to </w:t>
      </w:r>
      <w:r w:rsidR="00CF0C48">
        <w:t>Rappahannock</w:t>
      </w:r>
      <w:r>
        <w:t xml:space="preserve"> Electric Cooperative).</w:t>
      </w:r>
    </w:p>
  </w:footnote>
  <w:footnote w:id="20">
    <w:p w:rsidR="006B5D92" w:rsidP="006B5D92">
      <w:pPr>
        <w:pStyle w:val="FootnoteText"/>
      </w:pPr>
      <w:r>
        <w:rPr>
          <w:rStyle w:val="FootnoteReference"/>
        </w:rPr>
        <w:footnoteRef/>
      </w:r>
      <w:r>
        <w:t xml:space="preserve"> </w:t>
      </w:r>
      <w:r w:rsidRPr="00F64139">
        <w:rPr>
          <w:i/>
          <w:iCs/>
        </w:rPr>
        <w:t xml:space="preserve">See </w:t>
      </w:r>
      <w:r w:rsidRPr="00F64139">
        <w:rPr>
          <w:i/>
        </w:rPr>
        <w:t>Arnold Leong v. Warren Havens et al.</w:t>
      </w:r>
      <w:r w:rsidRPr="00F64139">
        <w:t xml:space="preserve">, Case No. 2002-070640, Order Appointing </w:t>
      </w:r>
      <w:r w:rsidRPr="00F64139">
        <w:rPr>
          <w:bCs/>
        </w:rPr>
        <w:t>Receiver</w:t>
      </w:r>
      <w:r w:rsidRPr="00F64139">
        <w:t xml:space="preserve"> After Hearing and Preliminary Injunction (</w:t>
      </w:r>
      <w:r>
        <w:t xml:space="preserve">Cal. Super. Ct. </w:t>
      </w:r>
      <w:r w:rsidRPr="00F64139">
        <w:t>Nov. 16, 2015)</w:t>
      </w:r>
      <w:r w:rsidR="00905E02">
        <w:t xml:space="preserve"> (</w:t>
      </w:r>
      <w:r w:rsidRPr="00905E02" w:rsidR="00905E02">
        <w:rPr>
          <w:i/>
        </w:rPr>
        <w:t>Receivership Order</w:t>
      </w:r>
      <w:r w:rsidR="00905E02">
        <w:t>)</w:t>
      </w:r>
      <w:r w:rsidRPr="00F64139">
        <w:t xml:space="preserve">. </w:t>
      </w:r>
      <w:r>
        <w:t xml:space="preserve"> </w:t>
      </w:r>
    </w:p>
  </w:footnote>
  <w:footnote w:id="21">
    <w:p w:rsidR="006B5D92" w:rsidP="006B5D92">
      <w:pPr>
        <w:pStyle w:val="FootnoteText"/>
      </w:pPr>
      <w:r>
        <w:rPr>
          <w:rStyle w:val="FootnoteReference"/>
        </w:rPr>
        <w:footnoteRef/>
      </w:r>
      <w:r>
        <w:t xml:space="preserve"> </w:t>
      </w:r>
      <w:r w:rsidRPr="0051011B">
        <w:rPr>
          <w:i/>
          <w:iCs/>
        </w:rPr>
        <w:t>See</w:t>
      </w:r>
      <w:r w:rsidRPr="0051011B">
        <w:t xml:space="preserve"> ULS File No</w:t>
      </w:r>
      <w:r>
        <w:t>s</w:t>
      </w:r>
      <w:r w:rsidRPr="0051011B">
        <w:t>.</w:t>
      </w:r>
      <w:r>
        <w:t xml:space="preserve"> 0007060862, 0007060898, 0007061808, 0007061828,</w:t>
      </w:r>
      <w:r w:rsidRPr="0051011B">
        <w:t xml:space="preserve"> 0007061847</w:t>
      </w:r>
      <w:r>
        <w:t>, 0007061898</w:t>
      </w:r>
      <w:r w:rsidRPr="0051011B">
        <w:t xml:space="preserve"> (</w:t>
      </w:r>
      <w:r>
        <w:t xml:space="preserve">all </w:t>
      </w:r>
      <w:r w:rsidRPr="0051011B">
        <w:t xml:space="preserve">filed Dec. 17, 2015).  </w:t>
      </w:r>
    </w:p>
  </w:footnote>
  <w:footnote w:id="22">
    <w:p w:rsidR="000E4519">
      <w:pPr>
        <w:pStyle w:val="FootnoteText"/>
      </w:pPr>
      <w:r>
        <w:rPr>
          <w:rStyle w:val="FootnoteReference"/>
        </w:rPr>
        <w:footnoteRef/>
      </w:r>
      <w:r>
        <w:t xml:space="preserve"> </w:t>
      </w:r>
      <w:r w:rsidRPr="007747BC">
        <w:rPr>
          <w:i/>
        </w:rPr>
        <w:t>See</w:t>
      </w:r>
      <w:r>
        <w:t xml:space="preserve"> </w:t>
      </w:r>
      <w:r w:rsidRPr="0031368F">
        <w:rPr>
          <w:i/>
        </w:rPr>
        <w:t>Maritime Communications/Land Mobile, LLC, Debtor-in-Possession</w:t>
      </w:r>
      <w:r>
        <w:rPr>
          <w:i/>
        </w:rPr>
        <w:t>,</w:t>
      </w:r>
      <w:r w:rsidRPr="00640223">
        <w:rPr>
          <w:i/>
        </w:rPr>
        <w:t xml:space="preserve"> </w:t>
      </w:r>
      <w:r w:rsidRPr="007747BC">
        <w:t>Order on Reconsideration and Memorandum Opinion and Orde</w:t>
      </w:r>
      <w:r w:rsidR="00E01536">
        <w:t>r</w:t>
      </w:r>
      <w:r>
        <w:t>, 31 FCC Rcd 13729</w:t>
      </w:r>
      <w:r w:rsidRPr="007747BC">
        <w:t xml:space="preserve"> </w:t>
      </w:r>
      <w:r>
        <w:t>(2016)</w:t>
      </w:r>
      <w:r>
        <w:rPr>
          <w:i/>
        </w:rPr>
        <w:t>,</w:t>
      </w:r>
      <w:r w:rsidRPr="00D64F26">
        <w:rPr>
          <w:i/>
        </w:rPr>
        <w:t xml:space="preserve"> recon. pending</w:t>
      </w:r>
      <w:r>
        <w:rPr>
          <w:i/>
        </w:rPr>
        <w:t>.</w:t>
      </w:r>
    </w:p>
  </w:footnote>
  <w:footnote w:id="23">
    <w:p w:rsidR="00612D14" w:rsidRPr="00612D14">
      <w:pPr>
        <w:pStyle w:val="FootnoteText"/>
      </w:pPr>
      <w:r>
        <w:rPr>
          <w:rStyle w:val="FootnoteReference"/>
        </w:rPr>
        <w:footnoteRef/>
      </w:r>
      <w:r>
        <w:t xml:space="preserve"> </w:t>
      </w:r>
      <w:r>
        <w:rPr>
          <w:i/>
        </w:rPr>
        <w:t>Id.</w:t>
      </w:r>
      <w:r>
        <w:t xml:space="preserve"> at 13737, n.59.</w:t>
      </w:r>
    </w:p>
  </w:footnote>
  <w:footnote w:id="24">
    <w:p w:rsidR="002E4C44" w:rsidRPr="00870EBD">
      <w:pPr>
        <w:pStyle w:val="FootnoteText"/>
      </w:pPr>
      <w:r>
        <w:rPr>
          <w:rStyle w:val="FootnoteReference"/>
        </w:rPr>
        <w:footnoteRef/>
      </w:r>
      <w:r>
        <w:t xml:space="preserve"> </w:t>
      </w:r>
      <w:r>
        <w:rPr>
          <w:i/>
        </w:rPr>
        <w:t>See Warren C. Havens et al.</w:t>
      </w:r>
      <w:r>
        <w:t>, Order, 32 FCC Rcd 218 (WTB MD 2017)</w:t>
      </w:r>
      <w:r w:rsidR="00FB2DB0">
        <w:t xml:space="preserve"> (</w:t>
      </w:r>
      <w:r w:rsidR="00FB2DB0">
        <w:rPr>
          <w:i/>
        </w:rPr>
        <w:t>2017 Order</w:t>
      </w:r>
      <w:r w:rsidR="00FB2DB0">
        <w:t>)</w:t>
      </w:r>
      <w:r>
        <w:t xml:space="preserve">, </w:t>
      </w:r>
      <w:r>
        <w:rPr>
          <w:i/>
        </w:rPr>
        <w:t>recon. pending.</w:t>
      </w:r>
    </w:p>
  </w:footnote>
  <w:footnote w:id="25">
    <w:p w:rsidR="002617F8" w:rsidRPr="002617F8">
      <w:pPr>
        <w:pStyle w:val="FootnoteText"/>
      </w:pPr>
      <w:r>
        <w:rPr>
          <w:rStyle w:val="FootnoteReference"/>
        </w:rPr>
        <w:footnoteRef/>
      </w:r>
      <w:r>
        <w:t xml:space="preserve"> </w:t>
      </w:r>
      <w:r>
        <w:rPr>
          <w:i/>
        </w:rPr>
        <w:t>See id.</w:t>
      </w:r>
      <w:r>
        <w:t xml:space="preserve"> at 219-21, paras. 4-7.</w:t>
      </w:r>
    </w:p>
  </w:footnote>
  <w:footnote w:id="26">
    <w:p w:rsidR="00AE7E33">
      <w:pPr>
        <w:pStyle w:val="FootnoteText"/>
      </w:pPr>
      <w:r>
        <w:rPr>
          <w:rStyle w:val="FootnoteReference"/>
        </w:rPr>
        <w:footnoteRef/>
      </w:r>
      <w:r>
        <w:t xml:space="preserve"> FCC File No. 0004193328 (filed Apr. 21, 2010).</w:t>
      </w:r>
    </w:p>
  </w:footnote>
  <w:footnote w:id="27">
    <w:p w:rsidR="00D33C96">
      <w:pPr>
        <w:pStyle w:val="FootnoteText"/>
      </w:pPr>
      <w:r>
        <w:rPr>
          <w:rStyle w:val="FootnoteReference"/>
        </w:rPr>
        <w:footnoteRef/>
      </w:r>
      <w:r>
        <w:t xml:space="preserve"> FCC File No. 0006967374 (filed Oct. 8, 2015).</w:t>
      </w:r>
    </w:p>
  </w:footnote>
  <w:footnote w:id="28">
    <w:p w:rsidR="000E4519">
      <w:pPr>
        <w:pStyle w:val="FootnoteText"/>
      </w:pPr>
      <w:r>
        <w:rPr>
          <w:rStyle w:val="FootnoteReference"/>
        </w:rPr>
        <w:footnoteRef/>
      </w:r>
      <w:r>
        <w:t xml:space="preserve"> FCC File No. 0007841134 (</w:t>
      </w:r>
      <w:r w:rsidR="00A54766">
        <w:t xml:space="preserve">filed </w:t>
      </w:r>
      <w:r>
        <w:t>Jul</w:t>
      </w:r>
      <w:r w:rsidR="00A54766">
        <w:t>y</w:t>
      </w:r>
      <w:r>
        <w:t xml:space="preserve"> 3, 2017).  </w:t>
      </w:r>
    </w:p>
  </w:footnote>
  <w:footnote w:id="29">
    <w:p w:rsidR="000E4519">
      <w:pPr>
        <w:pStyle w:val="FootnoteText"/>
      </w:pPr>
      <w:r>
        <w:rPr>
          <w:rStyle w:val="FootnoteReference"/>
        </w:rPr>
        <w:footnoteRef/>
      </w:r>
      <w:r>
        <w:t xml:space="preserve"> </w:t>
      </w:r>
      <w:r>
        <w:rPr>
          <w:i/>
        </w:rPr>
        <w:t xml:space="preserve">See Wireless Telecommunications Bureau Assignment of License Authorization Applications, Transfer of Control of Licensee Applications, De Facto Transfer Lease Applications and Spectrum Manager Lease Notifications, Designated Entity Reportable Eligibility Event Applications, and Designated Entity Annual Reports Action, </w:t>
      </w:r>
      <w:r>
        <w:t>Public Notice, Report 12484</w:t>
      </w:r>
      <w:r w:rsidR="0056532C">
        <w:t xml:space="preserve"> (WTB Aug. 2, 2017)</w:t>
      </w:r>
      <w:r>
        <w:t>, 2017 WL 3306078.</w:t>
      </w:r>
    </w:p>
  </w:footnote>
  <w:footnote w:id="30">
    <w:p w:rsidR="00365495" w:rsidRPr="00236DF1">
      <w:pPr>
        <w:pStyle w:val="FootnoteText"/>
      </w:pPr>
      <w:r>
        <w:rPr>
          <w:rStyle w:val="FootnoteReference"/>
        </w:rPr>
        <w:footnoteRef/>
      </w:r>
      <w:r>
        <w:t xml:space="preserve"> 2017 Petition, note 4, </w:t>
      </w:r>
      <w:r>
        <w:rPr>
          <w:i/>
        </w:rPr>
        <w:t>supra</w:t>
      </w:r>
      <w:r w:rsidR="0007499F">
        <w:t xml:space="preserve">; </w:t>
      </w:r>
      <w:r w:rsidR="0007499F">
        <w:rPr>
          <w:i/>
        </w:rPr>
        <w:t xml:space="preserve">see also </w:t>
      </w:r>
      <w:r w:rsidR="0007499F">
        <w:t>Motion of Warren Havens and Polaris PNT PBC for Declaratory Ruling Regarding Standing (filed Aug. 16, 2017) (Standing Motion)</w:t>
      </w:r>
      <w:r w:rsidR="00690C3E">
        <w:t xml:space="preserve"> (filed as an exhibit to the 2017 Petition)</w:t>
      </w:r>
      <w:r>
        <w:rPr>
          <w:i/>
        </w:rPr>
        <w:t>.</w:t>
      </w:r>
      <w:r w:rsidR="00236DF1">
        <w:t xml:space="preserve">  Choctaw </w:t>
      </w:r>
      <w:r w:rsidR="00B57C98">
        <w:t xml:space="preserve">and three CII Companies </w:t>
      </w:r>
      <w:r w:rsidR="00236DF1">
        <w:t>file opposition</w:t>
      </w:r>
      <w:r w:rsidR="00B57C98">
        <w:t>s</w:t>
      </w:r>
      <w:r w:rsidR="00236DF1">
        <w:t>.  Opposition of Choctaw Communications LLC to Petition to D</w:t>
      </w:r>
      <w:r w:rsidR="00B57C98">
        <w:t>e</w:t>
      </w:r>
      <w:r w:rsidR="00236DF1">
        <w:t xml:space="preserve">ny or in the Alternative Petition for Relief under Sections 1.41, 1.2 and Other Rules (filed </w:t>
      </w:r>
      <w:r w:rsidR="001B2C5E">
        <w:t>Aug. 30, 2017</w:t>
      </w:r>
      <w:r w:rsidR="00236DF1">
        <w:t>)</w:t>
      </w:r>
      <w:r w:rsidR="00B57C98">
        <w:t>; Joint Opposition of Enbridge Energy Company, Inc., Dixie Electric Membership Corporation, Inc., and Rappahannock Electric Cooperative (filed Aug. 28, 2017)</w:t>
      </w:r>
      <w:r w:rsidR="00236DF1">
        <w:t>.</w:t>
      </w:r>
      <w:r w:rsidR="001B2C5E">
        <w:t xml:space="preserve">  Havens and Polaris filed a </w:t>
      </w:r>
      <w:r w:rsidR="00B57C98">
        <w:t xml:space="preserve">consolidated </w:t>
      </w:r>
      <w:r w:rsidR="001B2C5E">
        <w:t>reply.  Reply to Oppositions to Petition to Deny or in the Alternative Petition for Relief under Sections 1.41, 1.2 and Other Rules (filed Sept. 12, 2017).</w:t>
      </w:r>
    </w:p>
  </w:footnote>
  <w:footnote w:id="31">
    <w:p w:rsidR="00B16FD3" w:rsidRPr="000543C9" w:rsidP="00B16FD3">
      <w:pPr>
        <w:pStyle w:val="FootnoteText"/>
      </w:pPr>
      <w:r>
        <w:rPr>
          <w:rStyle w:val="FootnoteReference"/>
        </w:rPr>
        <w:footnoteRef/>
      </w:r>
      <w:r>
        <w:t xml:space="preserve"> </w:t>
      </w:r>
      <w:r>
        <w:rPr>
          <w:i/>
        </w:rPr>
        <w:t xml:space="preserve">See, e.g., </w:t>
      </w:r>
      <w:r>
        <w:t>2017 Petition at 7-</w:t>
      </w:r>
      <w:r w:rsidR="00824CE2">
        <w:t>13</w:t>
      </w:r>
      <w:r>
        <w:t>.</w:t>
      </w:r>
    </w:p>
  </w:footnote>
  <w:footnote w:id="32">
    <w:p w:rsidR="00824CE2">
      <w:pPr>
        <w:pStyle w:val="FootnoteText"/>
      </w:pPr>
      <w:r>
        <w:rPr>
          <w:rStyle w:val="FootnoteReference"/>
        </w:rPr>
        <w:footnoteRef/>
      </w:r>
      <w:r>
        <w:t xml:space="preserve"> </w:t>
      </w:r>
      <w:r>
        <w:rPr>
          <w:i/>
        </w:rPr>
        <w:t>Id.</w:t>
      </w:r>
      <w:r>
        <w:t xml:space="preserve"> at 14-15.</w:t>
      </w:r>
    </w:p>
  </w:footnote>
  <w:footnote w:id="33">
    <w:p w:rsidR="00B16FD3" w:rsidRPr="000543C9" w:rsidP="00B16FD3">
      <w:pPr>
        <w:pStyle w:val="FootnoteText"/>
      </w:pPr>
      <w:r>
        <w:rPr>
          <w:rStyle w:val="FootnoteReference"/>
        </w:rPr>
        <w:footnoteRef/>
      </w:r>
      <w:r>
        <w:t xml:space="preserve"> </w:t>
      </w:r>
      <w:r>
        <w:rPr>
          <w:i/>
        </w:rPr>
        <w:t>Id.</w:t>
      </w:r>
      <w:r>
        <w:t xml:space="preserve"> at 11.  </w:t>
      </w:r>
    </w:p>
  </w:footnote>
  <w:footnote w:id="34">
    <w:p w:rsidR="00690C3E" w:rsidRPr="00690C3E">
      <w:pPr>
        <w:pStyle w:val="FootnoteText"/>
      </w:pPr>
      <w:r>
        <w:rPr>
          <w:rStyle w:val="FootnoteReference"/>
        </w:rPr>
        <w:footnoteRef/>
      </w:r>
      <w:r>
        <w:t xml:space="preserve"> </w:t>
      </w:r>
      <w:r>
        <w:rPr>
          <w:i/>
        </w:rPr>
        <w:t xml:space="preserve">See </w:t>
      </w:r>
      <w:r>
        <w:t>Standing Motion at 3-6.</w:t>
      </w:r>
    </w:p>
  </w:footnote>
  <w:footnote w:id="35">
    <w:p w:rsidR="00690C3E" w:rsidP="00EC4D63">
      <w:pPr>
        <w:pStyle w:val="FootnoteText"/>
      </w:pPr>
      <w:r>
        <w:rPr>
          <w:rStyle w:val="FootnoteReference"/>
        </w:rPr>
        <w:footnoteRef/>
      </w:r>
      <w:r>
        <w:t xml:space="preserve"> </w:t>
      </w:r>
      <w:r w:rsidRPr="00E74B9F">
        <w:rPr>
          <w:i/>
        </w:rPr>
        <w:t>See AT&amp;T Mobility Spectrum LLC</w:t>
      </w:r>
      <w:r>
        <w:t xml:space="preserve">, Memorandum Opinion and Order, 27 FCC Rcd 16459, 16465, para. 16 (2012); </w:t>
      </w:r>
      <w:r w:rsidRPr="00E74B9F">
        <w:rPr>
          <w:i/>
        </w:rPr>
        <w:t xml:space="preserve">Wireless </w:t>
      </w:r>
      <w:r w:rsidRPr="00933050">
        <w:rPr>
          <w:i/>
        </w:rPr>
        <w:t>Co</w:t>
      </w:r>
      <w:r w:rsidRPr="00E74B9F">
        <w:rPr>
          <w:i/>
        </w:rPr>
        <w:t>., L.P.</w:t>
      </w:r>
      <w:r>
        <w:t>, Order, 10 FCC Rcd 13233, 13235, para. 7 (WTB 1995) (</w:t>
      </w:r>
      <w:r w:rsidRPr="00E74B9F">
        <w:rPr>
          <w:i/>
        </w:rPr>
        <w:t>Wireless Co.</w:t>
      </w:r>
      <w:r>
        <w:t>) (</w:t>
      </w:r>
      <w:r w:rsidRPr="00E80E85">
        <w:t>citing</w:t>
      </w:r>
      <w:r>
        <w:t xml:space="preserve"> </w:t>
      </w:r>
      <w:r w:rsidRPr="00E74B9F">
        <w:rPr>
          <w:i/>
        </w:rPr>
        <w:t>Sierra Club v. Morton</w:t>
      </w:r>
      <w:r>
        <w:t xml:space="preserve">, 405 U.S. 727, 733 (1972)); </w:t>
      </w:r>
      <w:r>
        <w:rPr>
          <w:i/>
        </w:rPr>
        <w:t>s</w:t>
      </w:r>
      <w:r w:rsidRPr="00E74B9F">
        <w:rPr>
          <w:i/>
        </w:rPr>
        <w:t>ee also New World Radio, Inc. v. FCC</w:t>
      </w:r>
      <w:r>
        <w:t xml:space="preserve">, 294 F.3d 164, 170 (D.C. Cir. 2002); </w:t>
      </w:r>
      <w:r w:rsidRPr="00E74B9F">
        <w:rPr>
          <w:i/>
        </w:rPr>
        <w:t>Touch</w:t>
      </w:r>
      <w:r>
        <w:rPr>
          <w:i/>
        </w:rPr>
        <w:t>T</w:t>
      </w:r>
      <w:r w:rsidRPr="00E74B9F">
        <w:rPr>
          <w:i/>
        </w:rPr>
        <w:t>el Corporation</w:t>
      </w:r>
      <w:r>
        <w:t>, Order on Reconsideration, 29 FCC Rcd 16249, 16250-51, para. 7 (WTB BD 2014) (</w:t>
      </w:r>
      <w:r>
        <w:rPr>
          <w:i/>
        </w:rPr>
        <w:t>TouchT</w:t>
      </w:r>
      <w:r w:rsidRPr="00E74B9F">
        <w:rPr>
          <w:i/>
        </w:rPr>
        <w:t>el</w:t>
      </w:r>
      <w:r>
        <w:t>).</w:t>
      </w:r>
    </w:p>
  </w:footnote>
  <w:footnote w:id="36">
    <w:p w:rsidR="00690C3E" w:rsidP="00690C3E">
      <w:pPr>
        <w:pStyle w:val="FootnoteText"/>
      </w:pPr>
      <w:r>
        <w:rPr>
          <w:rStyle w:val="FootnoteReference"/>
        </w:rPr>
        <w:footnoteRef/>
      </w:r>
      <w:r>
        <w:t xml:space="preserve"> </w:t>
      </w:r>
      <w:r w:rsidRPr="00E74B9F">
        <w:rPr>
          <w:i/>
        </w:rPr>
        <w:t>See Wireless Co.</w:t>
      </w:r>
      <w:r>
        <w:t xml:space="preserve">, 10 FCC Rcd at 13235, para. 7; </w:t>
      </w:r>
      <w:r>
        <w:rPr>
          <w:i/>
        </w:rPr>
        <w:t>TouchT</w:t>
      </w:r>
      <w:r w:rsidRPr="002E272C">
        <w:rPr>
          <w:i/>
        </w:rPr>
        <w:t>el</w:t>
      </w:r>
      <w:r>
        <w:t>, 29 FCC Rcd at 16250-51, para. 7.</w:t>
      </w:r>
    </w:p>
  </w:footnote>
  <w:footnote w:id="37">
    <w:p w:rsidR="00690C3E" w:rsidRPr="00A12105" w:rsidP="00690C3E">
      <w:pPr>
        <w:pStyle w:val="FootnoteText"/>
      </w:pPr>
      <w:r>
        <w:rPr>
          <w:rStyle w:val="FootnoteReference"/>
        </w:rPr>
        <w:footnoteRef/>
      </w:r>
      <w:r>
        <w:t xml:space="preserve"> </w:t>
      </w:r>
      <w:r w:rsidRPr="002E272C">
        <w:rPr>
          <w:i/>
        </w:rPr>
        <w:t>See Conference Group, LLC v. FCC</w:t>
      </w:r>
      <w:r>
        <w:t>, 720 F.3d 957, 962 (D.C. Cir. 2013) (</w:t>
      </w:r>
      <w:r w:rsidRPr="00B97577">
        <w:t>quoting</w:t>
      </w:r>
      <w:r w:rsidRPr="002E272C">
        <w:rPr>
          <w:i/>
        </w:rPr>
        <w:t xml:space="preserve"> Lujan v. Defenders of Wildlife</w:t>
      </w:r>
      <w:r>
        <w:t>, 504 U.S. 555, 560 (1992) (</w:t>
      </w:r>
      <w:r w:rsidRPr="002E272C">
        <w:rPr>
          <w:i/>
        </w:rPr>
        <w:t>Lujan</w:t>
      </w:r>
      <w:r>
        <w:t xml:space="preserve">)).  The </w:t>
      </w:r>
      <w:r w:rsidRPr="002E272C">
        <w:rPr>
          <w:i/>
        </w:rPr>
        <w:t>Lujan</w:t>
      </w:r>
      <w:r>
        <w:t xml:space="preserve"> Court stated that the constitutional minimum of standing requires that the plaintiff must have suffered an “injury in fact,” an invasion of a legally protected interest which is (a) concrete and particularized, and (b) actual or imminent, not conjectural or hypothetical.  Second, there must be a causal connection between the injury and the conduct complained of; the injury has to be fairly traceable to the challenged action of the defendant.  Third, it must be likely, as opposed to merely speculative, that the injury will be redressed by a favorable decision.  </w:t>
      </w:r>
      <w:r w:rsidRPr="002E272C">
        <w:rPr>
          <w:i/>
        </w:rPr>
        <w:t>See Lujan</w:t>
      </w:r>
      <w:r>
        <w:t xml:space="preserve">, 504 U.S. at 560-61.  While license proceedings before the Commission are not Article III proceedings, wireless applications generally have been reviewed using the foregoing Article III standard, and we find no reason to depart from this practice here.  </w:t>
      </w:r>
      <w:r>
        <w:rPr>
          <w:i/>
        </w:rPr>
        <w:t xml:space="preserve">See </w:t>
      </w:r>
      <w:r w:rsidRPr="00A12105">
        <w:rPr>
          <w:i/>
        </w:rPr>
        <w:t>Airadigm Communications, Inc</w:t>
      </w:r>
      <w:r>
        <w:t xml:space="preserve">., Order on Reconsideration, 21 FCC Rcd 3893, 3897, para. 14 &amp; n.30 (WTB 2006), </w:t>
      </w:r>
      <w:r>
        <w:rPr>
          <w:i/>
        </w:rPr>
        <w:t>review dismissed</w:t>
      </w:r>
      <w:r>
        <w:t>, 26 FCC Rcd 6739 (WTB 2011).</w:t>
      </w:r>
    </w:p>
  </w:footnote>
  <w:footnote w:id="38">
    <w:p w:rsidR="007319AC" w:rsidRPr="00F6370B" w:rsidP="007319AC">
      <w:pPr>
        <w:pStyle w:val="FootnoteText"/>
      </w:pPr>
      <w:r>
        <w:rPr>
          <w:rStyle w:val="FootnoteReference"/>
        </w:rPr>
        <w:footnoteRef/>
      </w:r>
      <w:r>
        <w:t xml:space="preserve"> </w:t>
      </w:r>
      <w:r>
        <w:rPr>
          <w:i/>
        </w:rPr>
        <w:t>See Maritime Communications/Land Mobile, LLC, Debtor-in-Possession</w:t>
      </w:r>
      <w:r>
        <w:t xml:space="preserve">, Order, 32 FCC Rcd 3907, 3910-12, paras. 8-11 (WTB MD 2017), </w:t>
      </w:r>
      <w:r w:rsidR="00F6370B">
        <w:rPr>
          <w:i/>
        </w:rPr>
        <w:t>recon. pending</w:t>
      </w:r>
      <w:r w:rsidR="00F6370B">
        <w:t xml:space="preserve">; </w:t>
      </w:r>
      <w:r w:rsidR="00F6370B">
        <w:rPr>
          <w:i/>
        </w:rPr>
        <w:t>see also Metropolitan Transit Authority</w:t>
      </w:r>
      <w:r w:rsidR="00F6370B">
        <w:t>, Proposed Order of Modification and Order on Reconsideration, 31 FCC Rcd 1436, 1440-42, paras. 12-15 (2016) (</w:t>
      </w:r>
      <w:r w:rsidR="00F6370B">
        <w:rPr>
          <w:i/>
        </w:rPr>
        <w:t>MTA</w:t>
      </w:r>
      <w:r w:rsidR="00F6370B">
        <w:t>) (finding that Havens and related entities lacked standing to challenge renewal of 218-219 MHz Service license).</w:t>
      </w:r>
    </w:p>
  </w:footnote>
  <w:footnote w:id="39">
    <w:p w:rsidR="00DF3323" w:rsidRPr="007319AC">
      <w:pPr>
        <w:pStyle w:val="FootnoteText"/>
      </w:pPr>
      <w:r>
        <w:rPr>
          <w:rStyle w:val="FootnoteReference"/>
        </w:rPr>
        <w:footnoteRef/>
      </w:r>
      <w:r>
        <w:t xml:space="preserve"> </w:t>
      </w:r>
      <w:r>
        <w:rPr>
          <w:i/>
        </w:rPr>
        <w:t>See Maritim</w:t>
      </w:r>
      <w:r w:rsidR="007319AC">
        <w:rPr>
          <w:i/>
        </w:rPr>
        <w:t>e</w:t>
      </w:r>
      <w:r>
        <w:rPr>
          <w:i/>
        </w:rPr>
        <w:t xml:space="preserve"> Communications/Land Mobile, LLC and Southern California Regional Rail Authority</w:t>
      </w:r>
      <w:r>
        <w:t xml:space="preserve">, Order, 31 FCC Rcd 9826, 9830-31, paras. 11-15 (WTB MD 2016), </w:t>
      </w:r>
      <w:r>
        <w:rPr>
          <w:i/>
        </w:rPr>
        <w:t>recon. pending</w:t>
      </w:r>
      <w:r w:rsidR="007319AC">
        <w:t>.</w:t>
      </w:r>
    </w:p>
  </w:footnote>
  <w:footnote w:id="40">
    <w:p w:rsidR="00511020" w:rsidRPr="000543C9" w:rsidP="00511020">
      <w:pPr>
        <w:pStyle w:val="FootnoteText"/>
        <w:rPr>
          <w:snapToGrid w:val="0"/>
          <w:kern w:val="28"/>
        </w:rPr>
      </w:pPr>
      <w:r>
        <w:rPr>
          <w:rStyle w:val="FootnoteReference"/>
        </w:rPr>
        <w:footnoteRef/>
      </w:r>
      <w:r>
        <w:t xml:space="preserve"> </w:t>
      </w:r>
      <w:r w:rsidR="00905E02">
        <w:rPr>
          <w:snapToGrid w:val="0"/>
          <w:kern w:val="28"/>
        </w:rPr>
        <w:t>T</w:t>
      </w:r>
      <w:r w:rsidRPr="00690C3E">
        <w:rPr>
          <w:snapToGrid w:val="0"/>
          <w:kern w:val="28"/>
        </w:rPr>
        <w:t xml:space="preserve">he Receiver is now the sole authorized representative before the Commission of the entities formerly controlled by Havens, and Havens individually has no standing </w:t>
      </w:r>
      <w:r w:rsidR="00905E02">
        <w:rPr>
          <w:snapToGrid w:val="0"/>
          <w:kern w:val="28"/>
        </w:rPr>
        <w:t>to assert duplicative interests</w:t>
      </w:r>
      <w:r w:rsidRPr="00690C3E">
        <w:rPr>
          <w:snapToGrid w:val="0"/>
          <w:kern w:val="28"/>
        </w:rPr>
        <w:t>.</w:t>
      </w:r>
      <w:r>
        <w:rPr>
          <w:snapToGrid w:val="0"/>
          <w:kern w:val="28"/>
        </w:rPr>
        <w:t xml:space="preserve">  </w:t>
      </w:r>
      <w:r w:rsidRPr="00511020">
        <w:rPr>
          <w:snapToGrid w:val="0"/>
          <w:kern w:val="28"/>
        </w:rPr>
        <w:t xml:space="preserve">The </w:t>
      </w:r>
      <w:r w:rsidR="00905E02">
        <w:rPr>
          <w:snapToGrid w:val="0"/>
          <w:kern w:val="28"/>
        </w:rPr>
        <w:t xml:space="preserve">order appointing the </w:t>
      </w:r>
      <w:r w:rsidRPr="00511020">
        <w:rPr>
          <w:snapToGrid w:val="0"/>
          <w:kern w:val="28"/>
        </w:rPr>
        <w:t>Receiver prohibited Havens from</w:t>
      </w:r>
      <w:r w:rsidR="00905E02">
        <w:rPr>
          <w:snapToGrid w:val="0"/>
          <w:kern w:val="28"/>
        </w:rPr>
        <w:t xml:space="preserve">, </w:t>
      </w:r>
      <w:r w:rsidR="00905E02">
        <w:rPr>
          <w:i/>
          <w:snapToGrid w:val="0"/>
          <w:kern w:val="28"/>
        </w:rPr>
        <w:t>inter alia</w:t>
      </w:r>
      <w:r w:rsidR="00905E02">
        <w:rPr>
          <w:snapToGrid w:val="0"/>
          <w:kern w:val="28"/>
        </w:rPr>
        <w:t>,</w:t>
      </w:r>
      <w:r w:rsidRPr="00511020">
        <w:rPr>
          <w:snapToGrid w:val="0"/>
          <w:kern w:val="28"/>
        </w:rPr>
        <w:t xml:space="preserve"> acting on behalf of any of the receivership entities</w:t>
      </w:r>
      <w:r w:rsidR="00905E02">
        <w:rPr>
          <w:snapToGrid w:val="0"/>
          <w:kern w:val="28"/>
        </w:rPr>
        <w:t xml:space="preserve"> or</w:t>
      </w:r>
      <w:r w:rsidRPr="00511020">
        <w:rPr>
          <w:snapToGrid w:val="0"/>
          <w:kern w:val="28"/>
        </w:rPr>
        <w:t xml:space="preserve"> “[c]ommunicating with the FCC regarding the FCC Licenses or the Receivership Entities.” </w:t>
      </w:r>
      <w:r w:rsidR="00905E02">
        <w:rPr>
          <w:snapToGrid w:val="0"/>
          <w:kern w:val="28"/>
        </w:rPr>
        <w:t xml:space="preserve"> </w:t>
      </w:r>
      <w:r w:rsidRPr="00905E02">
        <w:rPr>
          <w:i/>
          <w:snapToGrid w:val="0"/>
          <w:kern w:val="28"/>
        </w:rPr>
        <w:t>Receivership Order</w:t>
      </w:r>
      <w:r w:rsidRPr="00511020">
        <w:rPr>
          <w:snapToGrid w:val="0"/>
          <w:kern w:val="28"/>
        </w:rPr>
        <w:t xml:space="preserve"> at 5, para. 28(d). </w:t>
      </w:r>
    </w:p>
  </w:footnote>
  <w:footnote w:id="41">
    <w:p w:rsidR="000E4519" w:rsidRPr="000543C9">
      <w:pPr>
        <w:pStyle w:val="FootnoteText"/>
      </w:pPr>
      <w:r>
        <w:rPr>
          <w:rStyle w:val="FootnoteReference"/>
        </w:rPr>
        <w:footnoteRef/>
      </w:r>
      <w:r>
        <w:t xml:space="preserve"> </w:t>
      </w:r>
      <w:r>
        <w:rPr>
          <w:i/>
        </w:rPr>
        <w:t xml:space="preserve">See </w:t>
      </w:r>
      <w:r w:rsidR="00B57C98">
        <w:t xml:space="preserve">2017 </w:t>
      </w:r>
      <w:r>
        <w:t xml:space="preserve">Petition at 11. </w:t>
      </w:r>
    </w:p>
  </w:footnote>
  <w:footnote w:id="42">
    <w:p w:rsidR="00A74411" w:rsidRPr="000543C9" w:rsidP="00A74411">
      <w:pPr>
        <w:pStyle w:val="FootnoteText"/>
        <w:rPr>
          <w:i/>
        </w:rPr>
      </w:pPr>
      <w:r>
        <w:rPr>
          <w:rStyle w:val="FootnoteReference"/>
        </w:rPr>
        <w:footnoteRef/>
      </w:r>
      <w:r>
        <w:t xml:space="preserve"> </w:t>
      </w:r>
      <w:r>
        <w:rPr>
          <w:i/>
        </w:rPr>
        <w:t xml:space="preserve">See </w:t>
      </w:r>
      <w:r w:rsidRPr="002E272C">
        <w:rPr>
          <w:i/>
        </w:rPr>
        <w:t>Lujan</w:t>
      </w:r>
      <w:r>
        <w:t xml:space="preserve">, 504 U.S. at 570-71.  </w:t>
      </w:r>
    </w:p>
  </w:footnote>
  <w:footnote w:id="43">
    <w:p w:rsidR="00FB2DB0">
      <w:pPr>
        <w:pStyle w:val="FootnoteText"/>
      </w:pPr>
      <w:r>
        <w:rPr>
          <w:rStyle w:val="FootnoteReference"/>
        </w:rPr>
        <w:footnoteRef/>
      </w:r>
      <w:r>
        <w:t xml:space="preserve"> Although the 2017 Petition includes an informal request for Commission action under section 1.41 of the rules, 47 CFR § 1.41, as alternative relief should we find the pleading wanting as a petition to deny, the inclusion of this alternative request does not change our analysis and we decline to grant any relief under section 1.41.  Havens routinely includes such alternative requests in his pleadings and the Commission just as routinely denies them as unwarranted because section 1.41 is not intended to supplant or provide litigants with a means of circumventing the rules governing formal pleadings.  </w:t>
      </w:r>
      <w:r w:rsidRPr="00482A59">
        <w:rPr>
          <w:i/>
        </w:rPr>
        <w:t xml:space="preserve">See </w:t>
      </w:r>
      <w:r w:rsidRPr="007319AC" w:rsidR="007319AC">
        <w:rPr>
          <w:i/>
        </w:rPr>
        <w:t>MTA</w:t>
      </w:r>
      <w:r w:rsidR="007319AC">
        <w:t xml:space="preserve">, 31 FCC Rcd at 1442, para. 16; </w:t>
      </w:r>
      <w:r w:rsidRPr="007319AC">
        <w:rPr>
          <w:i/>
        </w:rPr>
        <w:t>2017</w:t>
      </w:r>
      <w:r>
        <w:rPr>
          <w:i/>
        </w:rPr>
        <w:t xml:space="preserve"> Order</w:t>
      </w:r>
      <w:r>
        <w:t xml:space="preserve">, 32 FCC Rcd at 221, n.23 (citing </w:t>
      </w:r>
      <w:r w:rsidRPr="00482A59">
        <w:rPr>
          <w:i/>
        </w:rPr>
        <w:t>Warren C. Havens</w:t>
      </w:r>
      <w:r>
        <w:t>, Memorandum Opinion and Order, 28 FCC Rcd 16261, 16268, para. 18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19" w:rsidP="00251A17">
    <w:pPr>
      <w:pStyle w:val="Header"/>
    </w:pPr>
    <w:r>
      <w:tab/>
    </w: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Federal Communications Commission</w:t>
    </w:r>
    <w:r>
      <w:tab/>
    </w:r>
    <w:r>
      <w:rPr>
        <w:spacing w:val="-2"/>
      </w:rPr>
      <w:t xml:space="preserve">DA </w:t>
    </w:r>
    <w:r w:rsidR="00D47674">
      <w:rPr>
        <w:spacing w:val="-2"/>
      </w:rPr>
      <w:t>18</w:t>
    </w:r>
    <w:r>
      <w:rPr>
        <w:spacing w:val="-2"/>
      </w:rPr>
      <w:t>-</w:t>
    </w:r>
    <w:r w:rsidR="00EF3BA8">
      <w:rPr>
        <w:spacing w:val="-2"/>
      </w:rPr>
      <w:t>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4519" w:rsidRPr="00251A17" w:rsidP="00251A17">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251A17">
      <w:t>Federal Communications Commission</w:t>
    </w:r>
    <w:r w:rsidRPr="00251A17">
      <w:tab/>
    </w:r>
    <w:r w:rsidR="00AE3831">
      <w:rPr>
        <w:spacing w:val="-2"/>
      </w:rPr>
      <w:t>DA 18-147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4A2144"/>
    <w:multiLevelType w:val="hybridMultilevel"/>
    <w:tmpl w:val="41A0224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3EFE095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972418"/>
    <w:multiLevelType w:val="hybridMultilevel"/>
    <w:tmpl w:val="FAC62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85A74C1"/>
    <w:multiLevelType w:val="hybridMultilevel"/>
    <w:tmpl w:val="917CA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F939AB"/>
    <w:multiLevelType w:val="hybridMultilevel"/>
    <w:tmpl w:val="8A740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8A86A74"/>
    <w:multiLevelType w:val="hybridMultilevel"/>
    <w:tmpl w:val="4664D020"/>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0">
    <w:nsid w:val="61182925"/>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10"/>
  </w:num>
  <w:num w:numId="3">
    <w:abstractNumId w:val="4"/>
  </w:num>
  <w:num w:numId="4">
    <w:abstractNumId w:val="7"/>
  </w:num>
  <w:num w:numId="5">
    <w:abstractNumId w:val="3"/>
  </w:num>
  <w:num w:numId="6">
    <w:abstractNumId w:val="0"/>
  </w:num>
  <w:num w:numId="7">
    <w:abstractNumId w:val="1"/>
  </w:num>
  <w:num w:numId="8">
    <w:abstractNumId w:val="4"/>
  </w:num>
  <w:num w:numId="9">
    <w:abstractNumId w:val="8"/>
  </w:num>
  <w:num w:numId="10">
    <w:abstractNumId w:val="4"/>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4F"/>
    <w:rsid w:val="00001C27"/>
    <w:rsid w:val="00002558"/>
    <w:rsid w:val="00002851"/>
    <w:rsid w:val="00003056"/>
    <w:rsid w:val="00005AA5"/>
    <w:rsid w:val="0000684A"/>
    <w:rsid w:val="00007243"/>
    <w:rsid w:val="0001050A"/>
    <w:rsid w:val="000121DD"/>
    <w:rsid w:val="00017E0C"/>
    <w:rsid w:val="00021C00"/>
    <w:rsid w:val="00024996"/>
    <w:rsid w:val="00025211"/>
    <w:rsid w:val="00026F5B"/>
    <w:rsid w:val="00027234"/>
    <w:rsid w:val="00027AC2"/>
    <w:rsid w:val="00031B09"/>
    <w:rsid w:val="00034CE8"/>
    <w:rsid w:val="00035247"/>
    <w:rsid w:val="00036039"/>
    <w:rsid w:val="00037F90"/>
    <w:rsid w:val="0004159A"/>
    <w:rsid w:val="00051BB8"/>
    <w:rsid w:val="00053812"/>
    <w:rsid w:val="000543C9"/>
    <w:rsid w:val="00054F4C"/>
    <w:rsid w:val="0006024E"/>
    <w:rsid w:val="00061FF5"/>
    <w:rsid w:val="000637DB"/>
    <w:rsid w:val="000714C7"/>
    <w:rsid w:val="00071CA0"/>
    <w:rsid w:val="000727A0"/>
    <w:rsid w:val="0007499F"/>
    <w:rsid w:val="00084ACB"/>
    <w:rsid w:val="000875BF"/>
    <w:rsid w:val="00087AAD"/>
    <w:rsid w:val="00092B25"/>
    <w:rsid w:val="000941F5"/>
    <w:rsid w:val="00095101"/>
    <w:rsid w:val="00096393"/>
    <w:rsid w:val="00096D8C"/>
    <w:rsid w:val="00097238"/>
    <w:rsid w:val="0009725C"/>
    <w:rsid w:val="000A0ACA"/>
    <w:rsid w:val="000A2815"/>
    <w:rsid w:val="000A5699"/>
    <w:rsid w:val="000A5CDC"/>
    <w:rsid w:val="000B19E0"/>
    <w:rsid w:val="000B335F"/>
    <w:rsid w:val="000C0B65"/>
    <w:rsid w:val="000C1229"/>
    <w:rsid w:val="000C3B6B"/>
    <w:rsid w:val="000D01B0"/>
    <w:rsid w:val="000D1EB6"/>
    <w:rsid w:val="000D3E05"/>
    <w:rsid w:val="000D4C2B"/>
    <w:rsid w:val="000D529A"/>
    <w:rsid w:val="000E05FE"/>
    <w:rsid w:val="000E0DEE"/>
    <w:rsid w:val="000E237B"/>
    <w:rsid w:val="000E28E8"/>
    <w:rsid w:val="000E2A95"/>
    <w:rsid w:val="000E3593"/>
    <w:rsid w:val="000E3D42"/>
    <w:rsid w:val="000E4519"/>
    <w:rsid w:val="000F482B"/>
    <w:rsid w:val="000F56F0"/>
    <w:rsid w:val="00101D99"/>
    <w:rsid w:val="0010235B"/>
    <w:rsid w:val="00106592"/>
    <w:rsid w:val="001067A7"/>
    <w:rsid w:val="00113F37"/>
    <w:rsid w:val="001145ED"/>
    <w:rsid w:val="00122BD5"/>
    <w:rsid w:val="001231A2"/>
    <w:rsid w:val="001233D5"/>
    <w:rsid w:val="00124321"/>
    <w:rsid w:val="00125448"/>
    <w:rsid w:val="00132AE7"/>
    <w:rsid w:val="001332F7"/>
    <w:rsid w:val="00133F79"/>
    <w:rsid w:val="001343BD"/>
    <w:rsid w:val="00144368"/>
    <w:rsid w:val="00144F7E"/>
    <w:rsid w:val="001457E9"/>
    <w:rsid w:val="00146A1C"/>
    <w:rsid w:val="00147531"/>
    <w:rsid w:val="00150301"/>
    <w:rsid w:val="001519AF"/>
    <w:rsid w:val="00156409"/>
    <w:rsid w:val="001610C9"/>
    <w:rsid w:val="00161684"/>
    <w:rsid w:val="00165BA6"/>
    <w:rsid w:val="00167F3C"/>
    <w:rsid w:val="00171847"/>
    <w:rsid w:val="0017453E"/>
    <w:rsid w:val="00176FC8"/>
    <w:rsid w:val="00185D91"/>
    <w:rsid w:val="001900E1"/>
    <w:rsid w:val="00190F46"/>
    <w:rsid w:val="00192DE3"/>
    <w:rsid w:val="00193473"/>
    <w:rsid w:val="00194A66"/>
    <w:rsid w:val="00194DF4"/>
    <w:rsid w:val="001978EE"/>
    <w:rsid w:val="001A0470"/>
    <w:rsid w:val="001A205C"/>
    <w:rsid w:val="001A2975"/>
    <w:rsid w:val="001A5582"/>
    <w:rsid w:val="001B2C5E"/>
    <w:rsid w:val="001C0E86"/>
    <w:rsid w:val="001C27A2"/>
    <w:rsid w:val="001C27F6"/>
    <w:rsid w:val="001C5D43"/>
    <w:rsid w:val="001D075C"/>
    <w:rsid w:val="001D1208"/>
    <w:rsid w:val="001D2FFB"/>
    <w:rsid w:val="001D6893"/>
    <w:rsid w:val="001D6BCF"/>
    <w:rsid w:val="001E01CA"/>
    <w:rsid w:val="001E4787"/>
    <w:rsid w:val="001E6A57"/>
    <w:rsid w:val="001E7334"/>
    <w:rsid w:val="001E7DFE"/>
    <w:rsid w:val="001F19A7"/>
    <w:rsid w:val="001F394B"/>
    <w:rsid w:val="001F6BDE"/>
    <w:rsid w:val="002041F1"/>
    <w:rsid w:val="0020685E"/>
    <w:rsid w:val="00210205"/>
    <w:rsid w:val="002113E7"/>
    <w:rsid w:val="00216E2E"/>
    <w:rsid w:val="002211EC"/>
    <w:rsid w:val="00221927"/>
    <w:rsid w:val="00225229"/>
    <w:rsid w:val="00227DF9"/>
    <w:rsid w:val="0023107A"/>
    <w:rsid w:val="00231D27"/>
    <w:rsid w:val="00236DF1"/>
    <w:rsid w:val="00237A4C"/>
    <w:rsid w:val="00247519"/>
    <w:rsid w:val="00250AEB"/>
    <w:rsid w:val="00251A17"/>
    <w:rsid w:val="00260979"/>
    <w:rsid w:val="002617A5"/>
    <w:rsid w:val="002617F8"/>
    <w:rsid w:val="002630BE"/>
    <w:rsid w:val="002653CA"/>
    <w:rsid w:val="002659E9"/>
    <w:rsid w:val="00266129"/>
    <w:rsid w:val="00271EF8"/>
    <w:rsid w:val="0027312E"/>
    <w:rsid w:val="00274D15"/>
    <w:rsid w:val="00275CF5"/>
    <w:rsid w:val="0028031E"/>
    <w:rsid w:val="0028301F"/>
    <w:rsid w:val="0028335B"/>
    <w:rsid w:val="00285017"/>
    <w:rsid w:val="002859B1"/>
    <w:rsid w:val="002927E7"/>
    <w:rsid w:val="002951E5"/>
    <w:rsid w:val="00295788"/>
    <w:rsid w:val="00297334"/>
    <w:rsid w:val="002A0C47"/>
    <w:rsid w:val="002A2D2E"/>
    <w:rsid w:val="002A5002"/>
    <w:rsid w:val="002A5B1C"/>
    <w:rsid w:val="002A7609"/>
    <w:rsid w:val="002B2B81"/>
    <w:rsid w:val="002C00E8"/>
    <w:rsid w:val="002C166A"/>
    <w:rsid w:val="002C38A9"/>
    <w:rsid w:val="002C63A5"/>
    <w:rsid w:val="002C6C33"/>
    <w:rsid w:val="002D2723"/>
    <w:rsid w:val="002D4E18"/>
    <w:rsid w:val="002D4EF4"/>
    <w:rsid w:val="002E272C"/>
    <w:rsid w:val="002E3A6B"/>
    <w:rsid w:val="002E49C8"/>
    <w:rsid w:val="002E4C44"/>
    <w:rsid w:val="002E5DF7"/>
    <w:rsid w:val="002F06B7"/>
    <w:rsid w:val="002F06BB"/>
    <w:rsid w:val="002F287B"/>
    <w:rsid w:val="002F4CC9"/>
    <w:rsid w:val="002F5D37"/>
    <w:rsid w:val="002F6C2B"/>
    <w:rsid w:val="00300A5B"/>
    <w:rsid w:val="00302532"/>
    <w:rsid w:val="00304477"/>
    <w:rsid w:val="00305937"/>
    <w:rsid w:val="00307D19"/>
    <w:rsid w:val="00307E27"/>
    <w:rsid w:val="0031368F"/>
    <w:rsid w:val="003155AA"/>
    <w:rsid w:val="00320BB0"/>
    <w:rsid w:val="0033489A"/>
    <w:rsid w:val="00341219"/>
    <w:rsid w:val="00343749"/>
    <w:rsid w:val="00343840"/>
    <w:rsid w:val="00344D38"/>
    <w:rsid w:val="003454D5"/>
    <w:rsid w:val="0034554F"/>
    <w:rsid w:val="0035184A"/>
    <w:rsid w:val="00354CC2"/>
    <w:rsid w:val="0035689C"/>
    <w:rsid w:val="00365495"/>
    <w:rsid w:val="003660ED"/>
    <w:rsid w:val="00366E02"/>
    <w:rsid w:val="00373279"/>
    <w:rsid w:val="00375045"/>
    <w:rsid w:val="003755E2"/>
    <w:rsid w:val="00376398"/>
    <w:rsid w:val="00377090"/>
    <w:rsid w:val="0037733B"/>
    <w:rsid w:val="00383455"/>
    <w:rsid w:val="0038486A"/>
    <w:rsid w:val="0038535F"/>
    <w:rsid w:val="00386FFB"/>
    <w:rsid w:val="00390B2F"/>
    <w:rsid w:val="00390C8C"/>
    <w:rsid w:val="003919E3"/>
    <w:rsid w:val="003936BB"/>
    <w:rsid w:val="0039371E"/>
    <w:rsid w:val="00393910"/>
    <w:rsid w:val="00396449"/>
    <w:rsid w:val="003968D1"/>
    <w:rsid w:val="00397B0C"/>
    <w:rsid w:val="003A76E3"/>
    <w:rsid w:val="003B0550"/>
    <w:rsid w:val="003B0610"/>
    <w:rsid w:val="003B5088"/>
    <w:rsid w:val="003B56B6"/>
    <w:rsid w:val="003B694F"/>
    <w:rsid w:val="003C4D30"/>
    <w:rsid w:val="003D0952"/>
    <w:rsid w:val="003D0B67"/>
    <w:rsid w:val="003D1BD1"/>
    <w:rsid w:val="003D2D78"/>
    <w:rsid w:val="003D30DD"/>
    <w:rsid w:val="003D4502"/>
    <w:rsid w:val="003D5857"/>
    <w:rsid w:val="003D6846"/>
    <w:rsid w:val="003D7308"/>
    <w:rsid w:val="003E012D"/>
    <w:rsid w:val="003E1D3B"/>
    <w:rsid w:val="003E2D93"/>
    <w:rsid w:val="003E44B6"/>
    <w:rsid w:val="003E6740"/>
    <w:rsid w:val="003E6E40"/>
    <w:rsid w:val="003E773C"/>
    <w:rsid w:val="003F0129"/>
    <w:rsid w:val="003F171C"/>
    <w:rsid w:val="003F3D6A"/>
    <w:rsid w:val="003F6FBD"/>
    <w:rsid w:val="00401D6A"/>
    <w:rsid w:val="00401E4E"/>
    <w:rsid w:val="00405341"/>
    <w:rsid w:val="004106FC"/>
    <w:rsid w:val="00410A58"/>
    <w:rsid w:val="00412FC5"/>
    <w:rsid w:val="00413F3E"/>
    <w:rsid w:val="00415C62"/>
    <w:rsid w:val="00422276"/>
    <w:rsid w:val="004228AF"/>
    <w:rsid w:val="004228CE"/>
    <w:rsid w:val="004242F1"/>
    <w:rsid w:val="00424A14"/>
    <w:rsid w:val="004304BA"/>
    <w:rsid w:val="0043079B"/>
    <w:rsid w:val="00430FA4"/>
    <w:rsid w:val="004312A9"/>
    <w:rsid w:val="00437B06"/>
    <w:rsid w:val="00440629"/>
    <w:rsid w:val="00442D97"/>
    <w:rsid w:val="004430B6"/>
    <w:rsid w:val="004430F8"/>
    <w:rsid w:val="00445770"/>
    <w:rsid w:val="00445A00"/>
    <w:rsid w:val="00446DEA"/>
    <w:rsid w:val="00451B0F"/>
    <w:rsid w:val="00454206"/>
    <w:rsid w:val="00457126"/>
    <w:rsid w:val="004605D8"/>
    <w:rsid w:val="00462565"/>
    <w:rsid w:val="00467FFC"/>
    <w:rsid w:val="0047009A"/>
    <w:rsid w:val="00482A59"/>
    <w:rsid w:val="0048331F"/>
    <w:rsid w:val="00484776"/>
    <w:rsid w:val="004906DC"/>
    <w:rsid w:val="00495B05"/>
    <w:rsid w:val="00496A5C"/>
    <w:rsid w:val="00497669"/>
    <w:rsid w:val="004A1356"/>
    <w:rsid w:val="004A2D1B"/>
    <w:rsid w:val="004A442B"/>
    <w:rsid w:val="004A4C57"/>
    <w:rsid w:val="004A52BD"/>
    <w:rsid w:val="004B2A2F"/>
    <w:rsid w:val="004B56FA"/>
    <w:rsid w:val="004B6F9A"/>
    <w:rsid w:val="004C17F0"/>
    <w:rsid w:val="004C2EE3"/>
    <w:rsid w:val="004C6CDA"/>
    <w:rsid w:val="004D14B9"/>
    <w:rsid w:val="004D4A94"/>
    <w:rsid w:val="004D4D33"/>
    <w:rsid w:val="004D6845"/>
    <w:rsid w:val="004D7D67"/>
    <w:rsid w:val="004E123B"/>
    <w:rsid w:val="004E3EF1"/>
    <w:rsid w:val="004E4A22"/>
    <w:rsid w:val="004E7CD5"/>
    <w:rsid w:val="004F022B"/>
    <w:rsid w:val="004F38FA"/>
    <w:rsid w:val="004F465F"/>
    <w:rsid w:val="00500793"/>
    <w:rsid w:val="0050199A"/>
    <w:rsid w:val="0050226D"/>
    <w:rsid w:val="00503426"/>
    <w:rsid w:val="005045F9"/>
    <w:rsid w:val="0051011B"/>
    <w:rsid w:val="00511020"/>
    <w:rsid w:val="00511968"/>
    <w:rsid w:val="0051359B"/>
    <w:rsid w:val="00514B16"/>
    <w:rsid w:val="00514B79"/>
    <w:rsid w:val="00515ECC"/>
    <w:rsid w:val="0051760F"/>
    <w:rsid w:val="00524999"/>
    <w:rsid w:val="005258C0"/>
    <w:rsid w:val="0052675A"/>
    <w:rsid w:val="0052780D"/>
    <w:rsid w:val="0052797A"/>
    <w:rsid w:val="00527FFC"/>
    <w:rsid w:val="00530019"/>
    <w:rsid w:val="0053110D"/>
    <w:rsid w:val="00531736"/>
    <w:rsid w:val="00531A09"/>
    <w:rsid w:val="00531E4C"/>
    <w:rsid w:val="00531E7F"/>
    <w:rsid w:val="00541C61"/>
    <w:rsid w:val="00545729"/>
    <w:rsid w:val="005502BB"/>
    <w:rsid w:val="005509BD"/>
    <w:rsid w:val="0055614C"/>
    <w:rsid w:val="0056493A"/>
    <w:rsid w:val="0056532C"/>
    <w:rsid w:val="00566C29"/>
    <w:rsid w:val="00567121"/>
    <w:rsid w:val="00570D60"/>
    <w:rsid w:val="005731CD"/>
    <w:rsid w:val="00573BD4"/>
    <w:rsid w:val="00575A00"/>
    <w:rsid w:val="00576521"/>
    <w:rsid w:val="00576ECB"/>
    <w:rsid w:val="0057748C"/>
    <w:rsid w:val="005804CF"/>
    <w:rsid w:val="00583153"/>
    <w:rsid w:val="00594FC4"/>
    <w:rsid w:val="005A3CA0"/>
    <w:rsid w:val="005A64A7"/>
    <w:rsid w:val="005A6AE0"/>
    <w:rsid w:val="005A7AA5"/>
    <w:rsid w:val="005B13CB"/>
    <w:rsid w:val="005B5EB5"/>
    <w:rsid w:val="005C02AB"/>
    <w:rsid w:val="005C0B20"/>
    <w:rsid w:val="005C7266"/>
    <w:rsid w:val="005C799D"/>
    <w:rsid w:val="005C7C72"/>
    <w:rsid w:val="005D0559"/>
    <w:rsid w:val="005D2280"/>
    <w:rsid w:val="005D3081"/>
    <w:rsid w:val="005D3A79"/>
    <w:rsid w:val="005D4F0C"/>
    <w:rsid w:val="005D69DD"/>
    <w:rsid w:val="005D6E71"/>
    <w:rsid w:val="005E14C2"/>
    <w:rsid w:val="005E2457"/>
    <w:rsid w:val="005E4BE9"/>
    <w:rsid w:val="005E56B3"/>
    <w:rsid w:val="005F0ABE"/>
    <w:rsid w:val="005F1F30"/>
    <w:rsid w:val="005F239E"/>
    <w:rsid w:val="005F45D7"/>
    <w:rsid w:val="00601822"/>
    <w:rsid w:val="00607BA5"/>
    <w:rsid w:val="0061180A"/>
    <w:rsid w:val="00612950"/>
    <w:rsid w:val="00612D14"/>
    <w:rsid w:val="006143C4"/>
    <w:rsid w:val="00617C67"/>
    <w:rsid w:val="00623D56"/>
    <w:rsid w:val="00624F54"/>
    <w:rsid w:val="00626EB6"/>
    <w:rsid w:val="0063011C"/>
    <w:rsid w:val="00630CC6"/>
    <w:rsid w:val="0063104A"/>
    <w:rsid w:val="00640223"/>
    <w:rsid w:val="006427E8"/>
    <w:rsid w:val="0064471F"/>
    <w:rsid w:val="006457C9"/>
    <w:rsid w:val="00652810"/>
    <w:rsid w:val="00654B5E"/>
    <w:rsid w:val="00655D03"/>
    <w:rsid w:val="00660EAC"/>
    <w:rsid w:val="00661CF2"/>
    <w:rsid w:val="00664249"/>
    <w:rsid w:val="00664688"/>
    <w:rsid w:val="00665915"/>
    <w:rsid w:val="00671AD5"/>
    <w:rsid w:val="00674CE1"/>
    <w:rsid w:val="00675A5D"/>
    <w:rsid w:val="00677F23"/>
    <w:rsid w:val="0068013D"/>
    <w:rsid w:val="00683388"/>
    <w:rsid w:val="00683A61"/>
    <w:rsid w:val="00683F84"/>
    <w:rsid w:val="00690C3E"/>
    <w:rsid w:val="00693660"/>
    <w:rsid w:val="0069732C"/>
    <w:rsid w:val="006A0B2F"/>
    <w:rsid w:val="006A5450"/>
    <w:rsid w:val="006A574E"/>
    <w:rsid w:val="006A6A81"/>
    <w:rsid w:val="006A72A7"/>
    <w:rsid w:val="006B2163"/>
    <w:rsid w:val="006B2C78"/>
    <w:rsid w:val="006B36E6"/>
    <w:rsid w:val="006B3A62"/>
    <w:rsid w:val="006B3B97"/>
    <w:rsid w:val="006B57AB"/>
    <w:rsid w:val="006B5D92"/>
    <w:rsid w:val="006B6829"/>
    <w:rsid w:val="006D0D26"/>
    <w:rsid w:val="006D2742"/>
    <w:rsid w:val="006D3A67"/>
    <w:rsid w:val="006D596C"/>
    <w:rsid w:val="006E34FA"/>
    <w:rsid w:val="006E3C5F"/>
    <w:rsid w:val="006E4BF4"/>
    <w:rsid w:val="006E786A"/>
    <w:rsid w:val="006F1677"/>
    <w:rsid w:val="006F1C13"/>
    <w:rsid w:val="006F58CE"/>
    <w:rsid w:val="006F7393"/>
    <w:rsid w:val="007001ED"/>
    <w:rsid w:val="0070224F"/>
    <w:rsid w:val="007115F7"/>
    <w:rsid w:val="0072424B"/>
    <w:rsid w:val="007256BD"/>
    <w:rsid w:val="007319AC"/>
    <w:rsid w:val="00735708"/>
    <w:rsid w:val="00735F45"/>
    <w:rsid w:val="00740195"/>
    <w:rsid w:val="00741E90"/>
    <w:rsid w:val="00745FE3"/>
    <w:rsid w:val="007463B8"/>
    <w:rsid w:val="007473F0"/>
    <w:rsid w:val="007479B7"/>
    <w:rsid w:val="00757AAB"/>
    <w:rsid w:val="00761378"/>
    <w:rsid w:val="00763EDA"/>
    <w:rsid w:val="00764DFB"/>
    <w:rsid w:val="00765206"/>
    <w:rsid w:val="00766185"/>
    <w:rsid w:val="00774346"/>
    <w:rsid w:val="007747BC"/>
    <w:rsid w:val="007750E1"/>
    <w:rsid w:val="00776BAF"/>
    <w:rsid w:val="007804C7"/>
    <w:rsid w:val="00781434"/>
    <w:rsid w:val="00781B08"/>
    <w:rsid w:val="00782F6D"/>
    <w:rsid w:val="00784832"/>
    <w:rsid w:val="00785689"/>
    <w:rsid w:val="00787550"/>
    <w:rsid w:val="0079754B"/>
    <w:rsid w:val="007A05BA"/>
    <w:rsid w:val="007A1D06"/>
    <w:rsid w:val="007A1E6D"/>
    <w:rsid w:val="007A3B75"/>
    <w:rsid w:val="007A5557"/>
    <w:rsid w:val="007A56E7"/>
    <w:rsid w:val="007B0D2A"/>
    <w:rsid w:val="007B0EB2"/>
    <w:rsid w:val="007B103B"/>
    <w:rsid w:val="007B1D38"/>
    <w:rsid w:val="007B240C"/>
    <w:rsid w:val="007B507A"/>
    <w:rsid w:val="007B66F5"/>
    <w:rsid w:val="007B6B33"/>
    <w:rsid w:val="007C030A"/>
    <w:rsid w:val="007C1070"/>
    <w:rsid w:val="007C3C33"/>
    <w:rsid w:val="007C632F"/>
    <w:rsid w:val="007C6820"/>
    <w:rsid w:val="007D3295"/>
    <w:rsid w:val="007D33E6"/>
    <w:rsid w:val="007D355C"/>
    <w:rsid w:val="007D3EDB"/>
    <w:rsid w:val="007D57D3"/>
    <w:rsid w:val="007D6CD9"/>
    <w:rsid w:val="007D7005"/>
    <w:rsid w:val="007E2079"/>
    <w:rsid w:val="007E22B8"/>
    <w:rsid w:val="007E3245"/>
    <w:rsid w:val="007E408E"/>
    <w:rsid w:val="007E4E41"/>
    <w:rsid w:val="007F0A3F"/>
    <w:rsid w:val="007F0D9B"/>
    <w:rsid w:val="007F14E8"/>
    <w:rsid w:val="0080029F"/>
    <w:rsid w:val="00800BD8"/>
    <w:rsid w:val="00801B2C"/>
    <w:rsid w:val="00802389"/>
    <w:rsid w:val="00802A07"/>
    <w:rsid w:val="00807555"/>
    <w:rsid w:val="00810B6F"/>
    <w:rsid w:val="00811492"/>
    <w:rsid w:val="0081333F"/>
    <w:rsid w:val="00815E38"/>
    <w:rsid w:val="008223CA"/>
    <w:rsid w:val="00822CE0"/>
    <w:rsid w:val="00824570"/>
    <w:rsid w:val="00824CE2"/>
    <w:rsid w:val="00825529"/>
    <w:rsid w:val="0083118A"/>
    <w:rsid w:val="008332DA"/>
    <w:rsid w:val="008337B2"/>
    <w:rsid w:val="00841358"/>
    <w:rsid w:val="00841AB1"/>
    <w:rsid w:val="00841B3D"/>
    <w:rsid w:val="0084293E"/>
    <w:rsid w:val="008436A5"/>
    <w:rsid w:val="008452A7"/>
    <w:rsid w:val="00850042"/>
    <w:rsid w:val="008509CE"/>
    <w:rsid w:val="00850B74"/>
    <w:rsid w:val="00850DAB"/>
    <w:rsid w:val="00850F60"/>
    <w:rsid w:val="008530C0"/>
    <w:rsid w:val="00855ABD"/>
    <w:rsid w:val="008635E2"/>
    <w:rsid w:val="00863B03"/>
    <w:rsid w:val="008649E4"/>
    <w:rsid w:val="00866FFE"/>
    <w:rsid w:val="00870EBD"/>
    <w:rsid w:val="0087217B"/>
    <w:rsid w:val="00875442"/>
    <w:rsid w:val="00875A03"/>
    <w:rsid w:val="00876A2B"/>
    <w:rsid w:val="00877129"/>
    <w:rsid w:val="00880FDE"/>
    <w:rsid w:val="00882008"/>
    <w:rsid w:val="00882825"/>
    <w:rsid w:val="008840CC"/>
    <w:rsid w:val="00886AB7"/>
    <w:rsid w:val="00890437"/>
    <w:rsid w:val="008A33EF"/>
    <w:rsid w:val="008A5704"/>
    <w:rsid w:val="008B5299"/>
    <w:rsid w:val="008C06CB"/>
    <w:rsid w:val="008C1B1B"/>
    <w:rsid w:val="008C225F"/>
    <w:rsid w:val="008C4617"/>
    <w:rsid w:val="008C54EE"/>
    <w:rsid w:val="008C68F1"/>
    <w:rsid w:val="008D0370"/>
    <w:rsid w:val="008D282B"/>
    <w:rsid w:val="008D2943"/>
    <w:rsid w:val="008D3C9E"/>
    <w:rsid w:val="008E259A"/>
    <w:rsid w:val="008E2C73"/>
    <w:rsid w:val="008E69B7"/>
    <w:rsid w:val="008E771F"/>
    <w:rsid w:val="008E784F"/>
    <w:rsid w:val="008F02C0"/>
    <w:rsid w:val="008F3843"/>
    <w:rsid w:val="008F426E"/>
    <w:rsid w:val="008F4E94"/>
    <w:rsid w:val="00900F5B"/>
    <w:rsid w:val="009036CD"/>
    <w:rsid w:val="0090435E"/>
    <w:rsid w:val="00905E02"/>
    <w:rsid w:val="009068D5"/>
    <w:rsid w:val="009102E4"/>
    <w:rsid w:val="00921803"/>
    <w:rsid w:val="00926503"/>
    <w:rsid w:val="00933050"/>
    <w:rsid w:val="00933FF0"/>
    <w:rsid w:val="00940A26"/>
    <w:rsid w:val="00941565"/>
    <w:rsid w:val="00945A41"/>
    <w:rsid w:val="0094669C"/>
    <w:rsid w:val="0094724B"/>
    <w:rsid w:val="00950943"/>
    <w:rsid w:val="00957CC0"/>
    <w:rsid w:val="00961FB3"/>
    <w:rsid w:val="00963DA0"/>
    <w:rsid w:val="009644CA"/>
    <w:rsid w:val="00964843"/>
    <w:rsid w:val="009676A3"/>
    <w:rsid w:val="009707AF"/>
    <w:rsid w:val="009726D8"/>
    <w:rsid w:val="009729A6"/>
    <w:rsid w:val="00973A5B"/>
    <w:rsid w:val="00974A90"/>
    <w:rsid w:val="00976555"/>
    <w:rsid w:val="00976C87"/>
    <w:rsid w:val="00981DD2"/>
    <w:rsid w:val="00985D2E"/>
    <w:rsid w:val="00985D63"/>
    <w:rsid w:val="00986DFD"/>
    <w:rsid w:val="009874CB"/>
    <w:rsid w:val="0099054D"/>
    <w:rsid w:val="00991B5E"/>
    <w:rsid w:val="00991C70"/>
    <w:rsid w:val="009949CF"/>
    <w:rsid w:val="00994E19"/>
    <w:rsid w:val="009B0E11"/>
    <w:rsid w:val="009B6351"/>
    <w:rsid w:val="009B6F3B"/>
    <w:rsid w:val="009C308F"/>
    <w:rsid w:val="009C31D3"/>
    <w:rsid w:val="009C7E57"/>
    <w:rsid w:val="009D1208"/>
    <w:rsid w:val="009D15AE"/>
    <w:rsid w:val="009D502E"/>
    <w:rsid w:val="009D6D05"/>
    <w:rsid w:val="009E1AAA"/>
    <w:rsid w:val="009E2D8E"/>
    <w:rsid w:val="009E47AE"/>
    <w:rsid w:val="009E4D7D"/>
    <w:rsid w:val="009F063D"/>
    <w:rsid w:val="009F2F13"/>
    <w:rsid w:val="009F2F77"/>
    <w:rsid w:val="009F3250"/>
    <w:rsid w:val="009F44AF"/>
    <w:rsid w:val="009F76DB"/>
    <w:rsid w:val="00A0108D"/>
    <w:rsid w:val="00A04822"/>
    <w:rsid w:val="00A07314"/>
    <w:rsid w:val="00A11895"/>
    <w:rsid w:val="00A12105"/>
    <w:rsid w:val="00A12C66"/>
    <w:rsid w:val="00A137A4"/>
    <w:rsid w:val="00A13E71"/>
    <w:rsid w:val="00A172B2"/>
    <w:rsid w:val="00A24A4B"/>
    <w:rsid w:val="00A25ED9"/>
    <w:rsid w:val="00A30952"/>
    <w:rsid w:val="00A3106C"/>
    <w:rsid w:val="00A31393"/>
    <w:rsid w:val="00A32C3B"/>
    <w:rsid w:val="00A33673"/>
    <w:rsid w:val="00A37827"/>
    <w:rsid w:val="00A37F53"/>
    <w:rsid w:val="00A41142"/>
    <w:rsid w:val="00A429BE"/>
    <w:rsid w:val="00A45F4F"/>
    <w:rsid w:val="00A50B54"/>
    <w:rsid w:val="00A52241"/>
    <w:rsid w:val="00A5291B"/>
    <w:rsid w:val="00A54766"/>
    <w:rsid w:val="00A56837"/>
    <w:rsid w:val="00A5789D"/>
    <w:rsid w:val="00A578D9"/>
    <w:rsid w:val="00A600A9"/>
    <w:rsid w:val="00A616A3"/>
    <w:rsid w:val="00A62EE3"/>
    <w:rsid w:val="00A6645A"/>
    <w:rsid w:val="00A72AD6"/>
    <w:rsid w:val="00A735A4"/>
    <w:rsid w:val="00A73E8F"/>
    <w:rsid w:val="00A74411"/>
    <w:rsid w:val="00A7627D"/>
    <w:rsid w:val="00A77E2A"/>
    <w:rsid w:val="00A8094A"/>
    <w:rsid w:val="00A80FCE"/>
    <w:rsid w:val="00A847D4"/>
    <w:rsid w:val="00A85422"/>
    <w:rsid w:val="00A87186"/>
    <w:rsid w:val="00A87A76"/>
    <w:rsid w:val="00A962C4"/>
    <w:rsid w:val="00AA55B7"/>
    <w:rsid w:val="00AA5B9E"/>
    <w:rsid w:val="00AB01B1"/>
    <w:rsid w:val="00AB0950"/>
    <w:rsid w:val="00AB2407"/>
    <w:rsid w:val="00AB53DF"/>
    <w:rsid w:val="00AB5EB1"/>
    <w:rsid w:val="00AB766E"/>
    <w:rsid w:val="00AB7CCB"/>
    <w:rsid w:val="00AE3831"/>
    <w:rsid w:val="00AE48B4"/>
    <w:rsid w:val="00AE4AF6"/>
    <w:rsid w:val="00AE6175"/>
    <w:rsid w:val="00AE7E33"/>
    <w:rsid w:val="00B03188"/>
    <w:rsid w:val="00B07E5C"/>
    <w:rsid w:val="00B130AC"/>
    <w:rsid w:val="00B14ED1"/>
    <w:rsid w:val="00B16FD3"/>
    <w:rsid w:val="00B20805"/>
    <w:rsid w:val="00B21FC0"/>
    <w:rsid w:val="00B2752E"/>
    <w:rsid w:val="00B27CB1"/>
    <w:rsid w:val="00B311A9"/>
    <w:rsid w:val="00B33FD5"/>
    <w:rsid w:val="00B34C9F"/>
    <w:rsid w:val="00B36428"/>
    <w:rsid w:val="00B46DA5"/>
    <w:rsid w:val="00B53DDD"/>
    <w:rsid w:val="00B557E9"/>
    <w:rsid w:val="00B5670C"/>
    <w:rsid w:val="00B56EAF"/>
    <w:rsid w:val="00B57C98"/>
    <w:rsid w:val="00B6788E"/>
    <w:rsid w:val="00B705F8"/>
    <w:rsid w:val="00B71AA4"/>
    <w:rsid w:val="00B720B1"/>
    <w:rsid w:val="00B7387C"/>
    <w:rsid w:val="00B73FC0"/>
    <w:rsid w:val="00B76DEA"/>
    <w:rsid w:val="00B777AC"/>
    <w:rsid w:val="00B806B5"/>
    <w:rsid w:val="00B8096F"/>
    <w:rsid w:val="00B811F7"/>
    <w:rsid w:val="00B83C01"/>
    <w:rsid w:val="00B85320"/>
    <w:rsid w:val="00B9750B"/>
    <w:rsid w:val="00B97577"/>
    <w:rsid w:val="00BA0AFB"/>
    <w:rsid w:val="00BA1D48"/>
    <w:rsid w:val="00BA5DC6"/>
    <w:rsid w:val="00BA6196"/>
    <w:rsid w:val="00BB5600"/>
    <w:rsid w:val="00BB7DEE"/>
    <w:rsid w:val="00BC3221"/>
    <w:rsid w:val="00BC662A"/>
    <w:rsid w:val="00BC6D8C"/>
    <w:rsid w:val="00BD07E4"/>
    <w:rsid w:val="00BD1184"/>
    <w:rsid w:val="00BD1514"/>
    <w:rsid w:val="00BD5CC6"/>
    <w:rsid w:val="00BD63CD"/>
    <w:rsid w:val="00BE0727"/>
    <w:rsid w:val="00BE0D66"/>
    <w:rsid w:val="00BE2806"/>
    <w:rsid w:val="00BE3E89"/>
    <w:rsid w:val="00BF3508"/>
    <w:rsid w:val="00BF74C3"/>
    <w:rsid w:val="00C00FC9"/>
    <w:rsid w:val="00C01C7B"/>
    <w:rsid w:val="00C03E80"/>
    <w:rsid w:val="00C17C27"/>
    <w:rsid w:val="00C217E9"/>
    <w:rsid w:val="00C23C68"/>
    <w:rsid w:val="00C24AD4"/>
    <w:rsid w:val="00C3269C"/>
    <w:rsid w:val="00C329AC"/>
    <w:rsid w:val="00C32E00"/>
    <w:rsid w:val="00C34006"/>
    <w:rsid w:val="00C35B7E"/>
    <w:rsid w:val="00C426B1"/>
    <w:rsid w:val="00C42D2B"/>
    <w:rsid w:val="00C43061"/>
    <w:rsid w:val="00C45343"/>
    <w:rsid w:val="00C45351"/>
    <w:rsid w:val="00C47CAA"/>
    <w:rsid w:val="00C51900"/>
    <w:rsid w:val="00C54518"/>
    <w:rsid w:val="00C576F3"/>
    <w:rsid w:val="00C66160"/>
    <w:rsid w:val="00C70ADE"/>
    <w:rsid w:val="00C721AC"/>
    <w:rsid w:val="00C722B1"/>
    <w:rsid w:val="00C77386"/>
    <w:rsid w:val="00C80C1B"/>
    <w:rsid w:val="00C826C7"/>
    <w:rsid w:val="00C90D6A"/>
    <w:rsid w:val="00C94DAE"/>
    <w:rsid w:val="00C9500E"/>
    <w:rsid w:val="00C951BB"/>
    <w:rsid w:val="00CA247E"/>
    <w:rsid w:val="00CA2CAC"/>
    <w:rsid w:val="00CA4E65"/>
    <w:rsid w:val="00CB3415"/>
    <w:rsid w:val="00CB36D1"/>
    <w:rsid w:val="00CB38F7"/>
    <w:rsid w:val="00CB4F39"/>
    <w:rsid w:val="00CB7319"/>
    <w:rsid w:val="00CB771E"/>
    <w:rsid w:val="00CC4D82"/>
    <w:rsid w:val="00CC4E11"/>
    <w:rsid w:val="00CC701B"/>
    <w:rsid w:val="00CC72B6"/>
    <w:rsid w:val="00CC7C24"/>
    <w:rsid w:val="00CD04FB"/>
    <w:rsid w:val="00CD0717"/>
    <w:rsid w:val="00CD0BAC"/>
    <w:rsid w:val="00CD3326"/>
    <w:rsid w:val="00CD3F1F"/>
    <w:rsid w:val="00CD48FC"/>
    <w:rsid w:val="00CE0CE9"/>
    <w:rsid w:val="00CE657F"/>
    <w:rsid w:val="00CE72B4"/>
    <w:rsid w:val="00CF0323"/>
    <w:rsid w:val="00CF0AD5"/>
    <w:rsid w:val="00CF0C48"/>
    <w:rsid w:val="00D0218D"/>
    <w:rsid w:val="00D021F7"/>
    <w:rsid w:val="00D028F3"/>
    <w:rsid w:val="00D02B54"/>
    <w:rsid w:val="00D0312A"/>
    <w:rsid w:val="00D10420"/>
    <w:rsid w:val="00D15CF8"/>
    <w:rsid w:val="00D15DB5"/>
    <w:rsid w:val="00D1610E"/>
    <w:rsid w:val="00D16888"/>
    <w:rsid w:val="00D2184C"/>
    <w:rsid w:val="00D253C4"/>
    <w:rsid w:val="00D25FB5"/>
    <w:rsid w:val="00D33C25"/>
    <w:rsid w:val="00D33C96"/>
    <w:rsid w:val="00D40B6F"/>
    <w:rsid w:val="00D44223"/>
    <w:rsid w:val="00D44B64"/>
    <w:rsid w:val="00D44E8A"/>
    <w:rsid w:val="00D47674"/>
    <w:rsid w:val="00D47772"/>
    <w:rsid w:val="00D51006"/>
    <w:rsid w:val="00D52A33"/>
    <w:rsid w:val="00D60771"/>
    <w:rsid w:val="00D60D28"/>
    <w:rsid w:val="00D62097"/>
    <w:rsid w:val="00D6284E"/>
    <w:rsid w:val="00D64F26"/>
    <w:rsid w:val="00D67866"/>
    <w:rsid w:val="00D71927"/>
    <w:rsid w:val="00D747A2"/>
    <w:rsid w:val="00D747F6"/>
    <w:rsid w:val="00D75E53"/>
    <w:rsid w:val="00D76871"/>
    <w:rsid w:val="00D76C25"/>
    <w:rsid w:val="00D80719"/>
    <w:rsid w:val="00D81411"/>
    <w:rsid w:val="00D81B1B"/>
    <w:rsid w:val="00D82ED3"/>
    <w:rsid w:val="00D92CC8"/>
    <w:rsid w:val="00D92E39"/>
    <w:rsid w:val="00D96635"/>
    <w:rsid w:val="00DA2529"/>
    <w:rsid w:val="00DA6ED7"/>
    <w:rsid w:val="00DA75CD"/>
    <w:rsid w:val="00DB047C"/>
    <w:rsid w:val="00DB130A"/>
    <w:rsid w:val="00DB2EBB"/>
    <w:rsid w:val="00DC10A1"/>
    <w:rsid w:val="00DC1612"/>
    <w:rsid w:val="00DC655F"/>
    <w:rsid w:val="00DD0B59"/>
    <w:rsid w:val="00DD1818"/>
    <w:rsid w:val="00DD312A"/>
    <w:rsid w:val="00DD7EBD"/>
    <w:rsid w:val="00DE460C"/>
    <w:rsid w:val="00DE57D8"/>
    <w:rsid w:val="00DF331A"/>
    <w:rsid w:val="00DF3323"/>
    <w:rsid w:val="00DF62B6"/>
    <w:rsid w:val="00E0002B"/>
    <w:rsid w:val="00E00A2D"/>
    <w:rsid w:val="00E01536"/>
    <w:rsid w:val="00E01DB9"/>
    <w:rsid w:val="00E05856"/>
    <w:rsid w:val="00E07225"/>
    <w:rsid w:val="00E10473"/>
    <w:rsid w:val="00E11BD9"/>
    <w:rsid w:val="00E14016"/>
    <w:rsid w:val="00E152D1"/>
    <w:rsid w:val="00E16804"/>
    <w:rsid w:val="00E20D6F"/>
    <w:rsid w:val="00E266E1"/>
    <w:rsid w:val="00E30008"/>
    <w:rsid w:val="00E30268"/>
    <w:rsid w:val="00E324E8"/>
    <w:rsid w:val="00E3551B"/>
    <w:rsid w:val="00E36D51"/>
    <w:rsid w:val="00E4042F"/>
    <w:rsid w:val="00E42383"/>
    <w:rsid w:val="00E42CC4"/>
    <w:rsid w:val="00E42F85"/>
    <w:rsid w:val="00E456AB"/>
    <w:rsid w:val="00E53676"/>
    <w:rsid w:val="00E5409F"/>
    <w:rsid w:val="00E546E7"/>
    <w:rsid w:val="00E54E35"/>
    <w:rsid w:val="00E56BF0"/>
    <w:rsid w:val="00E6274E"/>
    <w:rsid w:val="00E6384E"/>
    <w:rsid w:val="00E65234"/>
    <w:rsid w:val="00E71307"/>
    <w:rsid w:val="00E735BE"/>
    <w:rsid w:val="00E74B9F"/>
    <w:rsid w:val="00E75D0D"/>
    <w:rsid w:val="00E80E85"/>
    <w:rsid w:val="00E8130B"/>
    <w:rsid w:val="00E83112"/>
    <w:rsid w:val="00E87A53"/>
    <w:rsid w:val="00E91E87"/>
    <w:rsid w:val="00E94175"/>
    <w:rsid w:val="00E95566"/>
    <w:rsid w:val="00EA5671"/>
    <w:rsid w:val="00EB5535"/>
    <w:rsid w:val="00EC272B"/>
    <w:rsid w:val="00EC344C"/>
    <w:rsid w:val="00EC4D63"/>
    <w:rsid w:val="00ED0F95"/>
    <w:rsid w:val="00ED2200"/>
    <w:rsid w:val="00ED22C8"/>
    <w:rsid w:val="00ED3584"/>
    <w:rsid w:val="00ED4413"/>
    <w:rsid w:val="00ED44D8"/>
    <w:rsid w:val="00ED6538"/>
    <w:rsid w:val="00EE0998"/>
    <w:rsid w:val="00EE6488"/>
    <w:rsid w:val="00EF0FAA"/>
    <w:rsid w:val="00EF1BC6"/>
    <w:rsid w:val="00EF3BA8"/>
    <w:rsid w:val="00EF417C"/>
    <w:rsid w:val="00EF5239"/>
    <w:rsid w:val="00F021FA"/>
    <w:rsid w:val="00F031E5"/>
    <w:rsid w:val="00F046B9"/>
    <w:rsid w:val="00F07DDC"/>
    <w:rsid w:val="00F11601"/>
    <w:rsid w:val="00F117B1"/>
    <w:rsid w:val="00F15207"/>
    <w:rsid w:val="00F22DE3"/>
    <w:rsid w:val="00F25731"/>
    <w:rsid w:val="00F3000D"/>
    <w:rsid w:val="00F3004B"/>
    <w:rsid w:val="00F337E5"/>
    <w:rsid w:val="00F33F0D"/>
    <w:rsid w:val="00F51201"/>
    <w:rsid w:val="00F53F4A"/>
    <w:rsid w:val="00F57CC4"/>
    <w:rsid w:val="00F57D32"/>
    <w:rsid w:val="00F6101B"/>
    <w:rsid w:val="00F62E97"/>
    <w:rsid w:val="00F6370B"/>
    <w:rsid w:val="00F64139"/>
    <w:rsid w:val="00F64209"/>
    <w:rsid w:val="00F6580A"/>
    <w:rsid w:val="00F7256E"/>
    <w:rsid w:val="00F81753"/>
    <w:rsid w:val="00F82958"/>
    <w:rsid w:val="00F87394"/>
    <w:rsid w:val="00F93BF5"/>
    <w:rsid w:val="00F93C05"/>
    <w:rsid w:val="00FB1C2F"/>
    <w:rsid w:val="00FB2DB0"/>
    <w:rsid w:val="00FC338E"/>
    <w:rsid w:val="00FC4447"/>
    <w:rsid w:val="00FC7024"/>
    <w:rsid w:val="00FD0C3F"/>
    <w:rsid w:val="00FD1444"/>
    <w:rsid w:val="00FD3350"/>
    <w:rsid w:val="00FD3782"/>
    <w:rsid w:val="00FE1971"/>
    <w:rsid w:val="00FE2FAA"/>
    <w:rsid w:val="00FE341B"/>
    <w:rsid w:val="00FE3C42"/>
    <w:rsid w:val="00FE5671"/>
    <w:rsid w:val="00FF0A97"/>
    <w:rsid w:val="00FF1134"/>
    <w:rsid w:val="00FF23F1"/>
    <w:rsid w:val="00FF2D8C"/>
    <w:rsid w:val="00FF3F4D"/>
    <w:rsid w:val="00FF75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50"/>
    <w:rPr>
      <w:sz w:val="24"/>
      <w:szCs w:val="24"/>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627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51A17"/>
    <w:pPr>
      <w:tabs>
        <w:tab w:val="center" w:pos="4680"/>
        <w:tab w:val="right" w:pos="9360"/>
      </w:tabs>
    </w:pPr>
    <w:rPr>
      <w:b/>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CA2CAC"/>
    <w:pPr>
      <w:ind w:left="720"/>
      <w:contextualSpacing/>
    </w:pPr>
  </w:style>
  <w:style w:type="character" w:customStyle="1" w:styleId="Mention">
    <w:name w:val="Mention"/>
    <w:basedOn w:val="DefaultParagraphFont"/>
    <w:uiPriority w:val="99"/>
    <w:semiHidden/>
    <w:unhideWhenUsed/>
    <w:rsid w:val="00F64139"/>
    <w:rPr>
      <w:color w:val="2B579A"/>
      <w:shd w:val="clear" w:color="auto" w:fill="E6E6E6"/>
    </w:rPr>
  </w:style>
  <w:style w:type="character" w:customStyle="1" w:styleId="ParaNumChar">
    <w:name w:val="ParaNum Char"/>
    <w:link w:val="ParaNum"/>
    <w:rsid w:val="00383455"/>
    <w:rPr>
      <w:snapToGrid w:val="0"/>
      <w:kern w:val="28"/>
      <w:sz w:val="22"/>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383455"/>
  </w:style>
  <w:style w:type="character" w:customStyle="1" w:styleId="FootnoteTextChar2Char">
    <w:name w:val="Footnote Text Char2 Char"/>
    <w:aliases w:val="Footnote Text Char Char Char1 Char Char Char Char1 Char,Footnote Text Char2 Char Char Char,Footnote Text Char2 Char Char Char Char1 Char,Footnote Text Char3 Char Char Char1 Char"/>
    <w:rsid w:val="00383455"/>
  </w:style>
  <w:style w:type="paragraph" w:styleId="BalloonText">
    <w:name w:val="Balloon Text"/>
    <w:basedOn w:val="Normal"/>
    <w:link w:val="BalloonTextChar"/>
    <w:rsid w:val="00DB047C"/>
    <w:rPr>
      <w:rFonts w:ascii="Segoe UI" w:hAnsi="Segoe UI" w:cs="Segoe UI"/>
      <w:sz w:val="18"/>
      <w:szCs w:val="18"/>
    </w:rPr>
  </w:style>
  <w:style w:type="character" w:customStyle="1" w:styleId="BalloonTextChar">
    <w:name w:val="Balloon Text Char"/>
    <w:basedOn w:val="DefaultParagraphFont"/>
    <w:link w:val="BalloonText"/>
    <w:rsid w:val="00DB047C"/>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8F4E94"/>
    <w:rPr>
      <w:color w:val="808080"/>
      <w:shd w:val="clear" w:color="auto" w:fill="E6E6E6"/>
    </w:rPr>
  </w:style>
  <w:style w:type="character" w:styleId="CommentReference">
    <w:name w:val="annotation reference"/>
    <w:basedOn w:val="DefaultParagraphFont"/>
    <w:rsid w:val="005C7266"/>
    <w:rPr>
      <w:sz w:val="16"/>
      <w:szCs w:val="16"/>
    </w:rPr>
  </w:style>
  <w:style w:type="paragraph" w:styleId="CommentText">
    <w:name w:val="annotation text"/>
    <w:basedOn w:val="Normal"/>
    <w:link w:val="CommentTextChar"/>
    <w:rsid w:val="005C7266"/>
    <w:rPr>
      <w:sz w:val="20"/>
      <w:szCs w:val="20"/>
    </w:rPr>
  </w:style>
  <w:style w:type="character" w:customStyle="1" w:styleId="CommentTextChar">
    <w:name w:val="Comment Text Char"/>
    <w:basedOn w:val="DefaultParagraphFont"/>
    <w:link w:val="CommentText"/>
    <w:rsid w:val="005C7266"/>
  </w:style>
  <w:style w:type="paragraph" w:styleId="CommentSubject">
    <w:name w:val="annotation subject"/>
    <w:basedOn w:val="CommentText"/>
    <w:next w:val="CommentText"/>
    <w:link w:val="CommentSubjectChar"/>
    <w:rsid w:val="005C7266"/>
    <w:rPr>
      <w:b/>
      <w:bCs/>
    </w:rPr>
  </w:style>
  <w:style w:type="character" w:customStyle="1" w:styleId="CommentSubjectChar">
    <w:name w:val="Comment Subject Char"/>
    <w:basedOn w:val="CommentTextChar"/>
    <w:link w:val="CommentSubject"/>
    <w:rsid w:val="005C7266"/>
    <w:rPr>
      <w:b/>
      <w:bCs/>
    </w:rPr>
  </w:style>
  <w:style w:type="paragraph" w:styleId="Revision">
    <w:name w:val="Revision"/>
    <w:hidden/>
    <w:uiPriority w:val="99"/>
    <w:semiHidden/>
    <w:rsid w:val="00F33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FD6A-45B3-49B4-99B9-FE61B54D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2018-02-14T15:00:42Z</dcterms:created>
  <dcterms:modified xsi:type="dcterms:W3CDTF">2018-02-14T15:00:42Z</dcterms:modified>
</cp:coreProperties>
</file>