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24826" w:rsidRPr="00C60864" w:rsidP="00DF5615">
      <w:pPr>
        <w:pStyle w:val="Header"/>
        <w:tabs>
          <w:tab w:val="clear" w:pos="4320"/>
          <w:tab w:val="clear" w:pos="8640"/>
        </w:tabs>
        <w:jc w:val="right"/>
        <w:rPr>
          <w:b/>
        </w:rPr>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720" w:bottom="1440" w:left="720" w:header="720" w:footer="1440" w:gutter="0"/>
          <w:cols w:space="720"/>
          <w:titlePg/>
        </w:sectPr>
      </w:pPr>
      <w:bookmarkStart w:id="1" w:name="_GoBack"/>
      <w:bookmarkEnd w:id="1"/>
      <w:r>
        <w:tab/>
      </w:r>
      <w:r w:rsidR="00AD32B3">
        <w:tab/>
      </w:r>
      <w:r w:rsidR="00AD32B3">
        <w:tab/>
      </w:r>
      <w:r w:rsidR="00AD32B3">
        <w:tab/>
      </w:r>
      <w:r w:rsidR="00AD32B3">
        <w:tab/>
      </w:r>
      <w:r w:rsidR="00AD32B3">
        <w:tab/>
      </w:r>
      <w:r w:rsidR="00AD32B3">
        <w:tab/>
      </w:r>
      <w:r w:rsidR="00AD32B3">
        <w:tab/>
      </w:r>
      <w:r w:rsidR="00AD32B3">
        <w:tab/>
      </w:r>
      <w:r w:rsidR="00AD32B3">
        <w:tab/>
      </w:r>
      <w:r w:rsidR="00DF5615">
        <w:t xml:space="preserve">      </w:t>
      </w:r>
      <w:r w:rsidR="00AD32B3">
        <w:tab/>
      </w:r>
      <w:r w:rsidRPr="00C60864" w:rsidR="00AD32B3">
        <w:tab/>
      </w:r>
      <w:r w:rsidRPr="00C60864" w:rsidR="00DF5615">
        <w:t xml:space="preserve">      </w:t>
      </w:r>
      <w:r w:rsidR="007B1669">
        <w:t xml:space="preserve">  </w:t>
      </w:r>
      <w:r w:rsidRPr="00C60864" w:rsidR="00AD32B3">
        <w:rPr>
          <w:b/>
        </w:rPr>
        <w:t xml:space="preserve">DA </w:t>
      </w:r>
      <w:r w:rsidRPr="00C60864" w:rsidR="007353E0">
        <w:rPr>
          <w:b/>
        </w:rPr>
        <w:t>1</w:t>
      </w:r>
      <w:r w:rsidR="00C60864">
        <w:rPr>
          <w:b/>
        </w:rPr>
        <w:t>8</w:t>
      </w:r>
      <w:r w:rsidRPr="00C60864" w:rsidR="00AD32B3">
        <w:rPr>
          <w:b/>
        </w:rPr>
        <w:t>-</w:t>
      </w:r>
      <w:r w:rsidR="007B1669">
        <w:rPr>
          <w:b/>
        </w:rPr>
        <w:t>148</w:t>
      </w:r>
      <w:r w:rsidRPr="00C60864" w:rsidR="00AD32B3">
        <w:rPr>
          <w:b/>
        </w:rPr>
        <w:tab/>
      </w:r>
      <w:r w:rsidRPr="00C60864" w:rsidR="00AD32B3">
        <w:rPr>
          <w:b/>
        </w:rPr>
        <w:tab/>
      </w:r>
    </w:p>
    <w:p w:rsidR="00224826" w:rsidRPr="00C60864" w:rsidP="00AD32B3">
      <w:pPr>
        <w:tabs>
          <w:tab w:val="right" w:pos="9360"/>
        </w:tabs>
        <w:suppressAutoHyphens/>
        <w:spacing w:line="228" w:lineRule="auto"/>
        <w:jc w:val="right"/>
        <w:rPr>
          <w:rFonts w:ascii="Times" w:hAnsi="Times"/>
          <w:b/>
          <w:spacing w:val="-2"/>
          <w:sz w:val="22"/>
          <w:highlight w:val="cyan"/>
        </w:rPr>
      </w:pPr>
      <w:r w:rsidRPr="00C60864">
        <w:rPr>
          <w:rFonts w:ascii="Times" w:hAnsi="Times"/>
          <w:b/>
          <w:spacing w:val="-2"/>
          <w:sz w:val="22"/>
        </w:rPr>
        <w:tab/>
        <w:t xml:space="preserve">Released:  </w:t>
      </w:r>
      <w:r w:rsidRPr="00C60864" w:rsidR="00FD0EE3">
        <w:rPr>
          <w:rFonts w:ascii="Times" w:hAnsi="Times"/>
          <w:b/>
          <w:spacing w:val="-2"/>
          <w:sz w:val="22"/>
        </w:rPr>
        <w:t xml:space="preserve">February </w:t>
      </w:r>
      <w:r w:rsidR="00354B25">
        <w:rPr>
          <w:rFonts w:ascii="Times" w:hAnsi="Times"/>
          <w:b/>
          <w:spacing w:val="-2"/>
          <w:sz w:val="22"/>
        </w:rPr>
        <w:t>14</w:t>
      </w:r>
      <w:r w:rsidRPr="00C60864">
        <w:rPr>
          <w:rFonts w:ascii="Times" w:hAnsi="Times"/>
          <w:b/>
          <w:spacing w:val="-2"/>
          <w:sz w:val="22"/>
        </w:rPr>
        <w:t xml:space="preserve">, </w:t>
      </w:r>
      <w:r w:rsidRPr="00C60864" w:rsidR="008B5A5E">
        <w:rPr>
          <w:rFonts w:ascii="Times" w:hAnsi="Times"/>
          <w:b/>
          <w:spacing w:val="-2"/>
          <w:sz w:val="22"/>
        </w:rPr>
        <w:t>20</w:t>
      </w:r>
      <w:r w:rsidRPr="00C60864" w:rsidR="007353E0">
        <w:rPr>
          <w:rFonts w:ascii="Times" w:hAnsi="Times"/>
          <w:b/>
          <w:spacing w:val="-2"/>
          <w:sz w:val="22"/>
        </w:rPr>
        <w:t>1</w:t>
      </w:r>
      <w:r w:rsidRPr="00C60864" w:rsidR="00FD0EE3">
        <w:rPr>
          <w:rFonts w:ascii="Times" w:hAnsi="Times"/>
          <w:b/>
          <w:spacing w:val="-2"/>
          <w:sz w:val="22"/>
        </w:rPr>
        <w:t>8</w:t>
      </w:r>
    </w:p>
    <w:p w:rsidR="00224826" w:rsidRPr="00FD0EE3">
      <w:pPr>
        <w:tabs>
          <w:tab w:val="left" w:pos="-720"/>
        </w:tabs>
        <w:suppressAutoHyphens/>
        <w:spacing w:line="227" w:lineRule="auto"/>
        <w:jc w:val="both"/>
        <w:rPr>
          <w:rFonts w:ascii="Times" w:hAnsi="Times"/>
          <w:spacing w:val="-2"/>
          <w:sz w:val="22"/>
          <w:highlight w:val="cyan"/>
        </w:rPr>
      </w:pPr>
    </w:p>
    <w:p w:rsidR="00AD587E" w:rsidRPr="00FD0EE3" w:rsidP="00AD587E">
      <w:pPr>
        <w:pStyle w:val="BodyText"/>
        <w:rPr>
          <w:rFonts w:ascii="Times New Roman" w:hAnsi="Times New Roman"/>
          <w:highlight w:val="cyan"/>
        </w:rPr>
      </w:pPr>
      <w:r w:rsidRPr="00FD0EE3">
        <w:rPr>
          <w:rFonts w:ascii="Times New Roman" w:hAnsi="Times New Roman"/>
          <w:bCs/>
        </w:rPr>
        <w:t xml:space="preserve">WIRELESS TELECOMMUNICATIONS </w:t>
      </w:r>
      <w:r w:rsidRPr="00072D0A" w:rsidR="00224826">
        <w:rPr>
          <w:rFonts w:ascii="Times New Roman" w:hAnsi="Times New Roman"/>
          <w:bCs/>
        </w:rPr>
        <w:t xml:space="preserve">BUREAU SEEKS COMMENT ON </w:t>
      </w:r>
      <w:r w:rsidRPr="00072D0A" w:rsidR="00072D0A">
        <w:rPr>
          <w:rFonts w:ascii="Times New Roman" w:hAnsi="Times New Roman"/>
          <w:bCs/>
        </w:rPr>
        <w:t>FLINT HILLS RESOURCES PINE BEND, LLC</w:t>
      </w:r>
      <w:r w:rsidR="00C253E6">
        <w:rPr>
          <w:rFonts w:ascii="Times New Roman" w:hAnsi="Times New Roman"/>
          <w:bCs/>
        </w:rPr>
        <w:t>,</w:t>
      </w:r>
      <w:r w:rsidRPr="00072D0A" w:rsidR="00D40C79">
        <w:rPr>
          <w:rFonts w:ascii="Times New Roman" w:hAnsi="Times New Roman"/>
          <w:bCs/>
        </w:rPr>
        <w:t xml:space="preserve"> </w:t>
      </w:r>
      <w:r w:rsidRPr="00072D0A" w:rsidR="00224826">
        <w:rPr>
          <w:rFonts w:ascii="Times New Roman" w:hAnsi="Times New Roman"/>
          <w:bCs/>
        </w:rPr>
        <w:t>REQUE</w:t>
      </w:r>
      <w:r w:rsidRPr="00072D0A">
        <w:rPr>
          <w:rFonts w:ascii="Times New Roman" w:hAnsi="Times New Roman"/>
          <w:bCs/>
        </w:rPr>
        <w:t xml:space="preserve">ST FOR WAIVER </w:t>
      </w:r>
      <w:r w:rsidRPr="00072D0A" w:rsidR="00224826">
        <w:rPr>
          <w:rFonts w:ascii="Times New Roman" w:hAnsi="Times New Roman"/>
          <w:bCs/>
        </w:rPr>
        <w:t xml:space="preserve">TO </w:t>
      </w:r>
      <w:r w:rsidR="003E0024">
        <w:rPr>
          <w:rFonts w:ascii="Times New Roman" w:hAnsi="Times New Roman"/>
          <w:bCs/>
        </w:rPr>
        <w:t>LICENS</w:t>
      </w:r>
      <w:r w:rsidRPr="00072D0A" w:rsidR="00721A5F">
        <w:rPr>
          <w:rFonts w:ascii="Times New Roman" w:hAnsi="Times New Roman"/>
          <w:bCs/>
        </w:rPr>
        <w:t xml:space="preserve">E </w:t>
      </w:r>
      <w:r w:rsidRPr="004B33F8" w:rsidR="00072D0A">
        <w:rPr>
          <w:rFonts w:ascii="Times New Roman" w:hAnsi="Times New Roman"/>
          <w:bCs/>
        </w:rPr>
        <w:t xml:space="preserve">UHF </w:t>
      </w:r>
      <w:r w:rsidR="00EA33EC">
        <w:rPr>
          <w:rFonts w:ascii="Times New Roman" w:hAnsi="Times New Roman"/>
          <w:bCs/>
        </w:rPr>
        <w:t>PUBLIC SAFETY</w:t>
      </w:r>
      <w:r w:rsidR="003E0024">
        <w:rPr>
          <w:rFonts w:ascii="Times New Roman" w:hAnsi="Times New Roman"/>
          <w:bCs/>
        </w:rPr>
        <w:t xml:space="preserve"> CHANNELS</w:t>
      </w:r>
      <w:r w:rsidRPr="00072D0A" w:rsidR="00AD32B3">
        <w:rPr>
          <w:rFonts w:ascii="Times New Roman" w:hAnsi="Times New Roman"/>
          <w:bCs/>
        </w:rPr>
        <w:t xml:space="preserve"> </w:t>
      </w:r>
      <w:r w:rsidRPr="00072D0A" w:rsidR="00D40C79">
        <w:rPr>
          <w:rFonts w:ascii="Times New Roman" w:hAnsi="Times New Roman"/>
          <w:bCs/>
        </w:rPr>
        <w:t xml:space="preserve">IN </w:t>
      </w:r>
      <w:r w:rsidRPr="00072D0A" w:rsidR="00072D0A">
        <w:rPr>
          <w:rFonts w:ascii="Times New Roman" w:hAnsi="Times New Roman"/>
          <w:bCs/>
        </w:rPr>
        <w:t>MINNESOTA</w:t>
      </w:r>
    </w:p>
    <w:p w:rsidR="00224826" w:rsidRPr="00FD0EE3">
      <w:pPr>
        <w:pStyle w:val="BodyText"/>
        <w:rPr>
          <w:rFonts w:ascii="Times New Roman" w:hAnsi="Times New Roman"/>
          <w:highlight w:val="cyan"/>
        </w:rPr>
      </w:pPr>
    </w:p>
    <w:p w:rsidR="00224826" w:rsidRPr="00C60864">
      <w:pPr>
        <w:pStyle w:val="BodyText"/>
        <w:rPr>
          <w:rFonts w:ascii="Times New Roman" w:hAnsi="Times New Roman"/>
          <w:color w:val="000000"/>
          <w:szCs w:val="22"/>
        </w:rPr>
      </w:pPr>
      <w:r w:rsidRPr="00FD0EE3">
        <w:rPr>
          <w:rFonts w:ascii="Times New Roman" w:hAnsi="Times New Roman"/>
          <w:color w:val="000000"/>
          <w:szCs w:val="22"/>
        </w:rPr>
        <w:t xml:space="preserve">File No. </w:t>
      </w:r>
      <w:r w:rsidRPr="00444DDC" w:rsidR="0051092A">
        <w:rPr>
          <w:rFonts w:ascii="Times New Roman" w:hAnsi="Times New Roman"/>
          <w:color w:val="000000"/>
          <w:szCs w:val="22"/>
        </w:rPr>
        <w:t>0008061316</w:t>
      </w:r>
    </w:p>
    <w:p w:rsidR="00224826" w:rsidRPr="00C60864">
      <w:pPr>
        <w:pStyle w:val="BodyText"/>
      </w:pPr>
      <w:r w:rsidRPr="00C60864">
        <w:rPr>
          <w:rFonts w:ascii="Times New Roman" w:hAnsi="Times New Roman"/>
          <w:color w:val="000000"/>
          <w:szCs w:val="22"/>
        </w:rPr>
        <w:t xml:space="preserve"> </w:t>
      </w:r>
    </w:p>
    <w:p w:rsidR="00224826" w:rsidRPr="00C60864">
      <w:pPr>
        <w:rPr>
          <w:b/>
          <w:sz w:val="22"/>
          <w:szCs w:val="22"/>
        </w:rPr>
      </w:pPr>
      <w:r w:rsidRPr="00C60864">
        <w:rPr>
          <w:b/>
          <w:bCs/>
          <w:spacing w:val="-2"/>
          <w:sz w:val="22"/>
          <w:szCs w:val="22"/>
        </w:rPr>
        <w:t>Comment</w:t>
      </w:r>
      <w:r w:rsidRPr="00C60864">
        <w:rPr>
          <w:b/>
          <w:sz w:val="22"/>
          <w:szCs w:val="22"/>
        </w:rPr>
        <w:t xml:space="preserve"> Date: </w:t>
      </w:r>
      <w:r w:rsidRPr="00C60864" w:rsidR="008753BE">
        <w:rPr>
          <w:rFonts w:ascii="Times" w:hAnsi="Times"/>
          <w:b/>
          <w:spacing w:val="-2"/>
          <w:sz w:val="22"/>
        </w:rPr>
        <w:t xml:space="preserve"> </w:t>
      </w:r>
      <w:r w:rsidR="00354B25">
        <w:rPr>
          <w:rFonts w:ascii="Times" w:hAnsi="Times"/>
          <w:b/>
          <w:spacing w:val="-2"/>
          <w:sz w:val="22"/>
        </w:rPr>
        <w:t>March 16</w:t>
      </w:r>
      <w:r w:rsidRPr="00C60864">
        <w:rPr>
          <w:rFonts w:ascii="Times" w:hAnsi="Times"/>
          <w:b/>
          <w:spacing w:val="-2"/>
          <w:sz w:val="22"/>
        </w:rPr>
        <w:t>, 20</w:t>
      </w:r>
      <w:r w:rsidRPr="00C60864" w:rsidR="00AD32B3">
        <w:rPr>
          <w:rFonts w:ascii="Times" w:hAnsi="Times"/>
          <w:b/>
          <w:spacing w:val="-2"/>
          <w:sz w:val="22"/>
        </w:rPr>
        <w:t>1</w:t>
      </w:r>
      <w:r w:rsidRPr="00C60864" w:rsidR="00667F19">
        <w:rPr>
          <w:rFonts w:ascii="Times" w:hAnsi="Times"/>
          <w:b/>
          <w:spacing w:val="-2"/>
          <w:sz w:val="22"/>
        </w:rPr>
        <w:t>8</w:t>
      </w:r>
    </w:p>
    <w:p w:rsidR="00224826" w:rsidRPr="00667F19">
      <w:pPr>
        <w:rPr>
          <w:b/>
          <w:sz w:val="22"/>
          <w:szCs w:val="22"/>
        </w:rPr>
      </w:pPr>
      <w:r w:rsidRPr="00C60864">
        <w:rPr>
          <w:b/>
          <w:sz w:val="22"/>
          <w:szCs w:val="22"/>
        </w:rPr>
        <w:t xml:space="preserve">Reply Comment Date: </w:t>
      </w:r>
      <w:r w:rsidRPr="00C60864" w:rsidR="008753BE">
        <w:rPr>
          <w:rFonts w:ascii="Times" w:hAnsi="Times"/>
          <w:b/>
          <w:spacing w:val="-2"/>
          <w:sz w:val="22"/>
        </w:rPr>
        <w:t xml:space="preserve"> </w:t>
      </w:r>
      <w:r w:rsidR="00354B25">
        <w:rPr>
          <w:rFonts w:ascii="Times" w:hAnsi="Times"/>
          <w:b/>
          <w:spacing w:val="-2"/>
          <w:sz w:val="22"/>
        </w:rPr>
        <w:t>April 2</w:t>
      </w:r>
      <w:r w:rsidRPr="00C60864">
        <w:rPr>
          <w:rFonts w:ascii="Times" w:hAnsi="Times"/>
          <w:b/>
          <w:spacing w:val="-2"/>
          <w:sz w:val="22"/>
        </w:rPr>
        <w:t>, 20</w:t>
      </w:r>
      <w:r w:rsidRPr="00C60864" w:rsidR="00AD32B3">
        <w:rPr>
          <w:rFonts w:ascii="Times" w:hAnsi="Times"/>
          <w:b/>
          <w:spacing w:val="-2"/>
          <w:sz w:val="22"/>
        </w:rPr>
        <w:t>1</w:t>
      </w:r>
      <w:r w:rsidRPr="00C60864" w:rsidR="00667F19">
        <w:rPr>
          <w:rFonts w:ascii="Times" w:hAnsi="Times"/>
          <w:b/>
          <w:spacing w:val="-2"/>
          <w:sz w:val="22"/>
        </w:rPr>
        <w:t>8</w:t>
      </w:r>
    </w:p>
    <w:p w:rsidR="00224826" w:rsidRPr="00FD0EE3">
      <w:pPr>
        <w:rPr>
          <w:sz w:val="22"/>
          <w:szCs w:val="22"/>
          <w:highlight w:val="cyan"/>
        </w:rPr>
      </w:pPr>
    </w:p>
    <w:p w:rsidR="00224826" w:rsidRPr="0051092A">
      <w:pPr>
        <w:ind w:firstLine="720"/>
        <w:rPr>
          <w:color w:val="000000"/>
          <w:sz w:val="22"/>
          <w:szCs w:val="22"/>
        </w:rPr>
      </w:pPr>
      <w:r w:rsidRPr="00072D0A">
        <w:rPr>
          <w:color w:val="000000"/>
          <w:sz w:val="22"/>
          <w:szCs w:val="22"/>
        </w:rPr>
        <w:t>O</w:t>
      </w:r>
      <w:r w:rsidRPr="00072D0A" w:rsidR="00D40C79">
        <w:rPr>
          <w:color w:val="000000"/>
          <w:sz w:val="22"/>
          <w:szCs w:val="22"/>
        </w:rPr>
        <w:t xml:space="preserve">n </w:t>
      </w:r>
      <w:r w:rsidRPr="00072D0A" w:rsidR="000B2615">
        <w:rPr>
          <w:color w:val="000000"/>
          <w:sz w:val="22"/>
          <w:szCs w:val="22"/>
        </w:rPr>
        <w:t>January</w:t>
      </w:r>
      <w:r w:rsidRPr="00072D0A" w:rsidR="00D40C79">
        <w:rPr>
          <w:color w:val="000000"/>
          <w:sz w:val="22"/>
          <w:szCs w:val="22"/>
        </w:rPr>
        <w:t xml:space="preserve"> </w:t>
      </w:r>
      <w:r w:rsidRPr="00072D0A" w:rsidR="000B2615">
        <w:rPr>
          <w:color w:val="000000"/>
          <w:sz w:val="22"/>
          <w:szCs w:val="22"/>
        </w:rPr>
        <w:t>12</w:t>
      </w:r>
      <w:r w:rsidRPr="00072D0A" w:rsidR="008F09E1">
        <w:rPr>
          <w:color w:val="000000"/>
          <w:sz w:val="22"/>
          <w:szCs w:val="22"/>
        </w:rPr>
        <w:t>, 201</w:t>
      </w:r>
      <w:r w:rsidRPr="00072D0A" w:rsidR="000B2615">
        <w:rPr>
          <w:color w:val="000000"/>
          <w:sz w:val="22"/>
          <w:szCs w:val="22"/>
        </w:rPr>
        <w:t>8</w:t>
      </w:r>
      <w:r w:rsidRPr="00072D0A" w:rsidR="00232B11">
        <w:rPr>
          <w:color w:val="000000"/>
          <w:sz w:val="22"/>
          <w:szCs w:val="22"/>
        </w:rPr>
        <w:t xml:space="preserve">, </w:t>
      </w:r>
      <w:r w:rsidRPr="00072D0A" w:rsidR="00072D0A">
        <w:rPr>
          <w:color w:val="000000"/>
          <w:sz w:val="22"/>
          <w:szCs w:val="22"/>
        </w:rPr>
        <w:t>Flint Hills Resources Pine Bend, LLC</w:t>
      </w:r>
      <w:r w:rsidR="00C253E6">
        <w:rPr>
          <w:color w:val="000000"/>
          <w:sz w:val="22"/>
          <w:szCs w:val="22"/>
        </w:rPr>
        <w:t>,</w:t>
      </w:r>
      <w:r w:rsidRPr="00072D0A" w:rsidR="00072D0A">
        <w:rPr>
          <w:color w:val="000000"/>
          <w:sz w:val="22"/>
          <w:szCs w:val="22"/>
        </w:rPr>
        <w:t xml:space="preserve"> </w:t>
      </w:r>
      <w:r w:rsidRPr="00072D0A" w:rsidR="00D40C79">
        <w:rPr>
          <w:color w:val="000000"/>
          <w:sz w:val="22"/>
          <w:szCs w:val="22"/>
        </w:rPr>
        <w:t>(</w:t>
      </w:r>
      <w:r w:rsidRPr="00072D0A" w:rsidR="00072D0A">
        <w:rPr>
          <w:color w:val="000000"/>
          <w:sz w:val="22"/>
          <w:szCs w:val="22"/>
        </w:rPr>
        <w:t>Flint Hills Resources</w:t>
      </w:r>
      <w:r w:rsidRPr="00072D0A" w:rsidR="004A4BCC">
        <w:rPr>
          <w:color w:val="000000"/>
          <w:sz w:val="22"/>
          <w:szCs w:val="22"/>
        </w:rPr>
        <w:t>)</w:t>
      </w:r>
      <w:r w:rsidRPr="00072D0A">
        <w:rPr>
          <w:color w:val="000000"/>
          <w:sz w:val="22"/>
          <w:szCs w:val="22"/>
        </w:rPr>
        <w:t xml:space="preserve"> filed the above-</w:t>
      </w:r>
      <w:r w:rsidRPr="00693FAA" w:rsidR="00AD587E">
        <w:rPr>
          <w:color w:val="000000"/>
          <w:sz w:val="22"/>
          <w:szCs w:val="22"/>
        </w:rPr>
        <w:t>reference</w:t>
      </w:r>
      <w:r w:rsidRPr="00693FAA">
        <w:rPr>
          <w:color w:val="000000"/>
          <w:sz w:val="22"/>
          <w:szCs w:val="22"/>
        </w:rPr>
        <w:t xml:space="preserve">d application </w:t>
      </w:r>
      <w:r w:rsidR="008B73C7">
        <w:rPr>
          <w:color w:val="000000"/>
          <w:sz w:val="22"/>
          <w:szCs w:val="22"/>
        </w:rPr>
        <w:t>seeking</w:t>
      </w:r>
      <w:r w:rsidRPr="00693FAA" w:rsidR="00693FAA">
        <w:rPr>
          <w:color w:val="000000"/>
          <w:sz w:val="22"/>
          <w:szCs w:val="22"/>
        </w:rPr>
        <w:t xml:space="preserve"> </w:t>
      </w:r>
      <w:r w:rsidR="003E0024">
        <w:rPr>
          <w:color w:val="000000"/>
          <w:sz w:val="22"/>
          <w:szCs w:val="22"/>
        </w:rPr>
        <w:t xml:space="preserve">to license </w:t>
      </w:r>
      <w:r w:rsidRPr="00693FAA" w:rsidR="00693FAA">
        <w:rPr>
          <w:color w:val="000000"/>
          <w:sz w:val="22"/>
          <w:szCs w:val="22"/>
        </w:rPr>
        <w:t xml:space="preserve">three UHF </w:t>
      </w:r>
      <w:r w:rsidR="00BF2125">
        <w:rPr>
          <w:color w:val="000000"/>
          <w:sz w:val="22"/>
          <w:szCs w:val="22"/>
        </w:rPr>
        <w:t xml:space="preserve">Public Safety Radio Pool </w:t>
      </w:r>
      <w:r w:rsidRPr="00693FAA" w:rsidR="00693FAA">
        <w:rPr>
          <w:color w:val="000000"/>
          <w:sz w:val="22"/>
          <w:szCs w:val="22"/>
        </w:rPr>
        <w:t xml:space="preserve">channels </w:t>
      </w:r>
      <w:r w:rsidR="00BF2125">
        <w:rPr>
          <w:color w:val="000000"/>
          <w:sz w:val="22"/>
          <w:szCs w:val="22"/>
        </w:rPr>
        <w:t xml:space="preserve">for use </w:t>
      </w:r>
      <w:r w:rsidR="008B73C7">
        <w:rPr>
          <w:color w:val="000000"/>
          <w:sz w:val="22"/>
          <w:szCs w:val="22"/>
        </w:rPr>
        <w:t>in its radio system</w:t>
      </w:r>
      <w:r w:rsidRPr="00693FAA" w:rsidR="00693FAA">
        <w:rPr>
          <w:color w:val="000000"/>
          <w:sz w:val="22"/>
          <w:szCs w:val="22"/>
        </w:rPr>
        <w:t xml:space="preserve"> </w:t>
      </w:r>
      <w:r w:rsidRPr="00693FAA" w:rsidR="00D40C79">
        <w:rPr>
          <w:color w:val="000000"/>
          <w:sz w:val="22"/>
          <w:szCs w:val="22"/>
        </w:rPr>
        <w:t xml:space="preserve">in </w:t>
      </w:r>
      <w:r w:rsidRPr="00693FAA" w:rsidR="00693FAA">
        <w:rPr>
          <w:color w:val="000000"/>
          <w:sz w:val="22"/>
          <w:szCs w:val="22"/>
        </w:rPr>
        <w:t>Minnesota</w:t>
      </w:r>
      <w:r w:rsidRPr="00693FAA" w:rsidR="00D40C79">
        <w:rPr>
          <w:sz w:val="22"/>
          <w:szCs w:val="22"/>
        </w:rPr>
        <w:t>.</w:t>
      </w:r>
      <w:r>
        <w:rPr>
          <w:rStyle w:val="FootnoteReference"/>
          <w:sz w:val="22"/>
          <w:szCs w:val="22"/>
        </w:rPr>
        <w:footnoteReference w:id="2"/>
      </w:r>
      <w:r w:rsidRPr="00693FAA" w:rsidR="00D40C79">
        <w:rPr>
          <w:color w:val="000000"/>
          <w:sz w:val="22"/>
          <w:szCs w:val="22"/>
        </w:rPr>
        <w:t xml:space="preserve"> </w:t>
      </w:r>
      <w:r w:rsidRPr="00693FAA" w:rsidR="00D40C79">
        <w:rPr>
          <w:sz w:val="22"/>
          <w:szCs w:val="22"/>
        </w:rPr>
        <w:t xml:space="preserve"> </w:t>
      </w:r>
      <w:r w:rsidRPr="00693FAA" w:rsidR="00167EE7">
        <w:rPr>
          <w:sz w:val="22"/>
          <w:szCs w:val="22"/>
        </w:rPr>
        <w:t xml:space="preserve">In connection with </w:t>
      </w:r>
      <w:r w:rsidRPr="0051092A" w:rsidR="00167EE7">
        <w:rPr>
          <w:sz w:val="22"/>
          <w:szCs w:val="22"/>
        </w:rPr>
        <w:t>this application,</w:t>
      </w:r>
      <w:r w:rsidRPr="0051092A" w:rsidR="00D40C79">
        <w:rPr>
          <w:sz w:val="22"/>
          <w:szCs w:val="22"/>
        </w:rPr>
        <w:t xml:space="preserve"> </w:t>
      </w:r>
      <w:r w:rsidRPr="0051092A" w:rsidR="001C017F">
        <w:rPr>
          <w:color w:val="000000"/>
          <w:sz w:val="22"/>
          <w:szCs w:val="22"/>
        </w:rPr>
        <w:t xml:space="preserve">Flint Hills Resources </w:t>
      </w:r>
      <w:r w:rsidRPr="0051092A">
        <w:rPr>
          <w:color w:val="000000"/>
          <w:sz w:val="22"/>
          <w:szCs w:val="22"/>
        </w:rPr>
        <w:t>reques</w:t>
      </w:r>
      <w:r w:rsidRPr="0051092A" w:rsidR="00503380">
        <w:rPr>
          <w:color w:val="000000"/>
          <w:sz w:val="22"/>
          <w:szCs w:val="22"/>
        </w:rPr>
        <w:t>t</w:t>
      </w:r>
      <w:r w:rsidRPr="0051092A" w:rsidR="00D40C79">
        <w:rPr>
          <w:color w:val="000000"/>
          <w:sz w:val="22"/>
          <w:szCs w:val="22"/>
        </w:rPr>
        <w:t xml:space="preserve">s a waiver of </w:t>
      </w:r>
      <w:r w:rsidR="003E0024">
        <w:rPr>
          <w:color w:val="000000"/>
          <w:sz w:val="22"/>
          <w:szCs w:val="22"/>
        </w:rPr>
        <w:t xml:space="preserve">the eligibility requirements listed in </w:t>
      </w:r>
      <w:r w:rsidRPr="0051092A" w:rsidR="00D40C79">
        <w:rPr>
          <w:color w:val="000000"/>
          <w:sz w:val="22"/>
          <w:szCs w:val="22"/>
        </w:rPr>
        <w:t>s</w:t>
      </w:r>
      <w:r w:rsidRPr="0051092A" w:rsidR="00503380">
        <w:rPr>
          <w:color w:val="000000"/>
          <w:sz w:val="22"/>
          <w:szCs w:val="22"/>
        </w:rPr>
        <w:t>ection 90.</w:t>
      </w:r>
      <w:r w:rsidRPr="0051092A" w:rsidR="0051092A">
        <w:rPr>
          <w:color w:val="000000"/>
          <w:sz w:val="22"/>
          <w:szCs w:val="22"/>
        </w:rPr>
        <w:t>20</w:t>
      </w:r>
      <w:r w:rsidRPr="0051092A" w:rsidR="00D40C79">
        <w:rPr>
          <w:color w:val="000000"/>
          <w:sz w:val="22"/>
          <w:szCs w:val="22"/>
        </w:rPr>
        <w:t xml:space="preserve"> of the Commission’s r</w:t>
      </w:r>
      <w:r w:rsidRPr="0051092A">
        <w:rPr>
          <w:color w:val="000000"/>
          <w:sz w:val="22"/>
          <w:szCs w:val="22"/>
        </w:rPr>
        <w:t>ules</w:t>
      </w:r>
      <w:r w:rsidRPr="0051092A" w:rsidR="00D40C79">
        <w:rPr>
          <w:color w:val="000000"/>
          <w:sz w:val="22"/>
          <w:szCs w:val="22"/>
        </w:rPr>
        <w:t>.</w:t>
      </w:r>
      <w:r>
        <w:rPr>
          <w:rStyle w:val="FootnoteReference"/>
          <w:color w:val="000000"/>
          <w:sz w:val="22"/>
          <w:szCs w:val="22"/>
        </w:rPr>
        <w:footnoteReference w:id="3"/>
      </w:r>
    </w:p>
    <w:p w:rsidR="00384798" w:rsidRPr="00FD0EE3">
      <w:pPr>
        <w:rPr>
          <w:sz w:val="22"/>
          <w:szCs w:val="22"/>
          <w:highlight w:val="cyan"/>
        </w:rPr>
      </w:pPr>
    </w:p>
    <w:p w:rsidR="00A301EE" w:rsidP="00FD4186">
      <w:pPr>
        <w:rPr>
          <w:sz w:val="22"/>
          <w:szCs w:val="22"/>
        </w:rPr>
      </w:pPr>
      <w:r w:rsidRPr="00693FAA">
        <w:rPr>
          <w:sz w:val="22"/>
          <w:szCs w:val="22"/>
        </w:rPr>
        <w:tab/>
      </w:r>
      <w:r w:rsidRPr="00693FAA" w:rsidR="001C017F">
        <w:rPr>
          <w:color w:val="000000"/>
          <w:sz w:val="22"/>
          <w:szCs w:val="22"/>
        </w:rPr>
        <w:t>Flint</w:t>
      </w:r>
      <w:r w:rsidRPr="00072D0A" w:rsidR="001C017F">
        <w:rPr>
          <w:color w:val="000000"/>
          <w:sz w:val="22"/>
          <w:szCs w:val="22"/>
        </w:rPr>
        <w:t xml:space="preserve"> Hills </w:t>
      </w:r>
      <w:r w:rsidRPr="00EC2481" w:rsidR="001C017F">
        <w:rPr>
          <w:color w:val="000000"/>
          <w:sz w:val="22"/>
          <w:szCs w:val="22"/>
        </w:rPr>
        <w:t>Resources</w:t>
      </w:r>
      <w:r w:rsidR="008B73C7">
        <w:rPr>
          <w:color w:val="000000"/>
          <w:sz w:val="22"/>
          <w:szCs w:val="22"/>
        </w:rPr>
        <w:t xml:space="preserve"> operates </w:t>
      </w:r>
      <w:r w:rsidR="00C253E6">
        <w:rPr>
          <w:sz w:val="22"/>
          <w:szCs w:val="22"/>
        </w:rPr>
        <w:t>one of the largest oil refineries in the Unites States,</w:t>
      </w:r>
      <w:r w:rsidR="008B73C7">
        <w:rPr>
          <w:sz w:val="22"/>
          <w:szCs w:val="22"/>
        </w:rPr>
        <w:t xml:space="preserve"> in Rosemount, Minnesota.  It states that its </w:t>
      </w:r>
      <w:r w:rsidR="00EB0027">
        <w:rPr>
          <w:sz w:val="22"/>
          <w:szCs w:val="22"/>
        </w:rPr>
        <w:t>aging analog</w:t>
      </w:r>
      <w:r w:rsidR="008B73C7">
        <w:rPr>
          <w:sz w:val="22"/>
          <w:szCs w:val="22"/>
        </w:rPr>
        <w:t xml:space="preserve"> radio system </w:t>
      </w:r>
      <w:r w:rsidR="00EB0027">
        <w:rPr>
          <w:sz w:val="22"/>
          <w:szCs w:val="22"/>
        </w:rPr>
        <w:t>is no longer supported by the vendor</w:t>
      </w:r>
      <w:r w:rsidRPr="00865BE1" w:rsidR="00EC2481">
        <w:rPr>
          <w:sz w:val="22"/>
          <w:szCs w:val="22"/>
        </w:rPr>
        <w:t>,</w:t>
      </w:r>
      <w:r w:rsidRPr="00865BE1" w:rsidR="00DD54B2">
        <w:rPr>
          <w:sz w:val="22"/>
          <w:szCs w:val="22"/>
        </w:rPr>
        <w:t xml:space="preserve"> </w:t>
      </w:r>
      <w:r w:rsidR="00EB0027">
        <w:rPr>
          <w:sz w:val="22"/>
          <w:szCs w:val="22"/>
        </w:rPr>
        <w:t xml:space="preserve">and </w:t>
      </w:r>
      <w:r w:rsidRPr="00FF4189" w:rsidR="005573AF">
        <w:rPr>
          <w:sz w:val="22"/>
          <w:szCs w:val="22"/>
        </w:rPr>
        <w:t>seeks</w:t>
      </w:r>
      <w:r w:rsidRPr="00FF4189" w:rsidR="00DD54B2">
        <w:rPr>
          <w:sz w:val="22"/>
          <w:szCs w:val="22"/>
        </w:rPr>
        <w:t xml:space="preserve"> to </w:t>
      </w:r>
      <w:r w:rsidR="00EB0027">
        <w:rPr>
          <w:sz w:val="22"/>
          <w:szCs w:val="22"/>
        </w:rPr>
        <w:t>replace it with a new</w:t>
      </w:r>
      <w:r w:rsidRPr="00FF4189" w:rsidR="00DD54B2">
        <w:rPr>
          <w:sz w:val="22"/>
          <w:szCs w:val="22"/>
        </w:rPr>
        <w:t xml:space="preserve"> </w:t>
      </w:r>
      <w:r w:rsidR="00EB0027">
        <w:rPr>
          <w:sz w:val="22"/>
          <w:szCs w:val="22"/>
        </w:rPr>
        <w:t>T</w:t>
      </w:r>
      <w:r w:rsidRPr="00FF4189" w:rsidR="00FF4189">
        <w:rPr>
          <w:sz w:val="22"/>
          <w:szCs w:val="22"/>
        </w:rPr>
        <w:t>errestrial</w:t>
      </w:r>
      <w:r w:rsidR="00EB0027">
        <w:rPr>
          <w:sz w:val="22"/>
          <w:szCs w:val="22"/>
        </w:rPr>
        <w:t xml:space="preserve"> T</w:t>
      </w:r>
      <w:r w:rsidRPr="00FF4189" w:rsidR="00DD54B2">
        <w:rPr>
          <w:sz w:val="22"/>
          <w:szCs w:val="22"/>
        </w:rPr>
        <w:t xml:space="preserve">runked </w:t>
      </w:r>
      <w:r w:rsidR="00EB0027">
        <w:rPr>
          <w:sz w:val="22"/>
          <w:szCs w:val="22"/>
        </w:rPr>
        <w:t>R</w:t>
      </w:r>
      <w:r w:rsidRPr="00FF4189" w:rsidR="00DD54B2">
        <w:rPr>
          <w:sz w:val="22"/>
          <w:szCs w:val="22"/>
        </w:rPr>
        <w:t>adio system</w:t>
      </w:r>
      <w:r w:rsidR="00EB0027">
        <w:rPr>
          <w:sz w:val="22"/>
          <w:szCs w:val="22"/>
        </w:rPr>
        <w:t xml:space="preserve">.  </w:t>
      </w:r>
      <w:r w:rsidRPr="00187DA9">
        <w:rPr>
          <w:color w:val="000000"/>
          <w:sz w:val="22"/>
          <w:szCs w:val="22"/>
        </w:rPr>
        <w:t>It</w:t>
      </w:r>
      <w:r w:rsidRPr="0051092A">
        <w:rPr>
          <w:color w:val="000000"/>
          <w:sz w:val="22"/>
          <w:szCs w:val="22"/>
        </w:rPr>
        <w:t xml:space="preserve"> states that the proposed system will serve its plant operations </w:t>
      </w:r>
      <w:r w:rsidRPr="009F3EC1">
        <w:rPr>
          <w:color w:val="000000"/>
          <w:sz w:val="22"/>
          <w:szCs w:val="22"/>
        </w:rPr>
        <w:t xml:space="preserve">for purposes of plant safety, and </w:t>
      </w:r>
      <w:r>
        <w:rPr>
          <w:color w:val="000000"/>
          <w:sz w:val="22"/>
          <w:szCs w:val="22"/>
        </w:rPr>
        <w:t xml:space="preserve">that </w:t>
      </w:r>
      <w:r w:rsidRPr="009F3EC1">
        <w:rPr>
          <w:color w:val="000000"/>
          <w:sz w:val="22"/>
          <w:szCs w:val="22"/>
        </w:rPr>
        <w:t>the refinery maintains its o</w:t>
      </w:r>
      <w:r>
        <w:rPr>
          <w:color w:val="000000"/>
          <w:sz w:val="22"/>
          <w:szCs w:val="22"/>
        </w:rPr>
        <w:t>w</w:t>
      </w:r>
      <w:r w:rsidRPr="009F3EC1">
        <w:rPr>
          <w:color w:val="000000"/>
          <w:sz w:val="22"/>
          <w:szCs w:val="22"/>
        </w:rPr>
        <w:t xml:space="preserve">n fire crew and equipment </w:t>
      </w:r>
      <w:r>
        <w:rPr>
          <w:color w:val="000000"/>
          <w:sz w:val="22"/>
          <w:szCs w:val="22"/>
        </w:rPr>
        <w:t xml:space="preserve">to prevent, </w:t>
      </w:r>
      <w:r w:rsidRPr="009F3EC1">
        <w:rPr>
          <w:color w:val="000000"/>
          <w:sz w:val="22"/>
          <w:szCs w:val="22"/>
        </w:rPr>
        <w:t>manage</w:t>
      </w:r>
      <w:r>
        <w:rPr>
          <w:color w:val="000000"/>
          <w:sz w:val="22"/>
          <w:szCs w:val="22"/>
        </w:rPr>
        <w:t xml:space="preserve">, </w:t>
      </w:r>
      <w:r w:rsidRPr="009F3EC1">
        <w:rPr>
          <w:color w:val="000000"/>
          <w:sz w:val="22"/>
          <w:szCs w:val="22"/>
        </w:rPr>
        <w:t>and mitigate fire related issues at the refinery</w:t>
      </w:r>
      <w:r>
        <w:rPr>
          <w:color w:val="000000"/>
          <w:sz w:val="22"/>
          <w:szCs w:val="22"/>
        </w:rPr>
        <w:t xml:space="preserve">, thus relieving local area fire departments of primary responsibility for handling those matters. Flint Hills Resources works closely with local fire, EMS, and police departments, and supports those communities when called upon by their </w:t>
      </w:r>
      <w:r w:rsidRPr="00187DA9">
        <w:rPr>
          <w:color w:val="000000"/>
          <w:sz w:val="22"/>
          <w:szCs w:val="22"/>
        </w:rPr>
        <w:t xml:space="preserve">emergency responders.  </w:t>
      </w:r>
    </w:p>
    <w:p w:rsidR="00A301EE" w:rsidP="00FD4186">
      <w:pPr>
        <w:rPr>
          <w:sz w:val="22"/>
          <w:szCs w:val="22"/>
        </w:rPr>
      </w:pPr>
    </w:p>
    <w:p w:rsidR="00DD54B2" w:rsidP="00F16AAE">
      <w:pPr>
        <w:ind w:firstLine="720"/>
        <w:rPr>
          <w:sz w:val="22"/>
          <w:szCs w:val="22"/>
        </w:rPr>
      </w:pPr>
      <w:r>
        <w:rPr>
          <w:sz w:val="22"/>
          <w:szCs w:val="22"/>
        </w:rPr>
        <w:t>Flint Hills Resources states that, b</w:t>
      </w:r>
      <w:r w:rsidR="00EB0027">
        <w:rPr>
          <w:sz w:val="22"/>
          <w:szCs w:val="22"/>
        </w:rPr>
        <w:t xml:space="preserve">ecause of the </w:t>
      </w:r>
      <w:r>
        <w:rPr>
          <w:sz w:val="22"/>
          <w:szCs w:val="22"/>
        </w:rPr>
        <w:t xml:space="preserve">number of buildings and metal obstacles on the refinery property, two sites are needed to ensure reliable coverage.  It has been unable, however, to secure enough exclusive spectrum for which it is eligible.  Consequently, Flint Hills Resources proposes to </w:t>
      </w:r>
      <w:r w:rsidR="00B409B9">
        <w:rPr>
          <w:sz w:val="22"/>
          <w:szCs w:val="22"/>
        </w:rPr>
        <w:t>use</w:t>
      </w:r>
      <w:r>
        <w:rPr>
          <w:sz w:val="22"/>
          <w:szCs w:val="22"/>
        </w:rPr>
        <w:t xml:space="preserve"> three 450-470 MHz band Public Safety Pool channels at </w:t>
      </w:r>
      <w:r w:rsidR="00B409B9">
        <w:rPr>
          <w:sz w:val="22"/>
          <w:szCs w:val="22"/>
        </w:rPr>
        <w:t>o</w:t>
      </w:r>
      <w:r w:rsidR="003E0024">
        <w:rPr>
          <w:sz w:val="22"/>
          <w:szCs w:val="22"/>
        </w:rPr>
        <w:t>n</w:t>
      </w:r>
      <w:r w:rsidR="00B409B9">
        <w:rPr>
          <w:sz w:val="22"/>
          <w:szCs w:val="22"/>
        </w:rPr>
        <w:t>e</w:t>
      </w:r>
      <w:r>
        <w:rPr>
          <w:sz w:val="22"/>
          <w:szCs w:val="22"/>
        </w:rPr>
        <w:t xml:space="preserve"> location.</w:t>
      </w:r>
      <w:r>
        <w:rPr>
          <w:rStyle w:val="FootnoteReference"/>
          <w:sz w:val="22"/>
          <w:szCs w:val="22"/>
        </w:rPr>
        <w:footnoteReference w:id="4"/>
      </w:r>
      <w:r>
        <w:rPr>
          <w:sz w:val="22"/>
          <w:szCs w:val="22"/>
        </w:rPr>
        <w:t xml:space="preserve">  After the transition to the new system, Flint Hills Resources will cancel any existing channels that are not needed for operational purposes.</w:t>
      </w:r>
      <w:r w:rsidR="003E0024">
        <w:rPr>
          <w:sz w:val="22"/>
          <w:szCs w:val="22"/>
        </w:rPr>
        <w:t xml:space="preserve">  Flint Hills Resources’s frequency coordinator certified that no appropriate Industrial/Business channels are available at that location, and obtained concurrence from Public Safety Pool frequency coordinators that the requested channels are unassigned and will not cause interference to existing operations.</w:t>
      </w:r>
    </w:p>
    <w:p w:rsidR="00B409B9" w:rsidP="00F16AAE">
      <w:pPr>
        <w:ind w:firstLine="720"/>
        <w:rPr>
          <w:sz w:val="22"/>
          <w:szCs w:val="22"/>
        </w:rPr>
      </w:pPr>
    </w:p>
    <w:p w:rsidR="00B409B9" w:rsidRPr="0051092A" w:rsidP="00F16AAE">
      <w:pPr>
        <w:ind w:firstLine="720"/>
        <w:rPr>
          <w:sz w:val="22"/>
          <w:szCs w:val="22"/>
          <w:highlight w:val="yellow"/>
        </w:rPr>
      </w:pPr>
      <w:r>
        <w:rPr>
          <w:sz w:val="22"/>
          <w:szCs w:val="22"/>
        </w:rPr>
        <w:t xml:space="preserve">Flint Hills Resources argues that its proposed operations with directional down-tilt antennas and five watts effective radiated power will not preclude </w:t>
      </w:r>
      <w:r w:rsidR="00C253E6">
        <w:rPr>
          <w:sz w:val="22"/>
          <w:szCs w:val="22"/>
        </w:rPr>
        <w:t xml:space="preserve">reuse of these channels by Public Safety eligibles in </w:t>
      </w:r>
      <w:r w:rsidR="00C253E6">
        <w:rPr>
          <w:sz w:val="22"/>
          <w:szCs w:val="22"/>
        </w:rPr>
        <w:t>the general area, and that such reuse is not even likely to be needed because there already are a substantial number of unused UHF Public Safety Pool channels in the vicinity.</w:t>
      </w:r>
    </w:p>
    <w:p w:rsidR="00DD54B2" w:rsidRPr="00FD0EE3" w:rsidP="00FD4186">
      <w:pPr>
        <w:rPr>
          <w:sz w:val="22"/>
          <w:szCs w:val="22"/>
          <w:highlight w:val="cyan"/>
        </w:rPr>
      </w:pPr>
    </w:p>
    <w:p w:rsidR="0066202B" w:rsidRPr="00C253E6" w:rsidP="00C253E6">
      <w:pPr>
        <w:ind w:firstLine="720"/>
        <w:rPr>
          <w:sz w:val="22"/>
          <w:szCs w:val="22"/>
        </w:rPr>
      </w:pPr>
      <w:r w:rsidRPr="00AE6BA1">
        <w:rPr>
          <w:color w:val="000000"/>
          <w:sz w:val="22"/>
          <w:szCs w:val="22"/>
        </w:rPr>
        <w:t xml:space="preserve">We seek comment on </w:t>
      </w:r>
      <w:r w:rsidR="00C253E6">
        <w:rPr>
          <w:color w:val="000000"/>
          <w:sz w:val="22"/>
          <w:szCs w:val="22"/>
        </w:rPr>
        <w:t>the waiver</w:t>
      </w:r>
      <w:r w:rsidRPr="00AE6BA1" w:rsidR="001C017F">
        <w:rPr>
          <w:color w:val="000000"/>
          <w:sz w:val="22"/>
          <w:szCs w:val="22"/>
        </w:rPr>
        <w:t xml:space="preserve"> </w:t>
      </w:r>
      <w:r w:rsidRPr="00AE6BA1" w:rsidR="0007022C">
        <w:rPr>
          <w:color w:val="000000"/>
          <w:sz w:val="22"/>
          <w:szCs w:val="22"/>
        </w:rPr>
        <w:t>request.  Commenters should address whether the public interest would be served by g</w:t>
      </w:r>
      <w:r w:rsidRPr="00AE6BA1">
        <w:rPr>
          <w:color w:val="000000"/>
          <w:sz w:val="22"/>
          <w:szCs w:val="22"/>
        </w:rPr>
        <w:t xml:space="preserve">ranting a waiver </w:t>
      </w:r>
      <w:r w:rsidR="003E0024">
        <w:rPr>
          <w:color w:val="000000"/>
          <w:sz w:val="22"/>
          <w:szCs w:val="22"/>
        </w:rPr>
        <w:t xml:space="preserve">of the eligibility requirements of section 90.20(a) </w:t>
      </w:r>
      <w:r w:rsidRPr="00AE6BA1">
        <w:rPr>
          <w:color w:val="000000"/>
          <w:sz w:val="22"/>
          <w:szCs w:val="22"/>
        </w:rPr>
        <w:t xml:space="preserve">to allow </w:t>
      </w:r>
      <w:r w:rsidRPr="00072D0A" w:rsidR="001C017F">
        <w:rPr>
          <w:color w:val="000000"/>
          <w:sz w:val="22"/>
          <w:szCs w:val="22"/>
        </w:rPr>
        <w:t xml:space="preserve">Flint Hills </w:t>
      </w:r>
      <w:r w:rsidRPr="00FF4189" w:rsidR="001C017F">
        <w:rPr>
          <w:color w:val="000000"/>
          <w:sz w:val="22"/>
          <w:szCs w:val="22"/>
        </w:rPr>
        <w:t xml:space="preserve">Resources </w:t>
      </w:r>
      <w:r w:rsidRPr="00FF4189">
        <w:rPr>
          <w:color w:val="000000"/>
          <w:sz w:val="22"/>
          <w:szCs w:val="22"/>
        </w:rPr>
        <w:t xml:space="preserve">to </w:t>
      </w:r>
      <w:r w:rsidR="003E0024">
        <w:rPr>
          <w:color w:val="000000"/>
          <w:sz w:val="22"/>
          <w:szCs w:val="22"/>
        </w:rPr>
        <w:t>license a base station on three</w:t>
      </w:r>
      <w:r w:rsidRPr="00FF4189">
        <w:rPr>
          <w:color w:val="000000"/>
          <w:sz w:val="22"/>
          <w:szCs w:val="22"/>
        </w:rPr>
        <w:t xml:space="preserve"> </w:t>
      </w:r>
      <w:r w:rsidRPr="00FF4189" w:rsidR="00FF4189">
        <w:rPr>
          <w:color w:val="000000"/>
          <w:sz w:val="22"/>
          <w:szCs w:val="22"/>
        </w:rPr>
        <w:t>P</w:t>
      </w:r>
      <w:r w:rsidR="008B73C7">
        <w:rPr>
          <w:color w:val="000000"/>
          <w:sz w:val="22"/>
          <w:szCs w:val="22"/>
        </w:rPr>
        <w:t xml:space="preserve">ublic </w:t>
      </w:r>
      <w:r w:rsidRPr="00FF4189" w:rsidR="00FF4189">
        <w:rPr>
          <w:color w:val="000000"/>
          <w:sz w:val="22"/>
          <w:szCs w:val="22"/>
        </w:rPr>
        <w:t>S</w:t>
      </w:r>
      <w:r w:rsidR="008B73C7">
        <w:rPr>
          <w:color w:val="000000"/>
          <w:sz w:val="22"/>
          <w:szCs w:val="22"/>
        </w:rPr>
        <w:t>afety</w:t>
      </w:r>
      <w:r w:rsidRPr="00FF4189">
        <w:rPr>
          <w:color w:val="000000"/>
          <w:sz w:val="22"/>
          <w:szCs w:val="22"/>
        </w:rPr>
        <w:t xml:space="preserve"> </w:t>
      </w:r>
      <w:r w:rsidR="00B409B9">
        <w:rPr>
          <w:color w:val="000000"/>
          <w:sz w:val="22"/>
          <w:szCs w:val="22"/>
        </w:rPr>
        <w:t xml:space="preserve">Pool </w:t>
      </w:r>
      <w:r w:rsidR="003E0024">
        <w:rPr>
          <w:color w:val="000000"/>
          <w:sz w:val="22"/>
          <w:szCs w:val="22"/>
        </w:rPr>
        <w:t>channels</w:t>
      </w:r>
      <w:r w:rsidRPr="00FF4189">
        <w:rPr>
          <w:color w:val="000000"/>
          <w:sz w:val="22"/>
          <w:szCs w:val="22"/>
        </w:rPr>
        <w:t xml:space="preserve">.  </w:t>
      </w:r>
      <w:r w:rsidRPr="00FF4189" w:rsidR="0007022C">
        <w:rPr>
          <w:sz w:val="22"/>
          <w:szCs w:val="22"/>
        </w:rPr>
        <w:t xml:space="preserve">In particular, we seek comment from parties whose </w:t>
      </w:r>
      <w:r w:rsidRPr="00FF4189" w:rsidR="00D40C79">
        <w:rPr>
          <w:sz w:val="22"/>
          <w:szCs w:val="22"/>
        </w:rPr>
        <w:t xml:space="preserve">current or </w:t>
      </w:r>
      <w:r w:rsidRPr="00FF4189" w:rsidR="00DD54B2">
        <w:rPr>
          <w:sz w:val="22"/>
          <w:szCs w:val="22"/>
        </w:rPr>
        <w:t>future</w:t>
      </w:r>
      <w:r w:rsidRPr="00FF4189" w:rsidR="00D40C79">
        <w:rPr>
          <w:sz w:val="22"/>
          <w:szCs w:val="22"/>
        </w:rPr>
        <w:t xml:space="preserve"> </w:t>
      </w:r>
      <w:r w:rsidRPr="00FF4189" w:rsidR="0007022C">
        <w:rPr>
          <w:sz w:val="22"/>
          <w:szCs w:val="22"/>
        </w:rPr>
        <w:t>operations could be impacted by grant of the waiver.</w:t>
      </w:r>
    </w:p>
    <w:p w:rsidR="005C20A4" w:rsidRPr="00FD0EE3" w:rsidP="00FD4186">
      <w:pPr>
        <w:rPr>
          <w:highlight w:val="cyan"/>
        </w:rPr>
      </w:pPr>
    </w:p>
    <w:p w:rsidR="007D38F5" w:rsidRPr="00AE6BA1" w:rsidP="007D38F5">
      <w:pPr>
        <w:rPr>
          <w:b/>
          <w:sz w:val="22"/>
          <w:szCs w:val="22"/>
        </w:rPr>
      </w:pPr>
      <w:r w:rsidRPr="00AE6BA1">
        <w:rPr>
          <w:b/>
          <w:sz w:val="22"/>
          <w:szCs w:val="22"/>
        </w:rPr>
        <w:t>Procedural matters</w:t>
      </w:r>
    </w:p>
    <w:p w:rsidR="00224826" w:rsidRPr="00AE6BA1" w:rsidP="00FD327E">
      <w:pPr>
        <w:rPr>
          <w:sz w:val="22"/>
          <w:szCs w:val="22"/>
        </w:rPr>
      </w:pPr>
    </w:p>
    <w:p w:rsidR="00224826" w:rsidRPr="00AE6BA1">
      <w:pPr>
        <w:ind w:firstLine="720"/>
        <w:rPr>
          <w:sz w:val="22"/>
          <w:szCs w:val="22"/>
        </w:rPr>
      </w:pPr>
      <w:r w:rsidRPr="00AE6BA1">
        <w:rPr>
          <w:sz w:val="22"/>
          <w:szCs w:val="22"/>
        </w:rPr>
        <w:t xml:space="preserve">Pursuant to Sections 1.415 and 1.419 of the Commission’s rules, 47 CFR §§ 1.415, 1.419, interested parties may file comments and reply comments on or before the dates indicated on the first page of this </w:t>
      </w:r>
      <w:r w:rsidRPr="00AE6BA1">
        <w:rPr>
          <w:i/>
          <w:sz w:val="22"/>
          <w:szCs w:val="22"/>
        </w:rPr>
        <w:t>Public Notice</w:t>
      </w:r>
      <w:r w:rsidRPr="00AE6BA1">
        <w:rPr>
          <w:sz w:val="22"/>
          <w:szCs w:val="22"/>
        </w:rPr>
        <w:t xml:space="preserve">.  All comments and reply comments should reference the subject Waiver Request and the DA number indicated on this </w:t>
      </w:r>
      <w:r w:rsidRPr="00AE6BA1">
        <w:rPr>
          <w:i/>
          <w:sz w:val="22"/>
          <w:szCs w:val="22"/>
        </w:rPr>
        <w:t>Public Notice</w:t>
      </w:r>
      <w:r w:rsidR="00444DDC">
        <w:rPr>
          <w:sz w:val="22"/>
          <w:szCs w:val="22"/>
        </w:rPr>
        <w:t>.  Comments may be filed</w:t>
      </w:r>
      <w:r w:rsidRPr="00AE6BA1">
        <w:rPr>
          <w:sz w:val="22"/>
          <w:szCs w:val="22"/>
        </w:rPr>
        <w:t> (1) electronically by accessing the applicant’s file number(s) in the Commission’s Universal Service Licensing System (ULS),</w:t>
      </w:r>
      <w:r>
        <w:rPr>
          <w:rStyle w:val="FootnoteReference"/>
          <w:sz w:val="22"/>
          <w:szCs w:val="22"/>
        </w:rPr>
        <w:footnoteReference w:id="5"/>
      </w:r>
      <w:r w:rsidRPr="00AE6BA1">
        <w:rPr>
          <w:sz w:val="22"/>
          <w:szCs w:val="22"/>
        </w:rPr>
        <w:t xml:space="preserve"> or (2) by filing paper copies.</w:t>
      </w:r>
    </w:p>
    <w:p w:rsidR="00224826" w:rsidRPr="00AE6BA1">
      <w:pPr>
        <w:ind w:firstLine="720"/>
        <w:rPr>
          <w:sz w:val="22"/>
          <w:szCs w:val="22"/>
        </w:rPr>
      </w:pPr>
    </w:p>
    <w:p w:rsidR="00224826" w:rsidRPr="00AE6BA1">
      <w:pPr>
        <w:numPr>
          <w:ilvl w:val="0"/>
          <w:numId w:val="17"/>
        </w:numPr>
        <w:rPr>
          <w:sz w:val="22"/>
          <w:szCs w:val="22"/>
        </w:rPr>
      </w:pPr>
      <w:r w:rsidRPr="00AE6BA1">
        <w:rPr>
          <w:sz w:val="22"/>
          <w:szCs w:val="22"/>
        </w:rPr>
        <w:t>Electronic Filers:  Pleadings may be submitted electronically as follows:</w:t>
      </w:r>
    </w:p>
    <w:p w:rsidR="00224826" w:rsidRPr="00FD0EE3">
      <w:pPr>
        <w:ind w:firstLine="720"/>
        <w:rPr>
          <w:sz w:val="22"/>
          <w:szCs w:val="22"/>
          <w:highlight w:val="cyan"/>
        </w:rPr>
      </w:pPr>
    </w:p>
    <w:p w:rsidR="00224826" w:rsidRPr="00AE6BA1">
      <w:pPr>
        <w:ind w:firstLine="720"/>
        <w:rPr>
          <w:sz w:val="22"/>
          <w:szCs w:val="22"/>
        </w:rPr>
      </w:pPr>
      <w:r w:rsidRPr="00AE6BA1">
        <w:rPr>
          <w:sz w:val="22"/>
          <w:szCs w:val="22"/>
        </w:rPr>
        <w:t>From the ULS website at http://wireless.fcc.gov/uls/, begin the process of submitting a pleading by clicking on the “ULS Pleadings” link in the menu on the lower left side of the ULS web page.  The link will take you to the “</w:t>
      </w:r>
      <w:r w:rsidRPr="00AE6BA1">
        <w:rPr>
          <w:i/>
          <w:sz w:val="22"/>
          <w:szCs w:val="22"/>
        </w:rPr>
        <w:t>Pleading Information</w:t>
      </w:r>
      <w:r w:rsidRPr="00AE6BA1">
        <w:rPr>
          <w:sz w:val="22"/>
          <w:szCs w:val="22"/>
        </w:rPr>
        <w:t>” screen for “Non-docketed Pleadings” where you select “Reply” in the drop-down window for the type of pleading and then enter the pleadings filer information.  Completion of the contact information is optional.</w:t>
      </w:r>
      <w:r w:rsidR="0051092A">
        <w:rPr>
          <w:sz w:val="22"/>
          <w:szCs w:val="22"/>
        </w:rPr>
        <w:t xml:space="preserve"> </w:t>
      </w:r>
      <w:r w:rsidRPr="00AE6BA1">
        <w:rPr>
          <w:sz w:val="22"/>
          <w:szCs w:val="22"/>
        </w:rPr>
        <w:t xml:space="preserve"> Upon completion of this screen, please note the instructions for the filing:</w:t>
      </w:r>
      <w:r w:rsidRPr="00AE6BA1">
        <w:rPr>
          <w:i/>
          <w:sz w:val="22"/>
          <w:szCs w:val="22"/>
        </w:rPr>
        <w:t xml:space="preserve"> “Pleadings must be dated and must include a signature, in this instance an electronic signature, and the address and phone number of the signing party.”</w:t>
      </w:r>
      <w:r>
        <w:rPr>
          <w:rStyle w:val="FootnoteReference"/>
          <w:sz w:val="22"/>
          <w:szCs w:val="22"/>
        </w:rPr>
        <w:footnoteReference w:id="6"/>
      </w:r>
      <w:r w:rsidRPr="00AE6BA1">
        <w:rPr>
          <w:i/>
          <w:sz w:val="22"/>
          <w:szCs w:val="22"/>
        </w:rPr>
        <w:t xml:space="preserve">  </w:t>
      </w:r>
      <w:r w:rsidRPr="00AE6BA1">
        <w:rPr>
          <w:sz w:val="22"/>
          <w:szCs w:val="22"/>
        </w:rPr>
        <w:t>Click on “CONTINUE”.</w:t>
      </w:r>
    </w:p>
    <w:p w:rsidR="00224826" w:rsidRPr="00AE6BA1">
      <w:pPr>
        <w:ind w:firstLine="720"/>
        <w:rPr>
          <w:sz w:val="22"/>
          <w:szCs w:val="22"/>
        </w:rPr>
      </w:pPr>
    </w:p>
    <w:p w:rsidR="00224826" w:rsidRPr="00AE6BA1">
      <w:pPr>
        <w:ind w:firstLine="720"/>
        <w:rPr>
          <w:sz w:val="22"/>
          <w:szCs w:val="22"/>
        </w:rPr>
      </w:pPr>
      <w:r w:rsidRPr="00AE6BA1">
        <w:rPr>
          <w:sz w:val="22"/>
          <w:szCs w:val="22"/>
        </w:rPr>
        <w:t xml:space="preserve">The second step is to complete the </w:t>
      </w:r>
      <w:r w:rsidRPr="00AE6BA1">
        <w:rPr>
          <w:i/>
          <w:sz w:val="22"/>
          <w:szCs w:val="22"/>
        </w:rPr>
        <w:t xml:space="preserve">File Numbers/Call Signs </w:t>
      </w:r>
      <w:r w:rsidRPr="00AE6BA1">
        <w:rPr>
          <w:sz w:val="22"/>
          <w:szCs w:val="22"/>
        </w:rPr>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224826" w:rsidRPr="00AE6BA1">
      <w:pPr>
        <w:rPr>
          <w:sz w:val="22"/>
          <w:szCs w:val="22"/>
        </w:rPr>
      </w:pPr>
    </w:p>
    <w:p w:rsidR="00224826" w:rsidRPr="00AE6BA1">
      <w:pPr>
        <w:ind w:firstLine="720"/>
        <w:rPr>
          <w:sz w:val="22"/>
          <w:szCs w:val="22"/>
        </w:rPr>
      </w:pPr>
      <w:r w:rsidRPr="00AE6BA1">
        <w:rPr>
          <w:sz w:val="22"/>
          <w:szCs w:val="22"/>
        </w:rPr>
        <w:t xml:space="preserve">The third step is to complete the </w:t>
      </w:r>
      <w:r w:rsidRPr="00AE6BA1">
        <w:rPr>
          <w:i/>
          <w:sz w:val="22"/>
          <w:szCs w:val="22"/>
        </w:rPr>
        <w:t>Attach File</w:t>
      </w:r>
      <w:r w:rsidRPr="00AE6BA1">
        <w:rPr>
          <w:sz w:val="22"/>
          <w:szCs w:val="22"/>
        </w:rPr>
        <w:t xml:space="preserve"> screen to attach the pleading document.  Use the </w:t>
      </w:r>
      <w:r w:rsidRPr="00AE6BA1" w:rsidR="00AE6BA1">
        <w:rPr>
          <w:sz w:val="22"/>
          <w:szCs w:val="22"/>
        </w:rPr>
        <w:t>drop-down</w:t>
      </w:r>
      <w:r w:rsidRPr="00AE6BA1">
        <w:rPr>
          <w:sz w:val="22"/>
          <w:szCs w:val="22"/>
        </w:rPr>
        <w:t xml:space="preserve">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have the opportunity to delete any selected file from the pleading.</w:t>
      </w:r>
    </w:p>
    <w:p w:rsidR="00224826" w:rsidRPr="00AE6BA1">
      <w:pPr>
        <w:rPr>
          <w:sz w:val="22"/>
          <w:szCs w:val="22"/>
        </w:rPr>
      </w:pPr>
    </w:p>
    <w:p w:rsidR="00224826" w:rsidRPr="00AE6BA1">
      <w:pPr>
        <w:ind w:firstLine="720"/>
        <w:rPr>
          <w:sz w:val="22"/>
          <w:szCs w:val="22"/>
        </w:rPr>
      </w:pPr>
      <w:r w:rsidRPr="00AE6BA1">
        <w:rPr>
          <w:sz w:val="22"/>
          <w:szCs w:val="22"/>
        </w:rPr>
        <w:t xml:space="preserve">Finally, to complete your electronic pleading submission, click on the “SUBMIT PLEADING” button and the </w:t>
      </w:r>
      <w:r w:rsidRPr="00AE6BA1">
        <w:rPr>
          <w:i/>
          <w:sz w:val="22"/>
          <w:szCs w:val="22"/>
        </w:rPr>
        <w:t>Confirmation</w:t>
      </w:r>
      <w:r w:rsidRPr="00AE6BA1">
        <w:rPr>
          <w:sz w:val="22"/>
          <w:szCs w:val="22"/>
        </w:rPr>
        <w:t xml:space="preserve"> screen will be displayed.  The </w:t>
      </w:r>
      <w:r w:rsidRPr="00AE6BA1">
        <w:rPr>
          <w:i/>
          <w:sz w:val="22"/>
          <w:szCs w:val="22"/>
        </w:rPr>
        <w:t>Confirmation</w:t>
      </w:r>
      <w:r w:rsidRPr="00AE6BA1">
        <w:rPr>
          <w:sz w:val="22"/>
          <w:szCs w:val="22"/>
        </w:rPr>
        <w:t xml:space="preserve"> screen will display your </w:t>
      </w:r>
      <w:r w:rsidRPr="00AE6BA1">
        <w:rPr>
          <w:sz w:val="22"/>
          <w:szCs w:val="22"/>
        </w:rPr>
        <w:t>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224826" w:rsidRPr="00AE6BA1">
      <w:pPr>
        <w:ind w:firstLine="720"/>
        <w:rPr>
          <w:sz w:val="22"/>
          <w:szCs w:val="22"/>
        </w:rPr>
      </w:pPr>
    </w:p>
    <w:p w:rsidR="00224826" w:rsidRPr="00FD0EE3">
      <w:pPr>
        <w:ind w:firstLine="720"/>
        <w:rPr>
          <w:sz w:val="22"/>
          <w:szCs w:val="22"/>
          <w:highlight w:val="cyan"/>
        </w:rPr>
      </w:pPr>
      <w:r w:rsidRPr="00AE6BA1">
        <w:rPr>
          <w:sz w:val="22"/>
          <w:szCs w:val="22"/>
        </w:rPr>
        <w:t>The ULS Application and License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rsidR="00224826" w:rsidRPr="00FD0EE3">
      <w:pPr>
        <w:rPr>
          <w:sz w:val="22"/>
          <w:szCs w:val="22"/>
          <w:highlight w:val="cyan"/>
        </w:rPr>
      </w:pPr>
    </w:p>
    <w:p w:rsidR="00224826" w:rsidRPr="00AE6BA1">
      <w:pPr>
        <w:ind w:firstLine="720"/>
        <w:rPr>
          <w:sz w:val="22"/>
          <w:szCs w:val="22"/>
        </w:rPr>
      </w:pPr>
      <w:r w:rsidRPr="00AE6BA1">
        <w:rPr>
          <w:sz w:val="22"/>
          <w:szCs w:val="22"/>
        </w:rPr>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rsidR="00224826" w:rsidRPr="00AE6BA1">
      <w:pPr>
        <w:jc w:val="both"/>
        <w:rPr>
          <w:sz w:val="22"/>
          <w:szCs w:val="22"/>
        </w:rPr>
      </w:pPr>
    </w:p>
    <w:p w:rsidR="00224826" w:rsidRPr="00AE6BA1">
      <w:pPr>
        <w:numPr>
          <w:ilvl w:val="0"/>
          <w:numId w:val="17"/>
        </w:numPr>
        <w:rPr>
          <w:sz w:val="22"/>
          <w:szCs w:val="22"/>
        </w:rPr>
      </w:pPr>
      <w:r w:rsidRPr="00AE6BA1">
        <w:rPr>
          <w:sz w:val="22"/>
          <w:szCs w:val="22"/>
        </w:rPr>
        <w:t xml:space="preserve">Paper Filers:  Parties who choose to file by paper must submit an original and </w:t>
      </w:r>
      <w:r w:rsidR="00444DDC">
        <w:rPr>
          <w:sz w:val="22"/>
          <w:szCs w:val="22"/>
        </w:rPr>
        <w:t>two</w:t>
      </w:r>
      <w:r w:rsidRPr="00AE6BA1">
        <w:rPr>
          <w:sz w:val="22"/>
          <w:szCs w:val="22"/>
        </w:rPr>
        <w:t xml:space="preserve"> copies of each filing.</w:t>
      </w:r>
    </w:p>
    <w:p w:rsidR="00224826" w:rsidRPr="00AE6BA1">
      <w:pPr>
        <w:rPr>
          <w:sz w:val="22"/>
          <w:szCs w:val="22"/>
        </w:rPr>
      </w:pPr>
    </w:p>
    <w:p w:rsidR="00224826" w:rsidRPr="00AE6BA1">
      <w:pPr>
        <w:ind w:firstLine="720"/>
        <w:rPr>
          <w:sz w:val="22"/>
          <w:szCs w:val="22"/>
        </w:rPr>
      </w:pPr>
      <w:r w:rsidRPr="00AE6BA1">
        <w:rPr>
          <w:sz w:val="22"/>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224826" w:rsidRPr="00AE6BA1">
      <w:pPr>
        <w:rPr>
          <w:sz w:val="22"/>
          <w:szCs w:val="22"/>
        </w:rPr>
      </w:pPr>
    </w:p>
    <w:p w:rsidR="00224826" w:rsidRPr="00AE6BA1">
      <w:pPr>
        <w:numPr>
          <w:ilvl w:val="0"/>
          <w:numId w:val="18"/>
        </w:numPr>
        <w:tabs>
          <w:tab w:val="num" w:pos="1080"/>
          <w:tab w:val="clear" w:pos="1440"/>
        </w:tabs>
        <w:autoSpaceDE w:val="0"/>
        <w:autoSpaceDN w:val="0"/>
        <w:adjustRightInd w:val="0"/>
        <w:ind w:left="1080"/>
        <w:rPr>
          <w:sz w:val="22"/>
          <w:szCs w:val="22"/>
        </w:rPr>
      </w:pPr>
      <w:r>
        <w:rPr>
          <w:sz w:val="22"/>
        </w:rPr>
        <w:t>A</w:t>
      </w:r>
      <w:r w:rsidRPr="00AE6BA1" w:rsidR="00450594">
        <w:rPr>
          <w:sz w:val="22"/>
        </w:rPr>
        <w:t>ll hand-delivered or messenger-delivered paper filings for the Commission’s Secretary must be delivered to FCC Headquarters at 445 12</w:t>
      </w:r>
      <w:r w:rsidRPr="00AE6BA1" w:rsidR="00450594">
        <w:rPr>
          <w:sz w:val="22"/>
          <w:vertAlign w:val="superscript"/>
        </w:rPr>
        <w:t>th</w:t>
      </w:r>
      <w:r w:rsidRPr="00AE6BA1" w:rsidR="00450594">
        <w:rPr>
          <w:sz w:val="22"/>
        </w:rPr>
        <w:t xml:space="preserve"> St., SW, Room TW-A325, </w:t>
      </w:r>
      <w:smartTag w:uri="urn:schemas-microsoft-com:office:smarttags" w:element="place">
        <w:smartTag w:uri="urn:schemas-microsoft-com:office:smarttags" w:element="City">
          <w:r w:rsidRPr="00AE6BA1" w:rsidR="00450594">
            <w:rPr>
              <w:sz w:val="22"/>
            </w:rPr>
            <w:t>Washington</w:t>
          </w:r>
        </w:smartTag>
        <w:r w:rsidRPr="00AE6BA1" w:rsidR="00450594">
          <w:rPr>
            <w:sz w:val="22"/>
          </w:rPr>
          <w:t xml:space="preserve">, </w:t>
        </w:r>
        <w:smartTag w:uri="urn:schemas-microsoft-com:office:smarttags" w:element="State">
          <w:r w:rsidRPr="00AE6BA1" w:rsidR="00450594">
            <w:rPr>
              <w:sz w:val="22"/>
            </w:rPr>
            <w:t>DC</w:t>
          </w:r>
        </w:smartTag>
        <w:r w:rsidRPr="00AE6BA1" w:rsidR="00450594">
          <w:rPr>
            <w:sz w:val="22"/>
          </w:rPr>
          <w:t xml:space="preserve"> </w:t>
        </w:r>
        <w:smartTag w:uri="urn:schemas-microsoft-com:office:smarttags" w:element="PostalCode">
          <w:r w:rsidRPr="00AE6BA1" w:rsidR="00450594">
            <w:rPr>
              <w:sz w:val="22"/>
            </w:rPr>
            <w:t>20554</w:t>
          </w:r>
        </w:smartTag>
      </w:smartTag>
      <w:r w:rsidRPr="00AE6BA1" w:rsidR="00450594">
        <w:rPr>
          <w:sz w:val="22"/>
        </w:rPr>
        <w:t xml:space="preserve">.  All hand deliveries must be held together with rubber bands or fasteners.  Any envelopes must be disposed of </w:t>
      </w:r>
      <w:r w:rsidRPr="00AE6BA1" w:rsidR="00450594">
        <w:rPr>
          <w:sz w:val="22"/>
          <w:u w:val="single"/>
        </w:rPr>
        <w:t>before</w:t>
      </w:r>
      <w:r w:rsidRPr="00AE6BA1" w:rsidR="00450594">
        <w:rPr>
          <w:sz w:val="22"/>
        </w:rPr>
        <w:t xml:space="preserve"> entering the building.  </w:t>
      </w:r>
      <w:r w:rsidRPr="00AE6BA1" w:rsidR="00450594">
        <w:rPr>
          <w:sz w:val="22"/>
          <w:szCs w:val="22"/>
        </w:rPr>
        <w:t xml:space="preserve">The filing hours at this location are 8:00 a.m. to 7:00 p.m.  </w:t>
      </w:r>
    </w:p>
    <w:p w:rsidR="00224826" w:rsidRPr="00AE6BA1">
      <w:pPr>
        <w:tabs>
          <w:tab w:val="num" w:pos="1080"/>
        </w:tabs>
        <w:ind w:left="1080"/>
        <w:rPr>
          <w:sz w:val="22"/>
          <w:szCs w:val="22"/>
        </w:rPr>
      </w:pPr>
    </w:p>
    <w:p w:rsidR="00224826" w:rsidRPr="00AE6BA1">
      <w:pPr>
        <w:numPr>
          <w:ilvl w:val="0"/>
          <w:numId w:val="18"/>
        </w:numPr>
        <w:tabs>
          <w:tab w:val="num" w:pos="1080"/>
          <w:tab w:val="clear" w:pos="1440"/>
        </w:tabs>
        <w:autoSpaceDE w:val="0"/>
        <w:autoSpaceDN w:val="0"/>
        <w:adjustRightInd w:val="0"/>
        <w:ind w:left="1080"/>
        <w:rPr>
          <w:color w:val="000000"/>
          <w:sz w:val="22"/>
          <w:szCs w:val="22"/>
        </w:rPr>
      </w:pPr>
      <w:r w:rsidRPr="00AE6BA1">
        <w:rPr>
          <w:sz w:val="22"/>
          <w:szCs w:val="22"/>
        </w:rPr>
        <w:t xml:space="preserve">Commercial overnight mail (other than U.S. Postal Service Express Mail and Priority Mail) must be sent to </w:t>
      </w:r>
      <w:r w:rsidR="00444DDC">
        <w:rPr>
          <w:sz w:val="22"/>
          <w:szCs w:val="22"/>
        </w:rPr>
        <w:t>9050 Junction Drive, Annapolis Junction, MD  20701</w:t>
      </w:r>
      <w:r w:rsidR="00557788">
        <w:rPr>
          <w:color w:val="000000"/>
          <w:sz w:val="22"/>
          <w:szCs w:val="22"/>
        </w:rPr>
        <w:t>.</w:t>
      </w:r>
    </w:p>
    <w:p w:rsidR="00224826" w:rsidRPr="00AE6BA1">
      <w:pPr>
        <w:tabs>
          <w:tab w:val="num" w:pos="1080"/>
        </w:tabs>
        <w:autoSpaceDE w:val="0"/>
        <w:autoSpaceDN w:val="0"/>
        <w:adjustRightInd w:val="0"/>
        <w:ind w:left="1080"/>
        <w:rPr>
          <w:color w:val="000000"/>
          <w:sz w:val="22"/>
          <w:szCs w:val="22"/>
        </w:rPr>
      </w:pPr>
    </w:p>
    <w:p w:rsidR="00224826" w:rsidRPr="00AE6BA1">
      <w:pPr>
        <w:numPr>
          <w:ilvl w:val="0"/>
          <w:numId w:val="18"/>
        </w:numPr>
        <w:tabs>
          <w:tab w:val="num" w:pos="1080"/>
          <w:tab w:val="clear" w:pos="1440"/>
        </w:tabs>
        <w:autoSpaceDE w:val="0"/>
        <w:autoSpaceDN w:val="0"/>
        <w:adjustRightInd w:val="0"/>
        <w:ind w:left="1080"/>
        <w:rPr>
          <w:color w:val="000000"/>
          <w:sz w:val="22"/>
          <w:szCs w:val="22"/>
        </w:rPr>
      </w:pPr>
      <w:r w:rsidRPr="00AE6BA1">
        <w:rPr>
          <w:sz w:val="22"/>
          <w:szCs w:val="22"/>
        </w:rPr>
        <w:t>U.S. Postal Service first-class, Express, and Priority mail must be addressed to 445 12</w:t>
      </w:r>
      <w:r w:rsidRPr="00AE6BA1">
        <w:rPr>
          <w:sz w:val="22"/>
          <w:szCs w:val="22"/>
          <w:vertAlign w:val="superscript"/>
        </w:rPr>
        <w:t>th</w:t>
      </w:r>
      <w:r w:rsidRPr="00AE6BA1">
        <w:rPr>
          <w:sz w:val="22"/>
          <w:szCs w:val="22"/>
        </w:rPr>
        <w:t xml:space="preserve"> Street, SW, Washington DC  20554</w:t>
      </w:r>
      <w:r w:rsidRPr="00AE6BA1">
        <w:rPr>
          <w:color w:val="000000"/>
          <w:sz w:val="22"/>
          <w:szCs w:val="22"/>
        </w:rPr>
        <w:t>.</w:t>
      </w:r>
    </w:p>
    <w:p w:rsidR="00224826" w:rsidRPr="00AE6BA1">
      <w:pPr>
        <w:rPr>
          <w:sz w:val="22"/>
          <w:szCs w:val="22"/>
        </w:rPr>
      </w:pPr>
    </w:p>
    <w:p w:rsidR="00224826" w:rsidRPr="0022532B">
      <w:pPr>
        <w:rPr>
          <w:sz w:val="22"/>
          <w:szCs w:val="22"/>
        </w:rPr>
      </w:pPr>
      <w:r w:rsidRPr="00AE6BA1">
        <w:rPr>
          <w:sz w:val="22"/>
          <w:szCs w:val="22"/>
        </w:rPr>
        <w:tab/>
        <w:t>The application, waiver request, and comments and reply comments can be accessed electronically via the Commission’s Universal Licensing System, http://wireless.fcc.gov/uls.  The full text of the Waiver Request, comments and reply comments will be available for inspection and duplication during regular business hours in the FCC Reference Information Center (RIC) of the Consumer and Governmental Affairs Bureau, Federal Communications Commission, 445 12</w:t>
      </w:r>
      <w:r w:rsidRPr="00AE6BA1">
        <w:rPr>
          <w:sz w:val="22"/>
          <w:szCs w:val="22"/>
          <w:vertAlign w:val="superscript"/>
        </w:rPr>
        <w:t>th</w:t>
      </w:r>
      <w:r w:rsidRPr="00AE6BA1">
        <w:rPr>
          <w:sz w:val="22"/>
          <w:szCs w:val="22"/>
        </w:rPr>
        <w:t xml:space="preserve"> Street, S.W., Room CY-A257, Washington, DC  20554.  </w:t>
      </w:r>
    </w:p>
    <w:p w:rsidR="00224826" w:rsidRPr="0022532B">
      <w:pPr>
        <w:rPr>
          <w:sz w:val="22"/>
          <w:szCs w:val="22"/>
        </w:rPr>
      </w:pPr>
    </w:p>
    <w:p w:rsidR="00DD54B2" w:rsidRPr="00FD0EE3" w:rsidP="00DD54B2">
      <w:pPr>
        <w:widowControl w:val="0"/>
        <w:spacing w:after="120"/>
        <w:ind w:firstLine="720"/>
        <w:rPr>
          <w:snapToGrid w:val="0"/>
          <w:kern w:val="28"/>
          <w:sz w:val="22"/>
          <w:szCs w:val="22"/>
          <w:highlight w:val="cyan"/>
        </w:rPr>
      </w:pPr>
      <w:r w:rsidRPr="0022532B">
        <w:rPr>
          <w:snapToGrid w:val="0"/>
          <w:kern w:val="28"/>
          <w:sz w:val="22"/>
          <w:szCs w:val="22"/>
        </w:rPr>
        <w:t xml:space="preserve">This proceeding has been designated as a “permit-but-disclose” proceeding in accordance with the Commission's </w:t>
      </w:r>
      <w:r w:rsidRPr="0022532B">
        <w:rPr>
          <w:i/>
          <w:snapToGrid w:val="0"/>
          <w:kern w:val="28"/>
          <w:sz w:val="22"/>
          <w:szCs w:val="22"/>
        </w:rPr>
        <w:t>ex parte</w:t>
      </w:r>
      <w:r w:rsidRPr="0022532B">
        <w:rPr>
          <w:snapToGrid w:val="0"/>
          <w:kern w:val="28"/>
          <w:sz w:val="22"/>
          <w:szCs w:val="22"/>
        </w:rPr>
        <w:t xml:space="preserve"> rules.</w:t>
      </w:r>
      <w:r>
        <w:rPr>
          <w:snapToGrid w:val="0"/>
          <w:kern w:val="28"/>
          <w:sz w:val="22"/>
          <w:szCs w:val="22"/>
          <w:vertAlign w:val="superscript"/>
        </w:rPr>
        <w:footnoteReference w:id="7"/>
      </w:r>
      <w:r w:rsidRPr="0022532B">
        <w:rPr>
          <w:snapToGrid w:val="0"/>
          <w:kern w:val="28"/>
          <w:sz w:val="22"/>
          <w:szCs w:val="22"/>
        </w:rPr>
        <w:t xml:space="preserve">  Persons making </w:t>
      </w:r>
      <w:r w:rsidRPr="0022532B">
        <w:rPr>
          <w:i/>
          <w:snapToGrid w:val="0"/>
          <w:kern w:val="28"/>
          <w:sz w:val="22"/>
          <w:szCs w:val="22"/>
        </w:rPr>
        <w:t xml:space="preserve">ex parte </w:t>
      </w:r>
      <w:r w:rsidRPr="0022532B">
        <w:rPr>
          <w:snapToGrid w:val="0"/>
          <w:kern w:val="28"/>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2532B">
        <w:rPr>
          <w:i/>
          <w:iCs/>
          <w:snapToGrid w:val="0"/>
          <w:kern w:val="28"/>
          <w:sz w:val="22"/>
          <w:szCs w:val="22"/>
        </w:rPr>
        <w:t xml:space="preserve">ex parte </w:t>
      </w:r>
      <w:r w:rsidRPr="0022532B">
        <w:rPr>
          <w:snapToGrid w:val="0"/>
          <w:kern w:val="28"/>
          <w:sz w:val="22"/>
          <w:szCs w:val="22"/>
        </w:rPr>
        <w:t xml:space="preserve">presentations are reminded that memoranda summarizing the presentation must (1) list all persons attending or otherwise participating in the meeting at which the </w:t>
      </w:r>
      <w:r w:rsidRPr="0022532B">
        <w:rPr>
          <w:i/>
          <w:iCs/>
          <w:snapToGrid w:val="0"/>
          <w:kern w:val="28"/>
          <w:sz w:val="22"/>
          <w:szCs w:val="22"/>
        </w:rPr>
        <w:t xml:space="preserve">ex parte </w:t>
      </w:r>
      <w:r w:rsidRPr="0022532B">
        <w:rPr>
          <w:snapToGrid w:val="0"/>
          <w:kern w:val="28"/>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2532B">
        <w:rPr>
          <w:i/>
          <w:iCs/>
          <w:snapToGrid w:val="0"/>
          <w:kern w:val="28"/>
          <w:sz w:val="22"/>
          <w:szCs w:val="22"/>
        </w:rPr>
        <w:t xml:space="preserve">ex parte </w:t>
      </w:r>
      <w:r w:rsidRPr="0022532B">
        <w:rPr>
          <w:snapToGrid w:val="0"/>
          <w:kern w:val="28"/>
          <w:sz w:val="22"/>
          <w:szCs w:val="22"/>
        </w:rPr>
        <w:t xml:space="preserve">meetings are deemed to be written </w:t>
      </w:r>
      <w:r w:rsidRPr="0022532B">
        <w:rPr>
          <w:i/>
          <w:iCs/>
          <w:snapToGrid w:val="0"/>
          <w:kern w:val="28"/>
          <w:sz w:val="22"/>
          <w:szCs w:val="22"/>
        </w:rPr>
        <w:t>ex parte</w:t>
      </w:r>
      <w:r w:rsidRPr="0022532B">
        <w:rPr>
          <w:snapToGrid w:val="0"/>
          <w:kern w:val="28"/>
          <w:sz w:val="22"/>
          <w:szCs w:val="22"/>
        </w:rPr>
        <w:t xml:space="preserve"> presentations and must be filed consistent with rule 1.1206(b).  In proceedings governed by rule 1.49(f) or for which the Commission has made available a method of electronic filing, written </w:t>
      </w:r>
      <w:r w:rsidRPr="0022532B">
        <w:rPr>
          <w:i/>
          <w:iCs/>
          <w:snapToGrid w:val="0"/>
          <w:kern w:val="28"/>
          <w:sz w:val="22"/>
          <w:szCs w:val="22"/>
        </w:rPr>
        <w:t xml:space="preserve">ex parte </w:t>
      </w:r>
      <w:r w:rsidRPr="0022532B">
        <w:rPr>
          <w:snapToGrid w:val="0"/>
          <w:kern w:val="28"/>
          <w:sz w:val="22"/>
          <w:szCs w:val="22"/>
        </w:rPr>
        <w:t xml:space="preserve">presentations and memoranda summarizing oral </w:t>
      </w:r>
      <w:r w:rsidRPr="0022532B">
        <w:rPr>
          <w:i/>
          <w:iCs/>
          <w:snapToGrid w:val="0"/>
          <w:kern w:val="28"/>
          <w:sz w:val="22"/>
          <w:szCs w:val="22"/>
        </w:rPr>
        <w:t xml:space="preserve">ex parte </w:t>
      </w:r>
      <w:r w:rsidRPr="0022532B">
        <w:rPr>
          <w:snapToGrid w:val="0"/>
          <w:kern w:val="28"/>
          <w:sz w:val="22"/>
          <w:szCs w:val="22"/>
        </w:rPr>
        <w:t>presentations, and all attachments thereto, must be filed through the electronic comment filing system available for that proceeding, and must be filed in their native format (</w:t>
      </w:r>
      <w:r w:rsidRPr="0022532B">
        <w:rPr>
          <w:i/>
          <w:iCs/>
          <w:snapToGrid w:val="0"/>
          <w:kern w:val="28"/>
          <w:sz w:val="22"/>
          <w:szCs w:val="22"/>
        </w:rPr>
        <w:t>e.g.</w:t>
      </w:r>
      <w:r w:rsidRPr="0022532B">
        <w:rPr>
          <w:snapToGrid w:val="0"/>
          <w:kern w:val="28"/>
          <w:sz w:val="22"/>
          <w:szCs w:val="22"/>
        </w:rPr>
        <w:t xml:space="preserve">, .doc, .xml, .ppt, searchable .pdf).  Participants in this proceeding should familiarize themselves with the Commission’s </w:t>
      </w:r>
      <w:r w:rsidRPr="0022532B">
        <w:rPr>
          <w:i/>
          <w:iCs/>
          <w:snapToGrid w:val="0"/>
          <w:kern w:val="28"/>
          <w:sz w:val="22"/>
          <w:szCs w:val="22"/>
        </w:rPr>
        <w:t xml:space="preserve">ex parte </w:t>
      </w:r>
      <w:r w:rsidRPr="0022532B">
        <w:rPr>
          <w:snapToGrid w:val="0"/>
          <w:kern w:val="28"/>
          <w:sz w:val="22"/>
          <w:szCs w:val="22"/>
        </w:rPr>
        <w:t>rules.</w:t>
      </w:r>
    </w:p>
    <w:p w:rsidR="00224826" w:rsidRPr="0022532B">
      <w:pPr>
        <w:ind w:firstLine="720"/>
        <w:rPr>
          <w:sz w:val="22"/>
          <w:szCs w:val="22"/>
        </w:rPr>
      </w:pPr>
      <w:r w:rsidRPr="00FD0EE3">
        <w:rPr>
          <w:sz w:val="22"/>
          <w:szCs w:val="22"/>
        </w:rPr>
        <w:t xml:space="preserve">People with Disabilities:  To request materials in accessible formats for people with disabilities (braille, large print, electronic files, audio format), send an e-mail to fcc504@fcc.gov or call the Consumer &amp; Governmental Affairs Bureau at </w:t>
      </w:r>
      <w:r w:rsidRPr="00FD0EE3" w:rsidR="00450594">
        <w:rPr>
          <w:sz w:val="22"/>
          <w:szCs w:val="22"/>
        </w:rPr>
        <w:t>(</w:t>
      </w:r>
      <w:r w:rsidRPr="0022532B">
        <w:rPr>
          <w:sz w:val="22"/>
          <w:szCs w:val="22"/>
        </w:rPr>
        <w:t>202</w:t>
      </w:r>
      <w:r w:rsidRPr="0022532B" w:rsidR="00450594">
        <w:rPr>
          <w:sz w:val="22"/>
          <w:szCs w:val="22"/>
        </w:rPr>
        <w:t xml:space="preserve">) </w:t>
      </w:r>
      <w:r w:rsidRPr="0022532B">
        <w:rPr>
          <w:sz w:val="22"/>
          <w:szCs w:val="22"/>
        </w:rPr>
        <w:t xml:space="preserve">418-0530 (voice), </w:t>
      </w:r>
      <w:r w:rsidRPr="0022532B" w:rsidR="00450594">
        <w:rPr>
          <w:sz w:val="22"/>
          <w:szCs w:val="22"/>
        </w:rPr>
        <w:t>(</w:t>
      </w:r>
      <w:r w:rsidRPr="0022532B">
        <w:rPr>
          <w:sz w:val="22"/>
          <w:szCs w:val="22"/>
        </w:rPr>
        <w:t>202</w:t>
      </w:r>
      <w:r w:rsidRPr="0022532B" w:rsidR="00450594">
        <w:rPr>
          <w:sz w:val="22"/>
          <w:szCs w:val="22"/>
        </w:rPr>
        <w:t xml:space="preserve">) </w:t>
      </w:r>
      <w:r w:rsidRPr="0022532B">
        <w:rPr>
          <w:sz w:val="22"/>
          <w:szCs w:val="22"/>
        </w:rPr>
        <w:t>418-0432 (tty).</w:t>
      </w:r>
    </w:p>
    <w:p w:rsidR="00224826" w:rsidRPr="0022532B">
      <w:pPr>
        <w:rPr>
          <w:sz w:val="22"/>
          <w:szCs w:val="22"/>
        </w:rPr>
      </w:pPr>
    </w:p>
    <w:p w:rsidR="00224826" w:rsidRPr="00FD0EE3">
      <w:pPr>
        <w:ind w:firstLine="720"/>
        <w:rPr>
          <w:rFonts w:eastAsia="MS Mincho"/>
          <w:sz w:val="22"/>
          <w:szCs w:val="22"/>
        </w:rPr>
      </w:pPr>
      <w:r w:rsidRPr="0022532B">
        <w:rPr>
          <w:rFonts w:eastAsia="MS Mincho"/>
          <w:sz w:val="22"/>
          <w:szCs w:val="22"/>
        </w:rPr>
        <w:t xml:space="preserve">For further information, contact Mr. </w:t>
      </w:r>
      <w:r w:rsidRPr="0022532B" w:rsidR="00FD327E">
        <w:rPr>
          <w:sz w:val="22"/>
          <w:szCs w:val="22"/>
        </w:rPr>
        <w:t>Melvin Spann</w:t>
      </w:r>
      <w:r w:rsidRPr="0022532B" w:rsidR="00FD327E">
        <w:rPr>
          <w:rFonts w:eastAsia="MS Mincho"/>
          <w:sz w:val="22"/>
          <w:szCs w:val="22"/>
        </w:rPr>
        <w:t xml:space="preserve"> of the Wireless Telecommunications Bureau at (202) 418-133</w:t>
      </w:r>
      <w:r w:rsidRPr="0022532B">
        <w:rPr>
          <w:rFonts w:eastAsia="MS Mincho"/>
          <w:sz w:val="22"/>
          <w:szCs w:val="22"/>
        </w:rPr>
        <w:t>3</w:t>
      </w:r>
      <w:r w:rsidRPr="0022532B" w:rsidR="00450594">
        <w:rPr>
          <w:rFonts w:eastAsia="MS Mincho"/>
          <w:sz w:val="22"/>
          <w:szCs w:val="22"/>
        </w:rPr>
        <w:t xml:space="preserve"> (voice), (202) 418-7233 (TTY),</w:t>
      </w:r>
      <w:r w:rsidRPr="0022532B" w:rsidR="00FD327E">
        <w:rPr>
          <w:rFonts w:eastAsia="MS Mincho"/>
          <w:sz w:val="22"/>
          <w:szCs w:val="22"/>
        </w:rPr>
        <w:t xml:space="preserve"> </w:t>
      </w:r>
      <w:r w:rsidRPr="0022532B">
        <w:rPr>
          <w:rFonts w:eastAsia="MS Mincho"/>
          <w:sz w:val="22"/>
          <w:szCs w:val="22"/>
        </w:rPr>
        <w:t xml:space="preserve">or via e-mail to </w:t>
      </w:r>
      <w:r w:rsidRPr="0022532B" w:rsidR="00FD327E">
        <w:rPr>
          <w:sz w:val="22"/>
          <w:szCs w:val="22"/>
        </w:rPr>
        <w:t>Melvin.Spann</w:t>
      </w:r>
      <w:r w:rsidRPr="0022532B">
        <w:rPr>
          <w:rFonts w:eastAsia="MS Mincho"/>
          <w:sz w:val="22"/>
          <w:szCs w:val="22"/>
        </w:rPr>
        <w:t>@fcc.gov.</w:t>
      </w:r>
    </w:p>
    <w:p w:rsidR="00224826" w:rsidRPr="00FD0EE3">
      <w:pPr>
        <w:autoSpaceDE w:val="0"/>
        <w:autoSpaceDN w:val="0"/>
        <w:adjustRightInd w:val="0"/>
        <w:rPr>
          <w:color w:val="000000"/>
          <w:sz w:val="22"/>
          <w:szCs w:val="22"/>
        </w:rPr>
      </w:pPr>
    </w:p>
    <w:p w:rsidR="001D1B2B" w:rsidRPr="00FD0EE3" w:rsidP="001D1B2B">
      <w:pPr>
        <w:ind w:firstLine="720"/>
        <w:rPr>
          <w:sz w:val="22"/>
          <w:szCs w:val="22"/>
        </w:rPr>
      </w:pPr>
      <w:r w:rsidRPr="00FD0EE3">
        <w:rPr>
          <w:sz w:val="22"/>
          <w:szCs w:val="22"/>
        </w:rPr>
        <w:t xml:space="preserve">By the Deputy Chief, </w:t>
      </w:r>
      <w:r w:rsidRPr="00FD0EE3" w:rsidR="00657741">
        <w:rPr>
          <w:sz w:val="22"/>
          <w:szCs w:val="22"/>
        </w:rPr>
        <w:t xml:space="preserve">Mobility Division, </w:t>
      </w:r>
      <w:r w:rsidRPr="00FD0EE3">
        <w:rPr>
          <w:sz w:val="22"/>
          <w:szCs w:val="22"/>
        </w:rPr>
        <w:t xml:space="preserve">Wireless Telecommunications </w:t>
      </w:r>
      <w:r w:rsidRPr="00FD0EE3" w:rsidR="00224826">
        <w:rPr>
          <w:sz w:val="22"/>
          <w:szCs w:val="22"/>
        </w:rPr>
        <w:t>Bureau.</w:t>
      </w:r>
    </w:p>
    <w:p w:rsidR="00DD54B2" w:rsidRPr="00FD0EE3" w:rsidP="001D1B2B">
      <w:pPr>
        <w:ind w:firstLine="720"/>
        <w:rPr>
          <w:sz w:val="22"/>
          <w:szCs w:val="22"/>
        </w:rPr>
      </w:pPr>
    </w:p>
    <w:p w:rsidR="00224826" w:rsidRPr="002A0E93" w:rsidP="002A0E93">
      <w:pPr>
        <w:ind w:left="3600" w:firstLine="720"/>
        <w:rPr>
          <w:sz w:val="22"/>
          <w:szCs w:val="22"/>
        </w:rPr>
      </w:pPr>
      <w:r w:rsidRPr="00FD0EE3">
        <w:t>- FCC -</w:t>
      </w:r>
    </w:p>
    <w:sectPr>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4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23F">
      <w:rPr>
        <w:rStyle w:val="PageNumber"/>
        <w:noProof/>
      </w:rPr>
      <w:t>2</w:t>
    </w:r>
    <w:r>
      <w:rPr>
        <w:rStyle w:val="PageNumber"/>
      </w:rPr>
      <w:fldChar w:fldCharType="end"/>
    </w:r>
  </w:p>
  <w:p w:rsidR="00224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7DCF">
      <w:r>
        <w:separator/>
      </w:r>
    </w:p>
  </w:footnote>
  <w:footnote w:type="continuationSeparator" w:id="1">
    <w:p w:rsidR="00367DCF">
      <w:r>
        <w:continuationSeparator/>
      </w:r>
    </w:p>
  </w:footnote>
  <w:footnote w:id="2">
    <w:p w:rsidR="00D40C79" w:rsidRPr="001C017F" w:rsidP="00D40C79">
      <w:pPr>
        <w:pStyle w:val="FootnoteText"/>
        <w:rPr>
          <w:highlight w:val="yellow"/>
        </w:rPr>
      </w:pPr>
      <w:r w:rsidRPr="00693FAA">
        <w:rPr>
          <w:rStyle w:val="FootnoteReference"/>
        </w:rPr>
        <w:footnoteRef/>
      </w:r>
      <w:r w:rsidRPr="00693FAA">
        <w:t xml:space="preserve"> </w:t>
      </w:r>
      <w:r w:rsidRPr="00693FAA">
        <w:rPr>
          <w:i/>
        </w:rPr>
        <w:t>See</w:t>
      </w:r>
      <w:r w:rsidRPr="00693FAA">
        <w:t xml:space="preserve"> File No. </w:t>
      </w:r>
      <w:r w:rsidRPr="00693FAA" w:rsidR="00693FAA">
        <w:t xml:space="preserve">0008061316 </w:t>
      </w:r>
      <w:r w:rsidRPr="00693FAA">
        <w:t xml:space="preserve">(filed </w:t>
      </w:r>
      <w:r w:rsidRPr="00693FAA" w:rsidR="00693FAA">
        <w:t>Jan</w:t>
      </w:r>
      <w:r w:rsidRPr="00693FAA">
        <w:t>. 1</w:t>
      </w:r>
      <w:r w:rsidRPr="00693FAA" w:rsidR="00693FAA">
        <w:t>2</w:t>
      </w:r>
      <w:r w:rsidRPr="00693FAA">
        <w:t>, 201</w:t>
      </w:r>
      <w:r w:rsidRPr="00693FAA" w:rsidR="00693FAA">
        <w:t>8</w:t>
      </w:r>
      <w:r w:rsidRPr="00693FAA">
        <w:t xml:space="preserve">).  </w:t>
      </w:r>
    </w:p>
  </w:footnote>
  <w:footnote w:id="3">
    <w:p w:rsidR="00F64682" w:rsidRPr="001C017F" w:rsidP="00F64682">
      <w:pPr>
        <w:pStyle w:val="FootnoteText"/>
        <w:rPr>
          <w:highlight w:val="yellow"/>
        </w:rPr>
      </w:pPr>
      <w:r w:rsidRPr="00667F19">
        <w:rPr>
          <w:rStyle w:val="FootnoteReference"/>
        </w:rPr>
        <w:footnoteRef/>
      </w:r>
      <w:r w:rsidRPr="00667F19" w:rsidR="00503380">
        <w:t xml:space="preserve"> 47 CFR § 90.</w:t>
      </w:r>
      <w:r w:rsidRPr="00667F19" w:rsidR="00667F19">
        <w:t>20</w:t>
      </w:r>
      <w:r w:rsidRPr="00667F19">
        <w:rPr>
          <w:color w:val="000000"/>
          <w:sz w:val="22"/>
          <w:szCs w:val="22"/>
        </w:rPr>
        <w:t>.</w:t>
      </w:r>
    </w:p>
  </w:footnote>
  <w:footnote w:id="4">
    <w:p w:rsidR="00B409B9">
      <w:pPr>
        <w:pStyle w:val="FootnoteText"/>
      </w:pPr>
      <w:r>
        <w:rPr>
          <w:rStyle w:val="FootnoteReference"/>
        </w:rPr>
        <w:footnoteRef/>
      </w:r>
      <w:r>
        <w:t xml:space="preserve"> Specifically, </w:t>
      </w:r>
      <w:r w:rsidR="003E0024">
        <w:t xml:space="preserve">Flint Hills Resources seeks to license Public Safety Pool </w:t>
      </w:r>
      <w:r>
        <w:t>frequency pairs 460/465.100 MHz, 460/465.250 MHz, and 460/465.525 MHz</w:t>
      </w:r>
      <w:r w:rsidR="003E0024">
        <w:t xml:space="preserve"> at Location 1 on its application</w:t>
      </w:r>
      <w:r>
        <w:t>.</w:t>
      </w:r>
    </w:p>
  </w:footnote>
  <w:footnote w:id="5">
    <w:p w:rsidR="00224826" w:rsidRPr="001C017F">
      <w:pPr>
        <w:pStyle w:val="FootnoteText"/>
        <w:rPr>
          <w:rFonts w:ascii="Arial" w:hAnsi="Arial" w:cs="Arial"/>
          <w:highlight w:val="yellow"/>
        </w:rPr>
      </w:pPr>
      <w:r w:rsidRPr="00AE6BA1">
        <w:rPr>
          <w:rStyle w:val="FootnoteReference"/>
        </w:rPr>
        <w:footnoteRef/>
      </w:r>
      <w:r w:rsidRPr="00AE6BA1">
        <w:t xml:space="preserve"> </w:t>
      </w:r>
      <w:r w:rsidRPr="00AE6BA1">
        <w:rPr>
          <w:i/>
        </w:rPr>
        <w:t xml:space="preserve">See </w:t>
      </w:r>
      <w:r w:rsidRPr="00AE6BA1">
        <w:t xml:space="preserve">“Wireless Telecommunications Bureau Enhances the Commission’s Universal Licensing System to Implement Electronic Filing for Pleadings,” </w:t>
      </w:r>
      <w:r w:rsidRPr="00AE6BA1">
        <w:rPr>
          <w:i/>
        </w:rPr>
        <w:t xml:space="preserve">Public Notice, </w:t>
      </w:r>
      <w:r w:rsidRPr="00AE6BA1">
        <w:t xml:space="preserve">21 FCC Rcd 424 (WTB 2006).  </w:t>
      </w:r>
      <w:r w:rsidRPr="00AE6BA1">
        <w:rPr>
          <w:i/>
        </w:rPr>
        <w:t xml:space="preserve">See </w:t>
      </w:r>
      <w:r w:rsidRPr="00AE6BA1">
        <w:t>http://hraunfoss.fcc.gov/edocs_public/attachmatch/DA-06-125A1.pdf.</w:t>
      </w:r>
    </w:p>
  </w:footnote>
  <w:footnote w:id="6">
    <w:p w:rsidR="00224826">
      <w:pPr>
        <w:pStyle w:val="FootnoteText"/>
        <w:spacing w:before="120"/>
      </w:pPr>
      <w:r w:rsidRPr="00AE6BA1">
        <w:rPr>
          <w:rStyle w:val="FootnoteReference"/>
        </w:rPr>
        <w:footnoteRef/>
      </w:r>
      <w:r w:rsidRPr="00AE6BA1">
        <w:t xml:space="preserve"> </w:t>
      </w:r>
      <w:r w:rsidRPr="00AE6BA1">
        <w:rPr>
          <w:i/>
        </w:rPr>
        <w:t>See</w:t>
      </w:r>
      <w:r w:rsidRPr="00AE6BA1">
        <w:t xml:space="preserve"> 47 C.F.R. Part 1.</w:t>
      </w:r>
    </w:p>
  </w:footnote>
  <w:footnote w:id="7">
    <w:p w:rsidR="00DD54B2" w:rsidP="00DD54B2">
      <w:pPr>
        <w:pStyle w:val="FootnoteText"/>
      </w:pPr>
      <w:r w:rsidRPr="0022532B">
        <w:rPr>
          <w:rStyle w:val="FootnoteReference"/>
        </w:rPr>
        <w:footnoteRef/>
      </w:r>
      <w:r w:rsidRPr="0022532B">
        <w:t xml:space="preserve"> </w:t>
      </w:r>
      <w:r w:rsidRPr="0022532B">
        <w:rPr>
          <w:i/>
        </w:rPr>
        <w:t>See</w:t>
      </w:r>
      <w:r w:rsidRPr="0022532B">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82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224826">
                <w:pPr>
                  <w:rPr>
                    <w:rFonts w:ascii="Arial" w:hAnsi="Arial"/>
                    <w:b/>
                  </w:rPr>
                </w:pPr>
                <w:r>
                  <w:rPr>
                    <w:rFonts w:ascii="Arial" w:hAnsi="Arial"/>
                    <w:b/>
                  </w:rPr>
                  <w:t>Federal Communications Commission</w:t>
                </w:r>
              </w:p>
              <w:p w:rsidR="0022482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224826">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224826">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224826">
                <w:pPr>
                  <w:spacing w:before="40"/>
                  <w:jc w:val="right"/>
                  <w:rPr>
                    <w:rFonts w:ascii="Arial" w:hAnsi="Arial"/>
                    <w:b/>
                    <w:sz w:val="16"/>
                  </w:rPr>
                </w:pPr>
                <w:r>
                  <w:rPr>
                    <w:rFonts w:ascii="Arial" w:hAnsi="Arial"/>
                    <w:b/>
                    <w:sz w:val="16"/>
                  </w:rPr>
                  <w:t>News Media Information 202 / 418-0500</w:t>
                </w:r>
              </w:p>
              <w:p w:rsidR="0022482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24826">
                <w:pPr>
                  <w:jc w:val="right"/>
                  <w:rPr>
                    <w:rFonts w:ascii="Arial" w:hAnsi="Arial"/>
                    <w:b/>
                    <w:sz w:val="16"/>
                  </w:rPr>
                </w:pPr>
                <w:r>
                  <w:rPr>
                    <w:rFonts w:ascii="Arial" w:hAnsi="Arial"/>
                    <w:b/>
                    <w:sz w:val="16"/>
                  </w:rPr>
                  <w:t>TTY: 1-888-835-5322</w:t>
                </w:r>
              </w:p>
              <w:p w:rsidR="00224826">
                <w:pPr>
                  <w:jc w:val="right"/>
                </w:pPr>
              </w:p>
            </w:txbxContent>
          </v:textbox>
        </v:shape>
      </w:pict>
    </w:r>
  </w:p>
  <w:p w:rsidR="00224826">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C57FA"/>
    <w:multiLevelType w:val="multilevel"/>
    <w:tmpl w:val="3544F22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7955C95"/>
    <w:multiLevelType w:val="hybridMultilevel"/>
    <w:tmpl w:val="3544F22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19725350"/>
    <w:multiLevelType w:val="hybridMultilevel"/>
    <w:tmpl w:val="E376C9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0954AC7"/>
    <w:multiLevelType w:val="hybridMultilevel"/>
    <w:tmpl w:val="12FEFD9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51DE70E4"/>
    <w:multiLevelType w:val="hybridMultilevel"/>
    <w:tmpl w:val="6EC62A0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E5025"/>
    <w:multiLevelType w:val="hybridMultilevel"/>
    <w:tmpl w:val="AC96631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75F86D16"/>
    <w:multiLevelType w:val="hybridMultilevel"/>
    <w:tmpl w:val="47BC74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
  </w:num>
  <w:num w:numId="14">
    <w:abstractNumId w:val="0"/>
  </w:num>
  <w:num w:numId="15">
    <w:abstractNumId w:val="6"/>
  </w:num>
  <w:num w:numId="16">
    <w:abstractNumId w:val="13"/>
  </w:num>
  <w:num w:numId="17">
    <w:abstractNumId w:val="11"/>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26"/>
    <w:rsid w:val="00040E50"/>
    <w:rsid w:val="0007022C"/>
    <w:rsid w:val="00072D0A"/>
    <w:rsid w:val="000B2615"/>
    <w:rsid w:val="000B7DFE"/>
    <w:rsid w:val="000D0A8D"/>
    <w:rsid w:val="00117D5C"/>
    <w:rsid w:val="00131FD1"/>
    <w:rsid w:val="00167EE7"/>
    <w:rsid w:val="0017249A"/>
    <w:rsid w:val="00174444"/>
    <w:rsid w:val="00187DA9"/>
    <w:rsid w:val="001C017F"/>
    <w:rsid w:val="001D1B2B"/>
    <w:rsid w:val="00201799"/>
    <w:rsid w:val="00224826"/>
    <w:rsid w:val="0022532B"/>
    <w:rsid w:val="00232B11"/>
    <w:rsid w:val="002A0E93"/>
    <w:rsid w:val="002B4DCB"/>
    <w:rsid w:val="003056C2"/>
    <w:rsid w:val="0032606C"/>
    <w:rsid w:val="00331BF1"/>
    <w:rsid w:val="003322F5"/>
    <w:rsid w:val="003407B5"/>
    <w:rsid w:val="00354B25"/>
    <w:rsid w:val="00367DCF"/>
    <w:rsid w:val="00377294"/>
    <w:rsid w:val="00384798"/>
    <w:rsid w:val="00395627"/>
    <w:rsid w:val="0039610C"/>
    <w:rsid w:val="003A1508"/>
    <w:rsid w:val="003B055B"/>
    <w:rsid w:val="003C416D"/>
    <w:rsid w:val="003E0024"/>
    <w:rsid w:val="003E58AD"/>
    <w:rsid w:val="00406556"/>
    <w:rsid w:val="0041579C"/>
    <w:rsid w:val="00426E35"/>
    <w:rsid w:val="00444DDC"/>
    <w:rsid w:val="00450594"/>
    <w:rsid w:val="004A4BCC"/>
    <w:rsid w:val="004B33F8"/>
    <w:rsid w:val="004E0F70"/>
    <w:rsid w:val="00503380"/>
    <w:rsid w:val="0051092A"/>
    <w:rsid w:val="00527F9C"/>
    <w:rsid w:val="005573AF"/>
    <w:rsid w:val="00557788"/>
    <w:rsid w:val="00562A94"/>
    <w:rsid w:val="00577297"/>
    <w:rsid w:val="00590D3D"/>
    <w:rsid w:val="005A2924"/>
    <w:rsid w:val="005A4FB5"/>
    <w:rsid w:val="005C20A4"/>
    <w:rsid w:val="005D5C71"/>
    <w:rsid w:val="00657741"/>
    <w:rsid w:val="0066202B"/>
    <w:rsid w:val="00667F19"/>
    <w:rsid w:val="00693FAA"/>
    <w:rsid w:val="006A3FA7"/>
    <w:rsid w:val="006E15FE"/>
    <w:rsid w:val="006E4829"/>
    <w:rsid w:val="006E7E92"/>
    <w:rsid w:val="006F3626"/>
    <w:rsid w:val="00714F0C"/>
    <w:rsid w:val="00721A5F"/>
    <w:rsid w:val="007339C1"/>
    <w:rsid w:val="007353E0"/>
    <w:rsid w:val="00784348"/>
    <w:rsid w:val="007B1669"/>
    <w:rsid w:val="007B5D24"/>
    <w:rsid w:val="007C0D42"/>
    <w:rsid w:val="007D38F5"/>
    <w:rsid w:val="007D7B46"/>
    <w:rsid w:val="0080119A"/>
    <w:rsid w:val="00814725"/>
    <w:rsid w:val="00865BE1"/>
    <w:rsid w:val="008727FB"/>
    <w:rsid w:val="00873DCD"/>
    <w:rsid w:val="008753BE"/>
    <w:rsid w:val="008973B8"/>
    <w:rsid w:val="008B5A5E"/>
    <w:rsid w:val="008B73C7"/>
    <w:rsid w:val="008C164A"/>
    <w:rsid w:val="008F09E1"/>
    <w:rsid w:val="009C7B0B"/>
    <w:rsid w:val="009F3EC1"/>
    <w:rsid w:val="00A13267"/>
    <w:rsid w:val="00A301EE"/>
    <w:rsid w:val="00A37C30"/>
    <w:rsid w:val="00A5527A"/>
    <w:rsid w:val="00A60F62"/>
    <w:rsid w:val="00A853C0"/>
    <w:rsid w:val="00A92C59"/>
    <w:rsid w:val="00AA7F2E"/>
    <w:rsid w:val="00AD30D8"/>
    <w:rsid w:val="00AD32B3"/>
    <w:rsid w:val="00AD587E"/>
    <w:rsid w:val="00AE6BA1"/>
    <w:rsid w:val="00B1373B"/>
    <w:rsid w:val="00B15231"/>
    <w:rsid w:val="00B409B9"/>
    <w:rsid w:val="00B41DAA"/>
    <w:rsid w:val="00B54380"/>
    <w:rsid w:val="00B80373"/>
    <w:rsid w:val="00BE4A31"/>
    <w:rsid w:val="00BF2125"/>
    <w:rsid w:val="00C058EB"/>
    <w:rsid w:val="00C253E6"/>
    <w:rsid w:val="00C3412C"/>
    <w:rsid w:val="00C60864"/>
    <w:rsid w:val="00C900C6"/>
    <w:rsid w:val="00CA65DE"/>
    <w:rsid w:val="00CF4AE0"/>
    <w:rsid w:val="00D27F16"/>
    <w:rsid w:val="00D3666F"/>
    <w:rsid w:val="00D40C79"/>
    <w:rsid w:val="00D5524B"/>
    <w:rsid w:val="00D7032A"/>
    <w:rsid w:val="00D71B88"/>
    <w:rsid w:val="00D742F6"/>
    <w:rsid w:val="00D81BCC"/>
    <w:rsid w:val="00DA506D"/>
    <w:rsid w:val="00DD54B2"/>
    <w:rsid w:val="00DF5615"/>
    <w:rsid w:val="00E22AB7"/>
    <w:rsid w:val="00EA33EC"/>
    <w:rsid w:val="00EB0027"/>
    <w:rsid w:val="00EC1C1E"/>
    <w:rsid w:val="00EC2481"/>
    <w:rsid w:val="00F15AFF"/>
    <w:rsid w:val="00F16AAE"/>
    <w:rsid w:val="00F1723F"/>
    <w:rsid w:val="00F26DA1"/>
    <w:rsid w:val="00F43D91"/>
    <w:rsid w:val="00F43DCC"/>
    <w:rsid w:val="00F50911"/>
    <w:rsid w:val="00F64682"/>
    <w:rsid w:val="00F6731F"/>
    <w:rsid w:val="00F94FBD"/>
    <w:rsid w:val="00FD0EE3"/>
    <w:rsid w:val="00FD327E"/>
    <w:rsid w:val="00FD3C17"/>
    <w:rsid w:val="00FD4186"/>
    <w:rsid w:val="00FE0739"/>
    <w:rsid w:val="00FE0E19"/>
    <w:rsid w:val="00FE7696"/>
    <w:rsid w:val="00FF4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rPr>
      <w:lang w:val="en-US" w:eastAsia="en-US" w:bidi="ar-SA"/>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2300-AF39-4128-8724-C43CDCC4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2018-02-14T15:06:36Z</dcterms:created>
  <dcterms:modified xsi:type="dcterms:W3CDTF">2018-02-14T15:06:36Z</dcterms:modified>
</cp:coreProperties>
</file>