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22703" w:rsidP="00D31DA5" w14:paraId="6FE3A2C8" w14:textId="77777777">
      <w:pPr>
        <w:jc w:val="right"/>
        <w:rPr>
          <w:sz w:val="22"/>
        </w:rPr>
      </w:pPr>
      <w:bookmarkStart w:id="0" w:name="_GoBack"/>
      <w:bookmarkEnd w:id="0"/>
    </w:p>
    <w:p w:rsidR="00D31DA5" w:rsidRPr="00D31DA5" w:rsidP="00D31DA5" w14:paraId="0AE8BB1C" w14:textId="1B6BD383">
      <w:pPr>
        <w:jc w:val="right"/>
        <w:rPr>
          <w:b/>
          <w:sz w:val="22"/>
        </w:rPr>
      </w:pPr>
      <w:r>
        <w:rPr>
          <w:b/>
          <w:sz w:val="22"/>
        </w:rPr>
        <w:t>DA 18-</w:t>
      </w:r>
      <w:r w:rsidR="00C46EB1">
        <w:rPr>
          <w:b/>
          <w:sz w:val="22"/>
        </w:rPr>
        <w:t>168</w:t>
      </w:r>
    </w:p>
    <w:p w:rsidR="000173F9" w14:paraId="1D5EDCBE" w14:textId="77777777">
      <w:pPr>
        <w:rPr>
          <w:sz w:val="22"/>
        </w:rPr>
      </w:pPr>
    </w:p>
    <w:p w:rsidR="000173F9" w:rsidRPr="000173F9" w:rsidP="000173F9" w14:paraId="5B472802" w14:textId="77777777">
      <w:pPr>
        <w:rPr>
          <w:sz w:val="22"/>
        </w:rPr>
      </w:pPr>
      <w:r w:rsidRPr="000173F9">
        <w:rPr>
          <w:sz w:val="22"/>
        </w:rPr>
        <w:t>Wynn Brannin</w:t>
      </w:r>
    </w:p>
    <w:p w:rsidR="002560EA" w:rsidRPr="002560EA" w:rsidP="002560EA" w14:paraId="53D6BD67" w14:textId="77777777">
      <w:pPr>
        <w:rPr>
          <w:sz w:val="22"/>
        </w:rPr>
      </w:pPr>
      <w:r w:rsidRPr="002560EA">
        <w:rPr>
          <w:sz w:val="22"/>
        </w:rPr>
        <w:t>Statewide Emergency Coordinator</w:t>
      </w:r>
    </w:p>
    <w:p w:rsidR="002560EA" w:rsidRPr="002560EA" w:rsidP="002560EA" w14:paraId="702CE8BD" w14:textId="77777777">
      <w:pPr>
        <w:rPr>
          <w:sz w:val="22"/>
        </w:rPr>
      </w:pPr>
      <w:r w:rsidRPr="002560EA">
        <w:rPr>
          <w:sz w:val="22"/>
        </w:rPr>
        <w:t>Statewide Interoperability Coordinator (SWIC)</w:t>
      </w:r>
    </w:p>
    <w:p w:rsidR="002560EA" w:rsidRPr="002560EA" w:rsidP="002560EA" w14:paraId="05E99014" w14:textId="77777777">
      <w:pPr>
        <w:rPr>
          <w:sz w:val="22"/>
        </w:rPr>
      </w:pPr>
      <w:r w:rsidRPr="002560EA">
        <w:rPr>
          <w:sz w:val="22"/>
        </w:rPr>
        <w:t>Dept. of Homeland Security &amp; Emergency Management</w:t>
      </w:r>
    </w:p>
    <w:p w:rsidR="002560EA" w:rsidRPr="002560EA" w:rsidP="002560EA" w14:paraId="6C48F4A7" w14:textId="77777777">
      <w:pPr>
        <w:rPr>
          <w:sz w:val="22"/>
        </w:rPr>
      </w:pPr>
      <w:r w:rsidRPr="002560EA">
        <w:rPr>
          <w:sz w:val="22"/>
        </w:rPr>
        <w:t>Response and Recovery Bureau</w:t>
      </w:r>
    </w:p>
    <w:p w:rsidR="00BE3FD4" w:rsidP="00E121D4" w14:paraId="45DE9D02" w14:textId="77777777">
      <w:pPr>
        <w:rPr>
          <w:sz w:val="22"/>
        </w:rPr>
      </w:pPr>
      <w:r w:rsidRPr="002560EA">
        <w:rPr>
          <w:sz w:val="22"/>
        </w:rPr>
        <w:t>P.O. Box 27111,</w:t>
      </w:r>
    </w:p>
    <w:p w:rsidR="002560EA" w:rsidP="00E121D4" w14:paraId="083A36C3" w14:textId="77777777">
      <w:pPr>
        <w:rPr>
          <w:sz w:val="22"/>
        </w:rPr>
      </w:pPr>
      <w:r w:rsidRPr="002560EA">
        <w:rPr>
          <w:sz w:val="22"/>
        </w:rPr>
        <w:t xml:space="preserve">Santa Fe, NM </w:t>
      </w:r>
      <w:r w:rsidR="00BE3FD4">
        <w:rPr>
          <w:sz w:val="22"/>
        </w:rPr>
        <w:t xml:space="preserve"> </w:t>
      </w:r>
      <w:r w:rsidRPr="002560EA">
        <w:rPr>
          <w:sz w:val="22"/>
        </w:rPr>
        <w:t>87502</w:t>
      </w:r>
    </w:p>
    <w:p w:rsidR="002560EA" w:rsidP="00E121D4" w14:paraId="3C5392EF" w14:textId="77777777">
      <w:pPr>
        <w:rPr>
          <w:sz w:val="22"/>
        </w:rPr>
      </w:pPr>
    </w:p>
    <w:p w:rsidR="009828D8" w:rsidP="00080694" w14:paraId="6D38A839" w14:textId="777777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Re: Proper use</w:t>
      </w:r>
      <w:r w:rsidR="00BC2F61">
        <w:rPr>
          <w:sz w:val="22"/>
        </w:rPr>
        <w:t xml:space="preserve"> of Interoperability and</w:t>
      </w:r>
      <w:r w:rsidR="00080694">
        <w:rPr>
          <w:sz w:val="22"/>
        </w:rPr>
        <w:t xml:space="preserve"> </w:t>
      </w:r>
      <w:r w:rsidR="00BC2F61">
        <w:rPr>
          <w:sz w:val="22"/>
        </w:rPr>
        <w:t xml:space="preserve">Mutual </w:t>
      </w:r>
      <w:r>
        <w:rPr>
          <w:sz w:val="22"/>
        </w:rPr>
        <w:t>Aid Channels</w:t>
      </w:r>
    </w:p>
    <w:p w:rsidR="009828D8" w:rsidP="000173F9" w14:paraId="319A84E6" w14:textId="77777777">
      <w:pPr>
        <w:rPr>
          <w:sz w:val="22"/>
        </w:rPr>
      </w:pPr>
    </w:p>
    <w:p w:rsidR="000173F9" w:rsidP="000173F9" w14:paraId="0FE93E81" w14:textId="77777777">
      <w:pPr>
        <w:rPr>
          <w:sz w:val="22"/>
        </w:rPr>
      </w:pPr>
      <w:r>
        <w:rPr>
          <w:sz w:val="22"/>
        </w:rPr>
        <w:t>Dear Mr. Brannin</w:t>
      </w:r>
      <w:r w:rsidR="00BC2F61">
        <w:rPr>
          <w:sz w:val="22"/>
        </w:rPr>
        <w:t>:</w:t>
      </w:r>
      <w:r>
        <w:rPr>
          <w:sz w:val="22"/>
        </w:rPr>
        <w:t xml:space="preserve"> </w:t>
      </w:r>
    </w:p>
    <w:p w:rsidR="000173F9" w:rsidP="000173F9" w14:paraId="020F9144" w14:textId="77777777">
      <w:pPr>
        <w:rPr>
          <w:sz w:val="22"/>
        </w:rPr>
      </w:pPr>
    </w:p>
    <w:p w:rsidR="000173F9" w:rsidP="000173F9" w14:paraId="2A448C3C" w14:textId="77777777">
      <w:pPr>
        <w:ind w:firstLine="720"/>
        <w:rPr>
          <w:sz w:val="22"/>
        </w:rPr>
      </w:pPr>
      <w:r>
        <w:rPr>
          <w:sz w:val="22"/>
        </w:rPr>
        <w:t xml:space="preserve">Thank you for your letter </w:t>
      </w:r>
      <w:r w:rsidR="00BC2F61">
        <w:rPr>
          <w:sz w:val="22"/>
        </w:rPr>
        <w:t xml:space="preserve">of </w:t>
      </w:r>
      <w:r>
        <w:rPr>
          <w:sz w:val="22"/>
        </w:rPr>
        <w:t xml:space="preserve">February 2, 2017, seeking guidance on proper use of the FCC-designated interoperability </w:t>
      </w:r>
      <w:r w:rsidR="009828D8">
        <w:rPr>
          <w:sz w:val="22"/>
        </w:rPr>
        <w:t xml:space="preserve">and mutual aid </w:t>
      </w:r>
      <w:r>
        <w:rPr>
          <w:sz w:val="22"/>
        </w:rPr>
        <w:t>channels.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By this letter, </w:t>
      </w:r>
      <w:r w:rsidR="00BC2F61">
        <w:rPr>
          <w:sz w:val="22"/>
        </w:rPr>
        <w:t xml:space="preserve">we </w:t>
      </w:r>
      <w:r>
        <w:rPr>
          <w:sz w:val="22"/>
        </w:rPr>
        <w:t xml:space="preserve">confirm that </w:t>
      </w:r>
      <w:r w:rsidR="009828D8">
        <w:rPr>
          <w:sz w:val="22"/>
        </w:rPr>
        <w:t xml:space="preserve">the </w:t>
      </w:r>
      <w:r>
        <w:rPr>
          <w:sz w:val="22"/>
        </w:rPr>
        <w:t xml:space="preserve">interoperability </w:t>
      </w:r>
      <w:r w:rsidR="009828D8">
        <w:rPr>
          <w:sz w:val="22"/>
        </w:rPr>
        <w:t xml:space="preserve">and mutual aid </w:t>
      </w:r>
      <w:r>
        <w:rPr>
          <w:sz w:val="22"/>
        </w:rPr>
        <w:t xml:space="preserve">channels </w:t>
      </w:r>
      <w:r w:rsidR="007959E4">
        <w:rPr>
          <w:sz w:val="22"/>
        </w:rPr>
        <w:t>are</w:t>
      </w:r>
      <w:r>
        <w:rPr>
          <w:sz w:val="22"/>
        </w:rPr>
        <w:t xml:space="preserve"> </w:t>
      </w:r>
      <w:r w:rsidR="00563A18">
        <w:rPr>
          <w:sz w:val="22"/>
        </w:rPr>
        <w:t xml:space="preserve">primarily </w:t>
      </w:r>
      <w:r>
        <w:rPr>
          <w:sz w:val="22"/>
        </w:rPr>
        <w:t xml:space="preserve">for interoperable </w:t>
      </w:r>
      <w:r w:rsidR="00BC2F61">
        <w:rPr>
          <w:sz w:val="22"/>
        </w:rPr>
        <w:t xml:space="preserve">emergency </w:t>
      </w:r>
      <w:r>
        <w:rPr>
          <w:sz w:val="22"/>
        </w:rPr>
        <w:t>communications between</w:t>
      </w:r>
      <w:r w:rsidR="00BC2F61">
        <w:rPr>
          <w:sz w:val="22"/>
        </w:rPr>
        <w:t xml:space="preserve"> </w:t>
      </w:r>
      <w:r w:rsidR="007959E4">
        <w:rPr>
          <w:sz w:val="22"/>
        </w:rPr>
        <w:t xml:space="preserve">different </w:t>
      </w:r>
      <w:r w:rsidR="00BC2F61">
        <w:rPr>
          <w:sz w:val="22"/>
        </w:rPr>
        <w:t xml:space="preserve">public safety </w:t>
      </w:r>
      <w:r w:rsidR="007959E4">
        <w:rPr>
          <w:sz w:val="22"/>
        </w:rPr>
        <w:t>licensees</w:t>
      </w:r>
      <w:r w:rsidR="00563A18">
        <w:rPr>
          <w:sz w:val="22"/>
        </w:rPr>
        <w:t xml:space="preserve">.  Day-to-day communications are </w:t>
      </w:r>
      <w:r w:rsidR="00561991">
        <w:rPr>
          <w:sz w:val="22"/>
        </w:rPr>
        <w:t xml:space="preserve">permitted </w:t>
      </w:r>
      <w:r w:rsidR="00CE39A0">
        <w:rPr>
          <w:sz w:val="22"/>
        </w:rPr>
        <w:t xml:space="preserve">only </w:t>
      </w:r>
      <w:r w:rsidR="00561991">
        <w:rPr>
          <w:sz w:val="22"/>
        </w:rPr>
        <w:t xml:space="preserve">on a </w:t>
      </w:r>
      <w:r w:rsidR="00356623">
        <w:rPr>
          <w:sz w:val="22"/>
        </w:rPr>
        <w:t>secondary</w:t>
      </w:r>
      <w:r w:rsidR="00561991">
        <w:rPr>
          <w:sz w:val="22"/>
        </w:rPr>
        <w:t xml:space="preserve"> basis on the VHF and UHF interoperability channels </w:t>
      </w:r>
      <w:r w:rsidR="007959E4">
        <w:rPr>
          <w:sz w:val="22"/>
        </w:rPr>
        <w:t xml:space="preserve">and are </w:t>
      </w:r>
      <w:r w:rsidR="00561991">
        <w:rPr>
          <w:sz w:val="22"/>
        </w:rPr>
        <w:t>prohibited on the 800 MHz interoperability channels</w:t>
      </w:r>
      <w:r w:rsidR="00356623">
        <w:rPr>
          <w:sz w:val="22"/>
        </w:rPr>
        <w:t>.</w:t>
      </w:r>
      <w:r w:rsidR="00563A18">
        <w:rPr>
          <w:sz w:val="22"/>
        </w:rPr>
        <w:t xml:space="preserve">  </w:t>
      </w:r>
    </w:p>
    <w:p w:rsidR="00563A18" w:rsidP="000173F9" w14:paraId="22C4ABEC" w14:textId="77777777">
      <w:pPr>
        <w:ind w:firstLine="720"/>
        <w:rPr>
          <w:sz w:val="22"/>
        </w:rPr>
      </w:pPr>
    </w:p>
    <w:p w:rsidR="00E748CA" w:rsidP="003B0D4A" w14:paraId="6E044A35" w14:textId="77777777">
      <w:pPr>
        <w:ind w:firstLine="720"/>
        <w:rPr>
          <w:sz w:val="22"/>
        </w:rPr>
      </w:pPr>
      <w:r>
        <w:rPr>
          <w:sz w:val="22"/>
        </w:rPr>
        <w:t>In your letter, you state</w:t>
      </w:r>
      <w:r w:rsidR="00293DFE">
        <w:rPr>
          <w:sz w:val="22"/>
        </w:rPr>
        <w:t xml:space="preserve"> that certain licensees in Arkansas, Oklahoma, New Mexico</w:t>
      </w:r>
      <w:r w:rsidR="008F1427">
        <w:rPr>
          <w:sz w:val="22"/>
        </w:rPr>
        <w:t>,</w:t>
      </w:r>
      <w:r w:rsidR="00293DFE">
        <w:rPr>
          <w:sz w:val="22"/>
        </w:rPr>
        <w:t xml:space="preserve"> and Texas are using the interoperability channels </w:t>
      </w:r>
      <w:r w:rsidR="00CE39A0">
        <w:rPr>
          <w:sz w:val="22"/>
        </w:rPr>
        <w:t>in the “</w:t>
      </w:r>
      <w:r w:rsidRPr="00CE39A0" w:rsidR="00CE39A0">
        <w:rPr>
          <w:sz w:val="22"/>
        </w:rPr>
        <w:t>VHF, UHF and 800 MHz bands</w:t>
      </w:r>
      <w:r w:rsidR="00CE39A0">
        <w:rPr>
          <w:sz w:val="22"/>
        </w:rPr>
        <w:t>”</w:t>
      </w:r>
      <w:r w:rsidRPr="00CE39A0" w:rsidR="00CE39A0">
        <w:rPr>
          <w:sz w:val="22"/>
        </w:rPr>
        <w:t xml:space="preserve"> </w:t>
      </w:r>
      <w:r w:rsidR="00293DFE">
        <w:rPr>
          <w:sz w:val="22"/>
        </w:rPr>
        <w:t>for “</w:t>
      </w:r>
      <w:r w:rsidRPr="00293DFE" w:rsidR="00293DFE">
        <w:rPr>
          <w:sz w:val="22"/>
        </w:rPr>
        <w:t>internal</w:t>
      </w:r>
      <w:r w:rsidR="00CE39A0">
        <w:rPr>
          <w:sz w:val="22"/>
        </w:rPr>
        <w:t>,</w:t>
      </w:r>
      <w:r w:rsidRPr="00293DFE" w:rsidR="00293DFE">
        <w:rPr>
          <w:sz w:val="22"/>
        </w:rPr>
        <w:t xml:space="preserve"> day-to-day</w:t>
      </w:r>
      <w:r w:rsidR="00D62261">
        <w:rPr>
          <w:sz w:val="22"/>
        </w:rPr>
        <w:t>”</w:t>
      </w:r>
      <w:r w:rsidRPr="00293DFE" w:rsidR="00293DFE">
        <w:rPr>
          <w:sz w:val="22"/>
        </w:rPr>
        <w:t xml:space="preserve"> </w:t>
      </w:r>
      <w:r w:rsidR="00D62261">
        <w:rPr>
          <w:sz w:val="22"/>
        </w:rPr>
        <w:t>communications</w:t>
      </w:r>
      <w:r w:rsidR="00CE39A0">
        <w:rPr>
          <w:sz w:val="22"/>
        </w:rPr>
        <w:t>.”</w:t>
      </w:r>
      <w:r>
        <w:rPr>
          <w:rStyle w:val="FootnoteReference"/>
          <w:sz w:val="22"/>
        </w:rPr>
        <w:footnoteReference w:id="3"/>
      </w:r>
      <w:r w:rsidR="00293DFE">
        <w:rPr>
          <w:sz w:val="22"/>
        </w:rPr>
        <w:t xml:space="preserve">  For instance, you indicate that one licensee in your FEMA region is using</w:t>
      </w:r>
      <w:r w:rsidR="00BC2F61">
        <w:rPr>
          <w:sz w:val="22"/>
        </w:rPr>
        <w:t xml:space="preserve"> a VHF interoperability channel</w:t>
      </w:r>
      <w:r w:rsidR="00293DFE">
        <w:rPr>
          <w:sz w:val="22"/>
        </w:rPr>
        <w:t xml:space="preserve"> “</w:t>
      </w:r>
      <w:r w:rsidRPr="00293DFE" w:rsidR="00293DFE">
        <w:rPr>
          <w:sz w:val="22"/>
        </w:rPr>
        <w:t xml:space="preserve">as the primary repeater output for </w:t>
      </w:r>
      <w:r w:rsidR="00293DFE">
        <w:rPr>
          <w:sz w:val="22"/>
        </w:rPr>
        <w:t xml:space="preserve">[its] </w:t>
      </w:r>
      <w:r w:rsidRPr="00293DFE" w:rsidR="00293DFE">
        <w:rPr>
          <w:sz w:val="22"/>
        </w:rPr>
        <w:t>fire department</w:t>
      </w:r>
      <w:r w:rsidR="00293DFE">
        <w:rPr>
          <w:sz w:val="22"/>
        </w:rPr>
        <w:t>” and another licensee is using an interoperability channel “</w:t>
      </w:r>
      <w:r w:rsidRPr="00293DFE" w:rsidR="00293DFE">
        <w:rPr>
          <w:sz w:val="22"/>
        </w:rPr>
        <w:t xml:space="preserve">as the primary repeater output for </w:t>
      </w:r>
      <w:r w:rsidR="00293DFE">
        <w:rPr>
          <w:sz w:val="22"/>
        </w:rPr>
        <w:t xml:space="preserve">[its] </w:t>
      </w:r>
      <w:r w:rsidRPr="00293DFE" w:rsidR="00293DFE">
        <w:rPr>
          <w:sz w:val="22"/>
        </w:rPr>
        <w:t>emergency medical services</w:t>
      </w:r>
      <w:r w:rsidR="00293DFE">
        <w:rPr>
          <w:sz w:val="22"/>
        </w:rPr>
        <w:t>.”</w:t>
      </w:r>
      <w:r>
        <w:rPr>
          <w:rStyle w:val="FootnoteReference"/>
          <w:sz w:val="22"/>
        </w:rPr>
        <w:footnoteReference w:id="4"/>
      </w:r>
      <w:r w:rsidR="008234FA">
        <w:rPr>
          <w:sz w:val="22"/>
        </w:rPr>
        <w:t xml:space="preserve"> </w:t>
      </w:r>
      <w:r w:rsidR="00D12A28">
        <w:rPr>
          <w:sz w:val="22"/>
        </w:rPr>
        <w:t xml:space="preserve"> </w:t>
      </w:r>
      <w:r w:rsidR="00293DFE">
        <w:rPr>
          <w:sz w:val="22"/>
        </w:rPr>
        <w:t xml:space="preserve">You indicate that </w:t>
      </w:r>
      <w:r w:rsidR="00CE39A0">
        <w:rPr>
          <w:sz w:val="22"/>
        </w:rPr>
        <w:t xml:space="preserve">such </w:t>
      </w:r>
      <w:r w:rsidR="00D12A28">
        <w:rPr>
          <w:sz w:val="22"/>
        </w:rPr>
        <w:t xml:space="preserve">operations </w:t>
      </w:r>
      <w:r w:rsidR="00D62261">
        <w:rPr>
          <w:sz w:val="22"/>
        </w:rPr>
        <w:t xml:space="preserve">make </w:t>
      </w:r>
      <w:r w:rsidR="00D12A28">
        <w:rPr>
          <w:sz w:val="22"/>
        </w:rPr>
        <w:t xml:space="preserve">the </w:t>
      </w:r>
      <w:r w:rsidR="00D62261">
        <w:rPr>
          <w:sz w:val="22"/>
        </w:rPr>
        <w:t xml:space="preserve">interoperability </w:t>
      </w:r>
      <w:r w:rsidR="00D12A28">
        <w:rPr>
          <w:sz w:val="22"/>
        </w:rPr>
        <w:t>channels “</w:t>
      </w:r>
      <w:r w:rsidRPr="00D12A28" w:rsidR="00D12A28">
        <w:rPr>
          <w:sz w:val="22"/>
        </w:rPr>
        <w:t>unusable for interoperability purposes during emergency and disaster situations</w:t>
      </w:r>
      <w:r w:rsidR="00D12A28">
        <w:rPr>
          <w:sz w:val="22"/>
        </w:rPr>
        <w:t>” within a large geographic area of you</w:t>
      </w:r>
      <w:r w:rsidR="00CE39A0">
        <w:rPr>
          <w:sz w:val="22"/>
        </w:rPr>
        <w:t>r</w:t>
      </w:r>
      <w:r w:rsidR="00D12A28">
        <w:rPr>
          <w:sz w:val="22"/>
        </w:rPr>
        <w:t xml:space="preserve"> region.</w:t>
      </w:r>
      <w:r>
        <w:rPr>
          <w:rStyle w:val="FootnoteReference"/>
          <w:sz w:val="22"/>
        </w:rPr>
        <w:footnoteReference w:id="5"/>
      </w:r>
    </w:p>
    <w:p w:rsidR="00E748CA" w:rsidP="003B0D4A" w14:paraId="359FCC6A" w14:textId="77777777">
      <w:pPr>
        <w:ind w:firstLine="720"/>
        <w:rPr>
          <w:sz w:val="22"/>
        </w:rPr>
      </w:pPr>
    </w:p>
    <w:p w:rsidR="002546BA" w:rsidP="002546BA" w14:paraId="4E71CD68" w14:textId="77777777">
      <w:pPr>
        <w:ind w:firstLine="720"/>
        <w:rPr>
          <w:sz w:val="22"/>
        </w:rPr>
      </w:pPr>
      <w:r>
        <w:rPr>
          <w:sz w:val="22"/>
        </w:rPr>
        <w:t>Commission’s rules state that</w:t>
      </w:r>
      <w:r w:rsidR="00E748CA">
        <w:rPr>
          <w:sz w:val="22"/>
        </w:rPr>
        <w:t xml:space="preserve"> </w:t>
      </w:r>
      <w:r>
        <w:rPr>
          <w:sz w:val="22"/>
        </w:rPr>
        <w:t xml:space="preserve">non-interoperability communications on the interoperability channels </w:t>
      </w:r>
      <w:r w:rsidR="00E748CA">
        <w:rPr>
          <w:sz w:val="22"/>
        </w:rPr>
        <w:t xml:space="preserve">in the VHF and UHF bands </w:t>
      </w:r>
      <w:r w:rsidR="00AE5C63">
        <w:rPr>
          <w:sz w:val="22"/>
        </w:rPr>
        <w:t xml:space="preserve">are </w:t>
      </w:r>
      <w:r w:rsidR="002D2D99">
        <w:rPr>
          <w:sz w:val="22"/>
        </w:rPr>
        <w:t>secondary.</w:t>
      </w:r>
      <w:r w:rsidR="00EE25C1">
        <w:rPr>
          <w:sz w:val="22"/>
        </w:rPr>
        <w:t xml:space="preserve"> </w:t>
      </w:r>
      <w:r w:rsidR="00E748CA">
        <w:rPr>
          <w:sz w:val="22"/>
        </w:rPr>
        <w:t xml:space="preserve"> Specifically, S</w:t>
      </w:r>
      <w:r w:rsidR="002D2D99">
        <w:rPr>
          <w:sz w:val="22"/>
        </w:rPr>
        <w:t>ection 90.20</w:t>
      </w:r>
      <w:r w:rsidR="00356623">
        <w:rPr>
          <w:sz w:val="22"/>
        </w:rPr>
        <w:t>(d</w:t>
      </w:r>
      <w:r w:rsidR="007A5763">
        <w:rPr>
          <w:sz w:val="22"/>
        </w:rPr>
        <w:t>)</w:t>
      </w:r>
      <w:r w:rsidR="00EE25C1">
        <w:rPr>
          <w:sz w:val="22"/>
        </w:rPr>
        <w:t>(80)</w:t>
      </w:r>
      <w:r w:rsidR="00E748CA">
        <w:rPr>
          <w:sz w:val="22"/>
        </w:rPr>
        <w:t xml:space="preserve"> states </w:t>
      </w:r>
      <w:r w:rsidR="00382C9B">
        <w:rPr>
          <w:sz w:val="22"/>
        </w:rPr>
        <w:t>that a</w:t>
      </w:r>
      <w:r w:rsidR="00356623">
        <w:rPr>
          <w:sz w:val="22"/>
        </w:rPr>
        <w:t>fter Decem</w:t>
      </w:r>
      <w:r w:rsidR="002D2D99">
        <w:rPr>
          <w:sz w:val="22"/>
        </w:rPr>
        <w:t xml:space="preserve">ber 7, 2000 </w:t>
      </w:r>
      <w:r w:rsidR="00382C9B">
        <w:rPr>
          <w:sz w:val="22"/>
        </w:rPr>
        <w:t>the interoperability channels in the VHF and UHF bands are “</w:t>
      </w:r>
      <w:r w:rsidRPr="002546BA" w:rsidR="002D2D99">
        <w:rPr>
          <w:i/>
          <w:sz w:val="22"/>
        </w:rPr>
        <w:t>primarily</w:t>
      </w:r>
      <w:r w:rsidR="002D2D99">
        <w:rPr>
          <w:sz w:val="22"/>
        </w:rPr>
        <w:t xml:space="preserve"> </w:t>
      </w:r>
      <w:r w:rsidR="001560A8">
        <w:rPr>
          <w:sz w:val="22"/>
        </w:rPr>
        <w:t xml:space="preserve">[emphasis added] </w:t>
      </w:r>
      <w:r w:rsidR="002D2D99">
        <w:rPr>
          <w:sz w:val="22"/>
        </w:rPr>
        <w:t>for public safety interoperability only communications</w:t>
      </w:r>
      <w:r w:rsidR="001E44E5">
        <w:rPr>
          <w:sz w:val="22"/>
        </w:rPr>
        <w:t>.</w:t>
      </w:r>
      <w:r w:rsidR="00382C9B">
        <w:rPr>
          <w:sz w:val="22"/>
        </w:rPr>
        <w:t>”</w:t>
      </w:r>
      <w:r>
        <w:rPr>
          <w:rStyle w:val="FootnoteReference"/>
          <w:sz w:val="22"/>
        </w:rPr>
        <w:footnoteReference w:id="6"/>
      </w:r>
      <w:r w:rsidR="00382C9B">
        <w:rPr>
          <w:sz w:val="22"/>
        </w:rPr>
        <w:t xml:space="preserve">  Section 90.20(d)(80) also </w:t>
      </w:r>
      <w:r w:rsidR="008F1427">
        <w:rPr>
          <w:sz w:val="22"/>
        </w:rPr>
        <w:t>states that after January 1, 20</w:t>
      </w:r>
      <w:r w:rsidR="00382C9B">
        <w:rPr>
          <w:sz w:val="22"/>
        </w:rPr>
        <w:t xml:space="preserve">15, all non-interoperability communications on the VHF and UHF interoperability channels </w:t>
      </w:r>
      <w:r w:rsidR="002D2D99">
        <w:rPr>
          <w:sz w:val="22"/>
        </w:rPr>
        <w:t xml:space="preserve">will be </w:t>
      </w:r>
      <w:r w:rsidR="00382C9B">
        <w:rPr>
          <w:sz w:val="22"/>
        </w:rPr>
        <w:t>“</w:t>
      </w:r>
      <w:r w:rsidRPr="002546BA" w:rsidR="002D2D99">
        <w:rPr>
          <w:i/>
          <w:sz w:val="22"/>
        </w:rPr>
        <w:t>secondary</w:t>
      </w:r>
      <w:r w:rsidR="002D2D99">
        <w:rPr>
          <w:sz w:val="22"/>
        </w:rPr>
        <w:t xml:space="preserve"> </w:t>
      </w:r>
      <w:r w:rsidR="001560A8">
        <w:rPr>
          <w:sz w:val="22"/>
        </w:rPr>
        <w:t xml:space="preserve">[emphasis added] </w:t>
      </w:r>
      <w:r w:rsidR="002D2D99">
        <w:rPr>
          <w:sz w:val="22"/>
        </w:rPr>
        <w:t xml:space="preserve">to </w:t>
      </w:r>
      <w:r w:rsidR="00382C9B">
        <w:rPr>
          <w:sz w:val="22"/>
        </w:rPr>
        <w:t>co-</w:t>
      </w:r>
      <w:r w:rsidR="002D2D99">
        <w:rPr>
          <w:sz w:val="22"/>
        </w:rPr>
        <w:t>channel interoperability operations</w:t>
      </w:r>
      <w:r w:rsidR="00382C9B">
        <w:rPr>
          <w:sz w:val="22"/>
        </w:rPr>
        <w:t>.</w:t>
      </w:r>
      <w:r w:rsidR="002D2D99">
        <w:rPr>
          <w:sz w:val="22"/>
        </w:rPr>
        <w:t>”</w:t>
      </w:r>
      <w:r>
        <w:rPr>
          <w:rStyle w:val="FootnoteReference"/>
          <w:sz w:val="22"/>
        </w:rPr>
        <w:footnoteReference w:id="7"/>
      </w:r>
    </w:p>
    <w:p w:rsidR="00642CF5" w:rsidP="002546BA" w14:paraId="7EE1F2E2" w14:textId="77777777">
      <w:pPr>
        <w:ind w:firstLine="720"/>
        <w:rPr>
          <w:sz w:val="22"/>
        </w:rPr>
      </w:pPr>
    </w:p>
    <w:p w:rsidR="00642CF5" w:rsidP="002546BA" w14:paraId="3D2FBBB7" w14:textId="77777777">
      <w:pPr>
        <w:ind w:firstLine="720"/>
        <w:rPr>
          <w:sz w:val="22"/>
        </w:rPr>
      </w:pPr>
      <w:r>
        <w:rPr>
          <w:sz w:val="22"/>
        </w:rPr>
        <w:t>C</w:t>
      </w:r>
      <w:r w:rsidR="00215AAC">
        <w:rPr>
          <w:sz w:val="22"/>
        </w:rPr>
        <w:t xml:space="preserve">ommunications </w:t>
      </w:r>
      <w:r>
        <w:rPr>
          <w:sz w:val="22"/>
        </w:rPr>
        <w:t xml:space="preserve">authorized on a secondary basis </w:t>
      </w:r>
      <w:r w:rsidR="00215AAC">
        <w:rPr>
          <w:sz w:val="22"/>
        </w:rPr>
        <w:t>are</w:t>
      </w:r>
      <w:r w:rsidR="00D72525">
        <w:rPr>
          <w:sz w:val="22"/>
        </w:rPr>
        <w:t>,</w:t>
      </w:r>
      <w:r w:rsidR="00215AAC">
        <w:rPr>
          <w:sz w:val="22"/>
        </w:rPr>
        <w:t xml:space="preserve"> by definition</w:t>
      </w:r>
      <w:r w:rsidR="00D72525">
        <w:rPr>
          <w:sz w:val="22"/>
        </w:rPr>
        <w:t>,</w:t>
      </w:r>
      <w:r w:rsidR="00215AAC">
        <w:rPr>
          <w:sz w:val="22"/>
        </w:rPr>
        <w:t xml:space="preserve"> not to cause interference to </w:t>
      </w:r>
      <w:r>
        <w:rPr>
          <w:sz w:val="22"/>
        </w:rPr>
        <w:t xml:space="preserve">communications authorized on a </w:t>
      </w:r>
      <w:r w:rsidR="00215AAC">
        <w:rPr>
          <w:sz w:val="22"/>
        </w:rPr>
        <w:t xml:space="preserve">primary </w:t>
      </w:r>
      <w:r>
        <w:rPr>
          <w:sz w:val="22"/>
        </w:rPr>
        <w:t>basis</w:t>
      </w:r>
      <w:r w:rsidR="00215AAC">
        <w:rPr>
          <w:sz w:val="22"/>
        </w:rPr>
        <w:t>.</w:t>
      </w:r>
      <w:r>
        <w:rPr>
          <w:rStyle w:val="FootnoteReference"/>
          <w:sz w:val="22"/>
        </w:rPr>
        <w:footnoteReference w:id="8"/>
      </w:r>
      <w:r w:rsidR="00215AAC">
        <w:rPr>
          <w:sz w:val="22"/>
        </w:rPr>
        <w:t xml:space="preserve">  Thus, </w:t>
      </w:r>
      <w:r>
        <w:rPr>
          <w:sz w:val="22"/>
        </w:rPr>
        <w:t xml:space="preserve">any </w:t>
      </w:r>
      <w:r w:rsidR="001560A8">
        <w:rPr>
          <w:sz w:val="22"/>
        </w:rPr>
        <w:t xml:space="preserve">internal “day-to-day” </w:t>
      </w:r>
      <w:r w:rsidR="00215AAC">
        <w:rPr>
          <w:sz w:val="22"/>
        </w:rPr>
        <w:t xml:space="preserve">communication on </w:t>
      </w:r>
      <w:r>
        <w:rPr>
          <w:sz w:val="22"/>
        </w:rPr>
        <w:t xml:space="preserve">the VHF and UHF interoperability channels which prevents these channels from being used for </w:t>
      </w:r>
      <w:r w:rsidR="00215AAC">
        <w:rPr>
          <w:sz w:val="22"/>
        </w:rPr>
        <w:t>their intended purpose (</w:t>
      </w:r>
      <w:r w:rsidRPr="007959E4" w:rsidR="00215AAC">
        <w:rPr>
          <w:i/>
          <w:sz w:val="22"/>
        </w:rPr>
        <w:t>i.e.</w:t>
      </w:r>
      <w:r w:rsidR="00215AAC">
        <w:rPr>
          <w:sz w:val="22"/>
        </w:rPr>
        <w:t xml:space="preserve"> </w:t>
      </w:r>
      <w:r>
        <w:rPr>
          <w:sz w:val="22"/>
        </w:rPr>
        <w:t>interoperability communications</w:t>
      </w:r>
      <w:r w:rsidR="00215AAC">
        <w:rPr>
          <w:sz w:val="22"/>
        </w:rPr>
        <w:t>)</w:t>
      </w:r>
      <w:r>
        <w:rPr>
          <w:sz w:val="22"/>
        </w:rPr>
        <w:t xml:space="preserve"> would </w:t>
      </w:r>
      <w:r>
        <w:rPr>
          <w:sz w:val="22"/>
        </w:rPr>
        <w:t xml:space="preserve">exceed the </w:t>
      </w:r>
      <w:r>
        <w:rPr>
          <w:sz w:val="22"/>
        </w:rPr>
        <w:t xml:space="preserve">secondary status </w:t>
      </w:r>
      <w:r>
        <w:rPr>
          <w:sz w:val="22"/>
        </w:rPr>
        <w:t xml:space="preserve">designation </w:t>
      </w:r>
      <w:r w:rsidR="00C32C6B">
        <w:rPr>
          <w:sz w:val="22"/>
        </w:rPr>
        <w:t xml:space="preserve">of such communications </w:t>
      </w:r>
      <w:r>
        <w:rPr>
          <w:sz w:val="22"/>
        </w:rPr>
        <w:t>and be a violation of our rules.</w:t>
      </w:r>
    </w:p>
    <w:p w:rsidR="00F40D5F" w:rsidP="002546BA" w14:paraId="6B413FCF" w14:textId="77777777">
      <w:pPr>
        <w:ind w:firstLine="720"/>
        <w:rPr>
          <w:sz w:val="22"/>
        </w:rPr>
      </w:pPr>
    </w:p>
    <w:p w:rsidR="001560A8" w:rsidP="00BC2F61" w14:paraId="4139CA5B" w14:textId="77777777">
      <w:pPr>
        <w:ind w:firstLine="720"/>
        <w:rPr>
          <w:sz w:val="22"/>
        </w:rPr>
      </w:pPr>
      <w:r>
        <w:rPr>
          <w:sz w:val="22"/>
        </w:rPr>
        <w:t xml:space="preserve">Furthermore, when it designated </w:t>
      </w:r>
      <w:r>
        <w:rPr>
          <w:sz w:val="22"/>
        </w:rPr>
        <w:t xml:space="preserve">mutual aid </w:t>
      </w:r>
      <w:r>
        <w:rPr>
          <w:sz w:val="22"/>
        </w:rPr>
        <w:t xml:space="preserve">channels in the 800 MHz band, the Commission stated </w:t>
      </w:r>
      <w:r w:rsidR="00170A71">
        <w:rPr>
          <w:sz w:val="22"/>
        </w:rPr>
        <w:t xml:space="preserve">that these channels </w:t>
      </w:r>
      <w:r w:rsidR="002B73D1">
        <w:rPr>
          <w:sz w:val="22"/>
        </w:rPr>
        <w:t xml:space="preserve">are </w:t>
      </w:r>
      <w:r w:rsidR="00170A71">
        <w:rPr>
          <w:sz w:val="22"/>
        </w:rPr>
        <w:t xml:space="preserve">reserved </w:t>
      </w:r>
      <w:r w:rsidRPr="00BF0AA0" w:rsidR="00BF0AA0">
        <w:rPr>
          <w:sz w:val="22"/>
        </w:rPr>
        <w:t>“for the express purpose of intercommunication in non-routine, critical situations</w:t>
      </w:r>
      <w:r w:rsidR="00170A71">
        <w:rPr>
          <w:sz w:val="22"/>
        </w:rPr>
        <w:t>” and are intended to “</w:t>
      </w:r>
      <w:r w:rsidRPr="00BF0AA0" w:rsidR="00BF0AA0">
        <w:rPr>
          <w:sz w:val="22"/>
        </w:rPr>
        <w:t>provide public safety agencies with the means to coordinate their responses more effectively.</w:t>
      </w:r>
      <w:r w:rsidR="00170A71">
        <w:rPr>
          <w:sz w:val="22"/>
        </w:rPr>
        <w:t>”</w:t>
      </w:r>
      <w:r>
        <w:rPr>
          <w:rStyle w:val="FootnoteReference"/>
          <w:sz w:val="22"/>
        </w:rPr>
        <w:footnoteReference w:id="9"/>
      </w:r>
      <w:r w:rsidRPr="00BF0AA0" w:rsidR="00BF0AA0">
        <w:rPr>
          <w:sz w:val="22"/>
        </w:rPr>
        <w:t xml:space="preserve"> </w:t>
      </w:r>
      <w:r w:rsidR="00170A71">
        <w:rPr>
          <w:sz w:val="22"/>
        </w:rPr>
        <w:t xml:space="preserve"> The Commission </w:t>
      </w:r>
      <w:r w:rsidRPr="00BF0AA0" w:rsidR="00BF0AA0">
        <w:rPr>
          <w:sz w:val="22"/>
        </w:rPr>
        <w:t>emphasize</w:t>
      </w:r>
      <w:r w:rsidR="00170A71">
        <w:rPr>
          <w:sz w:val="22"/>
        </w:rPr>
        <w:t>d</w:t>
      </w:r>
      <w:r w:rsidRPr="00BF0AA0" w:rsidR="00BF0AA0">
        <w:rPr>
          <w:sz w:val="22"/>
        </w:rPr>
        <w:t xml:space="preserve"> that these channels </w:t>
      </w:r>
      <w:r w:rsidR="00170A71">
        <w:rPr>
          <w:sz w:val="22"/>
        </w:rPr>
        <w:t>“</w:t>
      </w:r>
      <w:r w:rsidRPr="00BF0AA0" w:rsidR="00BF0AA0">
        <w:rPr>
          <w:sz w:val="22"/>
        </w:rPr>
        <w:t>are not intended for routine, administrative, intra-agency communications but are to be reserved for coordination of multiple public safety entities.”</w:t>
      </w:r>
      <w:r>
        <w:rPr>
          <w:rStyle w:val="FootnoteReference"/>
          <w:sz w:val="22"/>
        </w:rPr>
        <w:footnoteReference w:id="10"/>
      </w:r>
      <w:r>
        <w:rPr>
          <w:sz w:val="22"/>
        </w:rPr>
        <w:t xml:space="preserve">  </w:t>
      </w:r>
      <w:r>
        <w:rPr>
          <w:sz w:val="22"/>
        </w:rPr>
        <w:tab/>
      </w:r>
      <w:r w:rsidR="007655B2">
        <w:rPr>
          <w:sz w:val="22"/>
        </w:rPr>
        <w:t xml:space="preserve">Therefore, </w:t>
      </w:r>
      <w:r w:rsidRPr="000B20A3">
        <w:rPr>
          <w:i/>
          <w:sz w:val="22"/>
        </w:rPr>
        <w:t xml:space="preserve">any </w:t>
      </w:r>
      <w:r w:rsidR="00AE5C63">
        <w:rPr>
          <w:sz w:val="22"/>
        </w:rPr>
        <w:t xml:space="preserve">internal day-to-day </w:t>
      </w:r>
      <w:r>
        <w:rPr>
          <w:sz w:val="22"/>
        </w:rPr>
        <w:t xml:space="preserve">communications on the 800 MHz mutual aid channels would be a violation of our rules.  </w:t>
      </w:r>
    </w:p>
    <w:p w:rsidR="001560A8" w:rsidP="000B20A3" w14:paraId="6114DD19" w14:textId="77777777">
      <w:pPr>
        <w:rPr>
          <w:sz w:val="22"/>
        </w:rPr>
      </w:pPr>
    </w:p>
    <w:p w:rsidR="00583BF2" w:rsidP="000B20A3" w14:paraId="7872F254" w14:textId="77777777">
      <w:pPr>
        <w:rPr>
          <w:sz w:val="22"/>
        </w:rPr>
      </w:pPr>
      <w:r>
        <w:rPr>
          <w:sz w:val="22"/>
        </w:rPr>
        <w:tab/>
        <w:t>Finally, you ask about “</w:t>
      </w:r>
      <w:r w:rsidRPr="00115BDC">
        <w:rPr>
          <w:sz w:val="22"/>
        </w:rPr>
        <w:t>allowed HAAT and ERP</w:t>
      </w:r>
      <w:r>
        <w:rPr>
          <w:sz w:val="22"/>
        </w:rPr>
        <w:t>” for licensees authorized to operate on “interoperability frequencies.”</w:t>
      </w:r>
      <w:r>
        <w:rPr>
          <w:rStyle w:val="FootnoteReference"/>
          <w:sz w:val="22"/>
        </w:rPr>
        <w:footnoteReference w:id="11"/>
      </w:r>
      <w:r>
        <w:rPr>
          <w:sz w:val="22"/>
        </w:rPr>
        <w:t xml:space="preserve">  </w:t>
      </w:r>
      <w:r w:rsidRPr="007959E4" w:rsidR="007959E4">
        <w:rPr>
          <w:sz w:val="22"/>
        </w:rPr>
        <w:t xml:space="preserve">The power and antenna height limits for </w:t>
      </w:r>
      <w:r w:rsidR="007959E4">
        <w:rPr>
          <w:sz w:val="22"/>
        </w:rPr>
        <w:t xml:space="preserve">all </w:t>
      </w:r>
      <w:r w:rsidRPr="007959E4" w:rsidR="007959E4">
        <w:rPr>
          <w:sz w:val="22"/>
        </w:rPr>
        <w:t>licensees operating in the VHF and UHF bands are listed in S</w:t>
      </w:r>
      <w:r w:rsidR="008F1427">
        <w:rPr>
          <w:sz w:val="22"/>
        </w:rPr>
        <w:t>ection 90.205 of our rules, and</w:t>
      </w:r>
      <w:r w:rsidRPr="007959E4" w:rsidR="007959E4">
        <w:rPr>
          <w:sz w:val="22"/>
        </w:rPr>
        <w:t xml:space="preserve"> the power and antenna height limits for licensees operating in the 800 MHz band are listed in Section 90.635 of our rules.</w:t>
      </w:r>
      <w:r>
        <w:rPr>
          <w:sz w:val="22"/>
          <w:vertAlign w:val="superscript"/>
        </w:rPr>
        <w:footnoteReference w:id="12"/>
      </w:r>
      <w:r w:rsidRPr="007959E4" w:rsidR="007959E4">
        <w:rPr>
          <w:sz w:val="22"/>
        </w:rPr>
        <w:t xml:space="preserve">  </w:t>
      </w:r>
      <w:r>
        <w:rPr>
          <w:sz w:val="22"/>
        </w:rPr>
        <w:t>Please be aware that base station</w:t>
      </w:r>
      <w:r w:rsidR="003D53EB">
        <w:rPr>
          <w:sz w:val="22"/>
        </w:rPr>
        <w:t>s</w:t>
      </w:r>
      <w:r>
        <w:rPr>
          <w:sz w:val="22"/>
        </w:rPr>
        <w:t xml:space="preserve"> and control stations must be licensed individually if they operate on the interoperability </w:t>
      </w:r>
      <w:r w:rsidR="003D53EB">
        <w:rPr>
          <w:sz w:val="22"/>
        </w:rPr>
        <w:t xml:space="preserve">or </w:t>
      </w:r>
      <w:r>
        <w:rPr>
          <w:sz w:val="22"/>
        </w:rPr>
        <w:t>mutual aid channels</w:t>
      </w:r>
      <w:r w:rsidR="007959E4">
        <w:rPr>
          <w:sz w:val="22"/>
        </w:rPr>
        <w:t>,</w:t>
      </w:r>
      <w:r>
        <w:rPr>
          <w:sz w:val="22"/>
        </w:rPr>
        <w:t xml:space="preserve"> but that any public safety </w:t>
      </w:r>
      <w:r>
        <w:rPr>
          <w:sz w:val="22"/>
        </w:rPr>
        <w:t>eligible entity</w:t>
      </w:r>
      <w:r w:rsidR="00A02017">
        <w:rPr>
          <w:sz w:val="22"/>
        </w:rPr>
        <w:t xml:space="preserve"> holding a Part 90 license</w:t>
      </w:r>
      <w:r>
        <w:rPr>
          <w:sz w:val="22"/>
        </w:rPr>
        <w:t xml:space="preserve"> </w:t>
      </w:r>
      <w:r>
        <w:rPr>
          <w:sz w:val="22"/>
        </w:rPr>
        <w:t xml:space="preserve">may operate mobile and portable units on the </w:t>
      </w:r>
      <w:r>
        <w:rPr>
          <w:sz w:val="22"/>
        </w:rPr>
        <w:t xml:space="preserve">interoperability and mutual aid channels </w:t>
      </w:r>
      <w:r>
        <w:rPr>
          <w:sz w:val="22"/>
        </w:rPr>
        <w:t>without needing a separate authorization.</w:t>
      </w:r>
      <w:r>
        <w:rPr>
          <w:rStyle w:val="FootnoteReference"/>
          <w:sz w:val="22"/>
        </w:rPr>
        <w:footnoteReference w:id="13"/>
      </w:r>
      <w:r w:rsidR="00BC2F61">
        <w:rPr>
          <w:sz w:val="22"/>
        </w:rPr>
        <w:t xml:space="preserve">  </w:t>
      </w:r>
    </w:p>
    <w:p w:rsidR="00115BDC" w:rsidP="001560A8" w14:paraId="6CC77015" w14:textId="77777777">
      <w:pPr>
        <w:ind w:firstLine="720"/>
        <w:rPr>
          <w:sz w:val="22"/>
        </w:rPr>
      </w:pPr>
    </w:p>
    <w:p w:rsidR="002560EA" w:rsidP="001560A8" w14:paraId="3A23C14D" w14:textId="77777777">
      <w:pPr>
        <w:ind w:firstLine="720"/>
        <w:rPr>
          <w:sz w:val="22"/>
        </w:rPr>
      </w:pPr>
      <w:r>
        <w:rPr>
          <w:sz w:val="22"/>
        </w:rPr>
        <w:t xml:space="preserve">If you believe a licensee in your region is violating Commission rules by inappropriately using the interoperability or mutual aid channels </w:t>
      </w:r>
      <w:r w:rsidR="00583BF2">
        <w:rPr>
          <w:sz w:val="22"/>
        </w:rPr>
        <w:t>or operating with excessive power</w:t>
      </w:r>
      <w:r w:rsidR="00C87E88">
        <w:rPr>
          <w:sz w:val="22"/>
        </w:rPr>
        <w:t xml:space="preserve"> on these channels</w:t>
      </w:r>
      <w:r>
        <w:rPr>
          <w:sz w:val="22"/>
        </w:rPr>
        <w:t xml:space="preserve">, you </w:t>
      </w:r>
      <w:r w:rsidR="00583BF2">
        <w:rPr>
          <w:sz w:val="22"/>
        </w:rPr>
        <w:t xml:space="preserve">should </w:t>
      </w:r>
      <w:r>
        <w:rPr>
          <w:sz w:val="22"/>
        </w:rPr>
        <w:t>report the m</w:t>
      </w:r>
      <w:r w:rsidR="00A02017">
        <w:rPr>
          <w:sz w:val="22"/>
        </w:rPr>
        <w:t>atter to our Enforcement Bureau (</w:t>
      </w:r>
      <w:r w:rsidRPr="00A02017" w:rsidR="00A02017">
        <w:rPr>
          <w:sz w:val="22"/>
        </w:rPr>
        <w:t>1-888-225-5322</w:t>
      </w:r>
      <w:r w:rsidR="00A02017">
        <w:rPr>
          <w:sz w:val="22"/>
        </w:rPr>
        <w:t xml:space="preserve">).  </w:t>
      </w:r>
      <w:r w:rsidR="00BC2F61">
        <w:rPr>
          <w:sz w:val="22"/>
        </w:rPr>
        <w:t xml:space="preserve">In the event of a rule violation, the Commission </w:t>
      </w:r>
      <w:r w:rsidR="00F05248">
        <w:rPr>
          <w:sz w:val="22"/>
        </w:rPr>
        <w:t xml:space="preserve">may impose restrictions on a licensee’s use of </w:t>
      </w:r>
      <w:r w:rsidR="003D53EB">
        <w:rPr>
          <w:sz w:val="22"/>
        </w:rPr>
        <w:t xml:space="preserve">a </w:t>
      </w:r>
      <w:r w:rsidR="00F05248">
        <w:rPr>
          <w:sz w:val="22"/>
        </w:rPr>
        <w:t>channel</w:t>
      </w:r>
      <w:r w:rsidR="006D671C">
        <w:rPr>
          <w:sz w:val="22"/>
        </w:rPr>
        <w:t>.  It</w:t>
      </w:r>
      <w:r w:rsidR="00F05248">
        <w:rPr>
          <w:sz w:val="22"/>
        </w:rPr>
        <w:t xml:space="preserve"> may</w:t>
      </w:r>
      <w:r w:rsidR="006D671C">
        <w:rPr>
          <w:sz w:val="22"/>
        </w:rPr>
        <w:t>, among other things,</w:t>
      </w:r>
      <w:r w:rsidR="00F05248">
        <w:rPr>
          <w:sz w:val="22"/>
        </w:rPr>
        <w:t xml:space="preserve"> </w:t>
      </w:r>
      <w:r w:rsidR="00583BF2">
        <w:rPr>
          <w:sz w:val="22"/>
        </w:rPr>
        <w:t xml:space="preserve">reduce </w:t>
      </w:r>
      <w:r w:rsidR="00BC2F61">
        <w:rPr>
          <w:sz w:val="22"/>
        </w:rPr>
        <w:t xml:space="preserve">excessive </w:t>
      </w:r>
      <w:r w:rsidR="00583BF2">
        <w:rPr>
          <w:sz w:val="22"/>
        </w:rPr>
        <w:t xml:space="preserve">operating power on a channel or </w:t>
      </w:r>
      <w:r w:rsidR="00F05248">
        <w:rPr>
          <w:sz w:val="22"/>
        </w:rPr>
        <w:t xml:space="preserve">remove </w:t>
      </w:r>
      <w:r w:rsidR="003D53EB">
        <w:rPr>
          <w:sz w:val="22"/>
        </w:rPr>
        <w:t xml:space="preserve">a </w:t>
      </w:r>
      <w:r w:rsidR="00F05248">
        <w:rPr>
          <w:sz w:val="22"/>
        </w:rPr>
        <w:t>channel from a licensee’s authorization</w:t>
      </w:r>
      <w:r w:rsidR="00583BF2">
        <w:rPr>
          <w:sz w:val="22"/>
        </w:rPr>
        <w:t xml:space="preserve"> if </w:t>
      </w:r>
      <w:r w:rsidR="006D671C">
        <w:rPr>
          <w:sz w:val="22"/>
        </w:rPr>
        <w:t xml:space="preserve">the Commission finds </w:t>
      </w:r>
      <w:r w:rsidR="00583BF2">
        <w:rPr>
          <w:sz w:val="22"/>
        </w:rPr>
        <w:t xml:space="preserve">such </w:t>
      </w:r>
      <w:r w:rsidR="003D53EB">
        <w:rPr>
          <w:sz w:val="22"/>
        </w:rPr>
        <w:t>a license modification is in the public interest</w:t>
      </w:r>
      <w:r w:rsidR="00F05248">
        <w:rPr>
          <w:sz w:val="22"/>
        </w:rPr>
        <w:t>.</w:t>
      </w:r>
      <w:r>
        <w:rPr>
          <w:rStyle w:val="FootnoteReference"/>
          <w:sz w:val="22"/>
        </w:rPr>
        <w:footnoteReference w:id="14"/>
      </w:r>
    </w:p>
    <w:p w:rsidR="002560EA" w:rsidP="001560A8" w14:paraId="08BB8191" w14:textId="77777777">
      <w:pPr>
        <w:ind w:firstLine="720"/>
        <w:rPr>
          <w:sz w:val="22"/>
        </w:rPr>
      </w:pPr>
    </w:p>
    <w:p w:rsidR="0023574C" w:rsidP="001560A8" w14:paraId="1C663BF2" w14:textId="77777777">
      <w:pPr>
        <w:ind w:firstLine="720"/>
        <w:rPr>
          <w:sz w:val="22"/>
        </w:rPr>
      </w:pPr>
      <w:r>
        <w:rPr>
          <w:sz w:val="22"/>
        </w:rPr>
        <w:t>Furthermore, please contact our O</w:t>
      </w:r>
      <w:r w:rsidR="00F1521D">
        <w:rPr>
          <w:sz w:val="22"/>
        </w:rPr>
        <w:t xml:space="preserve">perations and </w:t>
      </w:r>
      <w:r>
        <w:rPr>
          <w:sz w:val="22"/>
        </w:rPr>
        <w:t xml:space="preserve">Emergency Management (OEM) Division at </w:t>
      </w:r>
      <w:r w:rsidRPr="002560EA">
        <w:rPr>
          <w:sz w:val="22"/>
        </w:rPr>
        <w:t>202-418-1122</w:t>
      </w:r>
      <w:r>
        <w:rPr>
          <w:sz w:val="22"/>
        </w:rPr>
        <w:t xml:space="preserve"> or </w:t>
      </w:r>
      <w:r>
        <w:fldChar w:fldCharType="begin"/>
      </w:r>
      <w:r>
        <w:instrText xml:space="preserve"> HYPERLINK "mailto:FCCOPS@fcc.gov" </w:instrText>
      </w:r>
      <w:r>
        <w:fldChar w:fldCharType="separate"/>
      </w:r>
      <w:r w:rsidRPr="00257AD0">
        <w:rPr>
          <w:rStyle w:val="Hyperlink"/>
          <w:sz w:val="22"/>
        </w:rPr>
        <w:t>FCCOPS@fcc.gov</w:t>
      </w:r>
      <w:r>
        <w:fldChar w:fldCharType="end"/>
      </w:r>
      <w:r>
        <w:rPr>
          <w:sz w:val="22"/>
        </w:rPr>
        <w:t xml:space="preserve"> (24/7 Operations Center) if you believe interference</w:t>
      </w:r>
      <w:r>
        <w:rPr>
          <w:sz w:val="22"/>
        </w:rPr>
        <w:t xml:space="preserve"> from a secondary station </w:t>
      </w:r>
      <w:r>
        <w:rPr>
          <w:sz w:val="22"/>
        </w:rPr>
        <w:t>in your region is causing a</w:t>
      </w:r>
      <w:r w:rsidR="00BE3FD4">
        <w:rPr>
          <w:sz w:val="22"/>
        </w:rPr>
        <w:t>n immediate</w:t>
      </w:r>
      <w:r>
        <w:rPr>
          <w:sz w:val="22"/>
        </w:rPr>
        <w:t xml:space="preserve"> safety of life issue.  </w:t>
      </w:r>
    </w:p>
    <w:p w:rsidR="0023574C" w:rsidP="001560A8" w14:paraId="19166318" w14:textId="77777777">
      <w:pPr>
        <w:ind w:firstLine="720"/>
        <w:rPr>
          <w:sz w:val="22"/>
        </w:rPr>
      </w:pPr>
    </w:p>
    <w:p w:rsidR="00AE5C63" w:rsidP="001560A8" w14:paraId="0AE461B2" w14:textId="77777777">
      <w:pPr>
        <w:ind w:firstLine="720"/>
        <w:rPr>
          <w:sz w:val="22"/>
        </w:rPr>
      </w:pPr>
      <w:r>
        <w:rPr>
          <w:sz w:val="22"/>
        </w:rPr>
        <w:t xml:space="preserve">I hope this has been responsive to your inquiry.  </w:t>
      </w:r>
      <w:r w:rsidR="00A02017">
        <w:rPr>
          <w:sz w:val="22"/>
        </w:rPr>
        <w:t xml:space="preserve">If you </w:t>
      </w:r>
      <w:r w:rsidR="007F6277">
        <w:rPr>
          <w:sz w:val="22"/>
        </w:rPr>
        <w:t>require any further information</w:t>
      </w:r>
      <w:r w:rsidR="00A02017">
        <w:rPr>
          <w:sz w:val="22"/>
        </w:rPr>
        <w:t>, please feel free to contact me.</w:t>
      </w:r>
    </w:p>
    <w:p w:rsidR="00AE5C63" w:rsidP="007655B2" w14:paraId="76849233" w14:textId="77777777">
      <w:pPr>
        <w:ind w:firstLine="720"/>
        <w:rPr>
          <w:sz w:val="22"/>
        </w:rPr>
      </w:pPr>
    </w:p>
    <w:p w:rsidR="00AE5C63" w:rsidP="007655B2" w14:paraId="56E992A1" w14:textId="7777777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Sincerely,</w:t>
      </w:r>
    </w:p>
    <w:p w:rsidR="00BC2F61" w:rsidP="007655B2" w14:paraId="59AB1E1A" w14:textId="77777777">
      <w:pPr>
        <w:ind w:firstLine="720"/>
        <w:rPr>
          <w:sz w:val="22"/>
        </w:rPr>
      </w:pPr>
    </w:p>
    <w:p w:rsidR="00BC2F61" w:rsidP="007655B2" w14:paraId="14AEAFB4" w14:textId="77777777">
      <w:pPr>
        <w:ind w:firstLine="720"/>
        <w:rPr>
          <w:sz w:val="22"/>
        </w:rPr>
      </w:pPr>
    </w:p>
    <w:p w:rsidR="00AE5C63" w:rsidP="007655B2" w14:paraId="0C974138" w14:textId="7777777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Michael </w:t>
      </w:r>
      <w:r w:rsidR="00ED3628">
        <w:rPr>
          <w:sz w:val="22"/>
        </w:rPr>
        <w:t xml:space="preserve">J. </w:t>
      </w:r>
      <w:r>
        <w:rPr>
          <w:sz w:val="22"/>
        </w:rPr>
        <w:t>Wilhelm</w:t>
      </w:r>
    </w:p>
    <w:p w:rsidR="00826ACE" w:rsidP="007655B2" w14:paraId="21ADB6FF" w14:textId="7777777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26ACE" w:rsidP="007655B2" w14:paraId="20520A36" w14:textId="77777777">
      <w:pPr>
        <w:ind w:firstLine="720"/>
        <w:rPr>
          <w:sz w:val="22"/>
        </w:rPr>
      </w:pPr>
    </w:p>
    <w:p w:rsidR="00826ACE" w:rsidP="007655B2" w14:paraId="065E8E97" w14:textId="77777777">
      <w:pPr>
        <w:ind w:firstLine="720"/>
        <w:rPr>
          <w:sz w:val="22"/>
        </w:rPr>
      </w:pPr>
    </w:p>
    <w:p w:rsidR="00AE5C63" w:rsidP="000B20A3" w14:paraId="7490E994" w14:textId="77777777">
      <w:pPr>
        <w:ind w:left="4320" w:firstLine="720"/>
        <w:rPr>
          <w:sz w:val="22"/>
        </w:rPr>
      </w:pPr>
      <w:r>
        <w:rPr>
          <w:sz w:val="22"/>
        </w:rPr>
        <w:t>Chief</w:t>
      </w:r>
      <w:r w:rsidR="00A02017">
        <w:rPr>
          <w:sz w:val="22"/>
        </w:rPr>
        <w:t>,</w:t>
      </w:r>
      <w:r>
        <w:rPr>
          <w:sz w:val="22"/>
        </w:rPr>
        <w:t xml:space="preserve"> Policy and Licensing Division</w:t>
      </w:r>
    </w:p>
    <w:p w:rsidR="00822703" w:rsidRPr="002546BA" w:rsidP="002546BA" w14:paraId="765DD1D7" w14:textId="77777777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Public Saf</w:t>
      </w:r>
      <w:r w:rsidR="002546BA">
        <w:rPr>
          <w:sz w:val="22"/>
        </w:rPr>
        <w:t>ety and Homeland Security Bureau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9C9" w14:paraId="26EDE9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9C9" w14:paraId="6A547E9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9C9" w14:paraId="28E318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17536" w14:paraId="7B04C934" w14:textId="77777777">
      <w:r>
        <w:separator/>
      </w:r>
    </w:p>
  </w:footnote>
  <w:footnote w:type="continuationSeparator" w:id="1">
    <w:p w:rsidR="00617536" w14:paraId="1A3824E3" w14:textId="77777777">
      <w:r>
        <w:continuationSeparator/>
      </w:r>
    </w:p>
  </w:footnote>
  <w:footnote w:id="2">
    <w:p w:rsidR="00D12A28" w:rsidP="008F1427" w14:paraId="782490AE" w14:textId="77777777">
      <w:pPr>
        <w:spacing w:after="120"/>
      </w:pPr>
      <w:r>
        <w:rPr>
          <w:rStyle w:val="FootnoteReference"/>
        </w:rPr>
        <w:footnoteRef/>
      </w:r>
      <w:r w:rsidR="0055359A">
        <w:t xml:space="preserve"> </w:t>
      </w:r>
      <w:r w:rsidR="00971A55">
        <w:t xml:space="preserve">Letter from Wynn Brannin, </w:t>
      </w:r>
      <w:r w:rsidRPr="0064218A" w:rsidR="00971A55">
        <w:t>Statewide Emergency Coordinator</w:t>
      </w:r>
      <w:r w:rsidR="00971A55">
        <w:t xml:space="preserve">, </w:t>
      </w:r>
      <w:r w:rsidRPr="0064218A" w:rsidR="00971A55">
        <w:t>New Mexico, Department of Homeland Security and Emergency Management</w:t>
      </w:r>
      <w:r w:rsidR="00080694">
        <w:t>, to FCC (Feb. 2, 2017) (</w:t>
      </w:r>
      <w:r w:rsidR="003A64B3">
        <w:t xml:space="preserve">NM </w:t>
      </w:r>
      <w:r w:rsidR="00080694">
        <w:t>S</w:t>
      </w:r>
      <w:r w:rsidR="003A64B3">
        <w:t>WI</w:t>
      </w:r>
      <w:r w:rsidR="00080694">
        <w:t xml:space="preserve">C </w:t>
      </w:r>
      <w:r w:rsidR="00971A55">
        <w:t>Letter).</w:t>
      </w:r>
    </w:p>
  </w:footnote>
  <w:footnote w:id="3">
    <w:p w:rsidR="00D12A28" w:rsidRPr="000B20A3" w14:paraId="2DCF636A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4">
    <w:p w:rsidR="00D12A28" w14:paraId="0825AB4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0A3">
        <w:rPr>
          <w:i/>
        </w:rPr>
        <w:t>Id</w:t>
      </w:r>
      <w:r>
        <w:t>.</w:t>
      </w:r>
    </w:p>
  </w:footnote>
  <w:footnote w:id="5">
    <w:p w:rsidR="00D12A28" w:rsidRPr="000B20A3" w14:paraId="2827BCF9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6">
    <w:p w:rsidR="00382C9B" w14:paraId="1789669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0E16">
        <w:t>47 CFR § 90.20(d)(80).</w:t>
      </w:r>
    </w:p>
  </w:footnote>
  <w:footnote w:id="7">
    <w:p w:rsidR="00382C9B" w14:paraId="0D306E7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0A3">
        <w:rPr>
          <w:i/>
        </w:rPr>
        <w:t>Id</w:t>
      </w:r>
      <w:r>
        <w:t>.</w:t>
      </w:r>
    </w:p>
  </w:footnote>
  <w:footnote w:id="8">
    <w:p w:rsidR="00215AAC" w14:paraId="1609AD82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90.7</w:t>
      </w:r>
      <w:r w:rsidR="00BE3FD4">
        <w:t>, defining secondary operation as “</w:t>
      </w:r>
      <w:r w:rsidRPr="00BE3FD4" w:rsidR="00BE3FD4">
        <w:t>Radio communications which may not cause interference to</w:t>
      </w:r>
      <w:r w:rsidR="00BE3FD4">
        <w:t xml:space="preserve"> </w:t>
      </w:r>
      <w:r>
        <w:fldChar w:fldCharType="begin"/>
      </w:r>
      <w:r>
        <w:instrText xml:space="preserve"> HYPERLINK "https://www.law.cornell.edu/definitions/index.php?width=840&amp;height=800&amp;iframe=true&amp;def_id=ec0f841baebb6ddab3bb9ff7e69ad5e9&amp;term_occur=14&amp;term_src=Title:47:Chapter:I:Subchapter:D:Part:90:Subpart:A:90.7" \o "operations" </w:instrText>
      </w:r>
      <w:r>
        <w:fldChar w:fldCharType="separate"/>
      </w:r>
      <w:r w:rsidRPr="00E121D4" w:rsidR="00BE3FD4">
        <w:rPr>
          <w:rStyle w:val="Hyperlink"/>
          <w:color w:val="000000"/>
          <w:u w:val="none"/>
        </w:rPr>
        <w:t>operations</w:t>
      </w:r>
      <w:r>
        <w:fldChar w:fldCharType="end"/>
      </w:r>
      <w:r w:rsidRPr="00BE3FD4" w:rsidR="00BE3FD4">
        <w:t> authorized on a primary basis and which are not protected from interference from those primary </w:t>
      </w:r>
      <w:r>
        <w:fldChar w:fldCharType="begin"/>
      </w:r>
      <w:r>
        <w:instrText xml:space="preserve"> HYPERLINK "https://www.law.cornell.edu/definitions/index.php?width=840&amp;height=800&amp;iframe=true&amp;def_id=ec0f841baebb6ddab3bb9ff7e69ad5e9&amp;term_occur=15&amp;term_src=Title:47:Chapter:I:Subchapter:D:Part:90:Subpart:A:90.7" \o "operations" </w:instrText>
      </w:r>
      <w:r>
        <w:fldChar w:fldCharType="separate"/>
      </w:r>
      <w:r w:rsidRPr="00E121D4" w:rsidR="00BE3FD4">
        <w:rPr>
          <w:rStyle w:val="Hyperlink"/>
          <w:color w:val="000000"/>
          <w:u w:val="none"/>
        </w:rPr>
        <w:t>operations</w:t>
      </w:r>
      <w:r>
        <w:fldChar w:fldCharType="end"/>
      </w:r>
      <w:r w:rsidRPr="00BE3FD4" w:rsidR="00BE3FD4">
        <w:t>.</w:t>
      </w:r>
      <w:r w:rsidR="00BE3FD4">
        <w:t>”</w:t>
      </w:r>
      <w:r w:rsidRPr="00BE3FD4" w:rsidR="00BE3FD4">
        <w:t xml:space="preserve"> </w:t>
      </w:r>
    </w:p>
  </w:footnote>
  <w:footnote w:id="9">
    <w:p w:rsidR="00C32C6B" w14:paraId="0C52208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79D9">
        <w:rPr>
          <w:i/>
        </w:rPr>
        <w:t>See</w:t>
      </w:r>
      <w:r w:rsidRPr="00B61568">
        <w:t xml:space="preserve"> </w:t>
      </w:r>
      <w:r w:rsidRPr="00022A3E">
        <w:rPr>
          <w:i/>
        </w:rPr>
        <w:t>Development and Implementation of a Public Safety National Plan and Amendment of Part 90 to Establish Service Rules and Technical Standards for Use of the 821–824/866–869 MHz Band</w:t>
      </w:r>
      <w:r>
        <w:rPr>
          <w:i/>
        </w:rPr>
        <w:t>s by the Public Safety Services</w:t>
      </w:r>
      <w:r>
        <w:t xml:space="preserve">, </w:t>
      </w:r>
      <w:r w:rsidRPr="00F416F2">
        <w:t>Report and order</w:t>
      </w:r>
      <w:r>
        <w:t xml:space="preserve">, </w:t>
      </w:r>
      <w:r>
        <w:rPr>
          <w:color w:val="212121"/>
          <w:szCs w:val="21"/>
        </w:rPr>
        <w:t>3 FCC Rcd 905, para. 30 (1987).</w:t>
      </w:r>
    </w:p>
  </w:footnote>
  <w:footnote w:id="10">
    <w:p w:rsidR="00CE39A0" w:rsidP="00BC2F61" w14:paraId="45B5CB41" w14:textId="77777777">
      <w:pPr>
        <w:spacing w:after="120"/>
      </w:pPr>
      <w:r>
        <w:rPr>
          <w:rStyle w:val="FootnoteReference"/>
        </w:rPr>
        <w:footnoteRef/>
      </w:r>
      <w:r>
        <w:t xml:space="preserve"> </w:t>
      </w:r>
      <w:r w:rsidRPr="000B20A3" w:rsidR="00C32C6B">
        <w:rPr>
          <w:i/>
        </w:rPr>
        <w:t>Id</w:t>
      </w:r>
      <w:r w:rsidR="00C32C6B">
        <w:t>.</w:t>
      </w:r>
      <w:r w:rsidR="0055359A">
        <w:t xml:space="preserve"> </w:t>
      </w:r>
    </w:p>
  </w:footnote>
  <w:footnote w:id="11">
    <w:p w:rsidR="00583BF2" w14:paraId="6A43670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64B3">
        <w:t xml:space="preserve">NM </w:t>
      </w:r>
      <w:r w:rsidR="00080694">
        <w:t>S</w:t>
      </w:r>
      <w:r w:rsidR="003A64B3">
        <w:t>WI</w:t>
      </w:r>
      <w:r w:rsidR="00080694">
        <w:t>C</w:t>
      </w:r>
      <w:r>
        <w:t xml:space="preserve"> Letter.</w:t>
      </w:r>
    </w:p>
  </w:footnote>
  <w:footnote w:id="12">
    <w:p w:rsidR="007959E4" w:rsidP="007959E4" w14:paraId="36D3B53B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§§ 90.205</w:t>
      </w:r>
      <w:r w:rsidR="00BE3FD4">
        <w:t xml:space="preserve">, </w:t>
      </w:r>
      <w:r>
        <w:t>90.635.</w:t>
      </w:r>
    </w:p>
  </w:footnote>
  <w:footnote w:id="13">
    <w:p w:rsidR="00583BF2" w14:paraId="72DC7BC9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90.20(i).  </w:t>
      </w:r>
    </w:p>
  </w:footnote>
  <w:footnote w:id="14">
    <w:p w:rsidR="003D53EB" w14:paraId="0F85C8AE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90.173(b) (noting that the Commission may impose restrictions on a licensee including specifying the </w:t>
      </w:r>
      <w:r w:rsidRPr="003D53EB">
        <w:t>transmitter power, antenna height, or area or hours of operation of the stations concerned.</w:t>
      </w:r>
      <w:r w:rsidR="008F1427">
        <w:t xml:space="preserve"> </w:t>
      </w:r>
      <w:r w:rsidRPr="003D53EB">
        <w:t xml:space="preserve"> </w:t>
      </w:r>
      <w:r>
        <w:t xml:space="preserve">It may also deny use of </w:t>
      </w:r>
      <w:r w:rsidRPr="003D53EB">
        <w:t>any frequency at a given geographical location when, in the judgment of the Commission, its use in that location is not in the public interest</w:t>
      </w:r>
      <w:r>
        <w:t>)</w:t>
      </w:r>
      <w:r w:rsidR="008F1427">
        <w:t>.</w:t>
      </w:r>
      <w:r>
        <w:t xml:space="preserve"> </w:t>
      </w:r>
      <w:r w:rsidR="00BC2F61">
        <w:t xml:space="preserve"> </w:t>
      </w:r>
      <w:r w:rsidRPr="00BC2F61" w:rsidR="00BC2F61">
        <w:rPr>
          <w:i/>
        </w:rPr>
        <w:t>See also</w:t>
      </w:r>
      <w:r w:rsidR="00BC2F61">
        <w:t xml:space="preserve"> 47 U.S.C. § 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59C9" w14:paraId="18424C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2703" w14:paraId="374E7432" w14:textId="77777777">
    <w:pPr>
      <w:pStyle w:val="Header"/>
    </w:pPr>
    <w:r>
      <w:t xml:space="preserve">Mr. </w:t>
    </w:r>
    <w:r w:rsidRPr="00170A71" w:rsidR="00170A71">
      <w:t>Wynn Brannin</w:t>
    </w:r>
    <w:r>
      <w:tab/>
    </w:r>
    <w:r>
      <w:tab/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59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2703" w14:paraId="5BEEB653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251658240" o:oleicon="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580718200" r:id="rId2"/>
      </w:pict>
    </w:r>
    <w:r>
      <w:rPr>
        <w:rFonts w:ascii="CG Times (W1)" w:hAnsi="CG Times (W1)"/>
        <w:sz w:val="28"/>
      </w:rPr>
      <w:t>Federal Communications Commission</w:t>
    </w:r>
  </w:p>
  <w:p w:rsidR="00822703" w14:paraId="6FD57F11" w14:textId="77777777">
    <w:pPr>
      <w:jc w:val="center"/>
    </w:pPr>
    <w:r>
      <w:rPr>
        <w:rFonts w:ascii="CG Times (W1)" w:hAnsi="CG Times (W1)"/>
        <w:sz w:val="28"/>
      </w:rPr>
      <w:t>Washington, D.C. 20554</w:t>
    </w:r>
  </w:p>
  <w:p w:rsidR="00822703" w14:paraId="6C78A51C" w14:textId="77777777">
    <w:pPr>
      <w:pStyle w:val="Header"/>
      <w:tabs>
        <w:tab w:val="clear" w:pos="4320"/>
      </w:tabs>
      <w:jc w:val="center"/>
      <w:rPr>
        <w:sz w:val="22"/>
      </w:rPr>
    </w:pPr>
  </w:p>
  <w:p w:rsidR="00822703" w14:paraId="6B631FC6" w14:textId="77777777">
    <w:pPr>
      <w:pStyle w:val="Header"/>
      <w:tabs>
        <w:tab w:val="clear" w:pos="4320"/>
      </w:tabs>
      <w:jc w:val="center"/>
      <w:rPr>
        <w:sz w:val="22"/>
      </w:rPr>
    </w:pPr>
  </w:p>
  <w:p w:rsidR="00822703" w14:paraId="54C6F1D4" w14:textId="0898A8B1">
    <w:pPr>
      <w:pStyle w:val="Header"/>
      <w:tabs>
        <w:tab w:val="clear" w:pos="4320"/>
      </w:tabs>
      <w:jc w:val="center"/>
      <w:rPr>
        <w:sz w:val="24"/>
      </w:rPr>
    </w:pPr>
    <w:r>
      <w:rPr>
        <w:sz w:val="24"/>
      </w:rPr>
      <w:t>February 21,</w:t>
    </w:r>
    <w:r>
      <w:rPr>
        <w:sz w:val="24"/>
      </w:rPr>
      <w:t xml:space="preserve"> 201</w:t>
    </w:r>
    <w:r w:rsidR="00E121D4">
      <w:rPr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7A"/>
    <w:rsid w:val="000173F9"/>
    <w:rsid w:val="00022A3E"/>
    <w:rsid w:val="000370C6"/>
    <w:rsid w:val="00045EAB"/>
    <w:rsid w:val="000679D9"/>
    <w:rsid w:val="00080694"/>
    <w:rsid w:val="000B20A3"/>
    <w:rsid w:val="000B2AC3"/>
    <w:rsid w:val="000B488E"/>
    <w:rsid w:val="000C2B5A"/>
    <w:rsid w:val="00115BDC"/>
    <w:rsid w:val="00140A65"/>
    <w:rsid w:val="00150E16"/>
    <w:rsid w:val="00155EF1"/>
    <w:rsid w:val="0015606B"/>
    <w:rsid w:val="001560A8"/>
    <w:rsid w:val="00170A71"/>
    <w:rsid w:val="00193966"/>
    <w:rsid w:val="001D646D"/>
    <w:rsid w:val="001E0B5C"/>
    <w:rsid w:val="001E44E5"/>
    <w:rsid w:val="00215AAC"/>
    <w:rsid w:val="0023574C"/>
    <w:rsid w:val="002546BA"/>
    <w:rsid w:val="002560EA"/>
    <w:rsid w:val="00257AD0"/>
    <w:rsid w:val="00293DFE"/>
    <w:rsid w:val="002B73D1"/>
    <w:rsid w:val="002D20C7"/>
    <w:rsid w:val="002D2D99"/>
    <w:rsid w:val="00355A8A"/>
    <w:rsid w:val="00356623"/>
    <w:rsid w:val="00382C9B"/>
    <w:rsid w:val="003868B2"/>
    <w:rsid w:val="003A64B3"/>
    <w:rsid w:val="003B0D4A"/>
    <w:rsid w:val="003C0292"/>
    <w:rsid w:val="003D1835"/>
    <w:rsid w:val="003D53EB"/>
    <w:rsid w:val="003D59C9"/>
    <w:rsid w:val="003E0AD4"/>
    <w:rsid w:val="0045537C"/>
    <w:rsid w:val="004A1C81"/>
    <w:rsid w:val="004E4653"/>
    <w:rsid w:val="00523293"/>
    <w:rsid w:val="00531F78"/>
    <w:rsid w:val="0055359A"/>
    <w:rsid w:val="00561991"/>
    <w:rsid w:val="00563A18"/>
    <w:rsid w:val="00583BF2"/>
    <w:rsid w:val="00593081"/>
    <w:rsid w:val="005F3F12"/>
    <w:rsid w:val="0060675B"/>
    <w:rsid w:val="00617536"/>
    <w:rsid w:val="006344A6"/>
    <w:rsid w:val="0064218A"/>
    <w:rsid w:val="00642CF5"/>
    <w:rsid w:val="006C2D0D"/>
    <w:rsid w:val="006D671C"/>
    <w:rsid w:val="007655B2"/>
    <w:rsid w:val="00775412"/>
    <w:rsid w:val="007959E4"/>
    <w:rsid w:val="007A5763"/>
    <w:rsid w:val="007C7BBA"/>
    <w:rsid w:val="007F6277"/>
    <w:rsid w:val="00822703"/>
    <w:rsid w:val="008234FA"/>
    <w:rsid w:val="00826ACE"/>
    <w:rsid w:val="00836E47"/>
    <w:rsid w:val="008C23B1"/>
    <w:rsid w:val="008D6197"/>
    <w:rsid w:val="008E45E1"/>
    <w:rsid w:val="008F1427"/>
    <w:rsid w:val="0092064B"/>
    <w:rsid w:val="009714B4"/>
    <w:rsid w:val="00971A55"/>
    <w:rsid w:val="009828D8"/>
    <w:rsid w:val="009913D3"/>
    <w:rsid w:val="009B2BF4"/>
    <w:rsid w:val="009C0CE2"/>
    <w:rsid w:val="00A000DE"/>
    <w:rsid w:val="00A02017"/>
    <w:rsid w:val="00A35B0C"/>
    <w:rsid w:val="00AC17E0"/>
    <w:rsid w:val="00AD1EC3"/>
    <w:rsid w:val="00AE5C63"/>
    <w:rsid w:val="00B10E55"/>
    <w:rsid w:val="00B4419A"/>
    <w:rsid w:val="00B503A1"/>
    <w:rsid w:val="00B61568"/>
    <w:rsid w:val="00BC246F"/>
    <w:rsid w:val="00BC2F61"/>
    <w:rsid w:val="00BD75FF"/>
    <w:rsid w:val="00BE3FD4"/>
    <w:rsid w:val="00BE507A"/>
    <w:rsid w:val="00BF0AA0"/>
    <w:rsid w:val="00C01DC7"/>
    <w:rsid w:val="00C11409"/>
    <w:rsid w:val="00C32C6B"/>
    <w:rsid w:val="00C46EB1"/>
    <w:rsid w:val="00C87E88"/>
    <w:rsid w:val="00CE39A0"/>
    <w:rsid w:val="00D02D2C"/>
    <w:rsid w:val="00D12A28"/>
    <w:rsid w:val="00D228DF"/>
    <w:rsid w:val="00D31DA5"/>
    <w:rsid w:val="00D62261"/>
    <w:rsid w:val="00D72525"/>
    <w:rsid w:val="00D93C93"/>
    <w:rsid w:val="00E121D4"/>
    <w:rsid w:val="00E25B3D"/>
    <w:rsid w:val="00E412C0"/>
    <w:rsid w:val="00E42F63"/>
    <w:rsid w:val="00E521EF"/>
    <w:rsid w:val="00E748CA"/>
    <w:rsid w:val="00EB16C0"/>
    <w:rsid w:val="00ED3628"/>
    <w:rsid w:val="00EE25C1"/>
    <w:rsid w:val="00F05248"/>
    <w:rsid w:val="00F1521D"/>
    <w:rsid w:val="00F40D5F"/>
    <w:rsid w:val="00F416F2"/>
    <w:rsid w:val="00F439FD"/>
    <w:rsid w:val="00F96496"/>
    <w:rsid w:val="00FA6E26"/>
    <w:rsid w:val="00FB03E5"/>
    <w:rsid w:val="00FF3F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napToGrid w:val="0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D12A28"/>
    <w:pPr>
      <w:spacing w:after="120"/>
    </w:pPr>
  </w:style>
  <w:style w:type="character" w:styleId="PageNumber">
    <w:name w:val="page number"/>
    <w:basedOn w:val="DefaultParagraphFont"/>
    <w:semiHidden/>
  </w:style>
  <w:style w:type="paragraph" w:customStyle="1" w:styleId="ParaNum">
    <w:name w:val="ParaNum"/>
    <w:basedOn w:val="Normal"/>
    <w:pPr>
      <w:widowControl w:val="0"/>
      <w:spacing w:after="220"/>
      <w:jc w:val="both"/>
    </w:pPr>
    <w:rPr>
      <w:snapToGrid w:val="0"/>
      <w:kern w:val="28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DF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E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9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9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17"/>
    <w:rPr>
      <w:sz w:val="24"/>
      <w:szCs w:val="24"/>
    </w:rPr>
  </w:style>
  <w:style w:type="character" w:styleId="Hyperlink">
    <w:name w:val="Hyperlink"/>
    <w:uiPriority w:val="99"/>
    <w:unhideWhenUsed/>
    <w:rsid w:val="00A020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2CE4-AAFD-45F7-A2DF-CDAEEDD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2018-02-21T16:37:21Z</dcterms:created>
  <dcterms:modified xsi:type="dcterms:W3CDTF">2018-02-21T16:37:21Z</dcterms:modified>
</cp:coreProperties>
</file>