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E0F63" w:rsidRPr="00163D14" w:rsidP="000D7534" w14:paraId="4234E064" w14:textId="77777777">
      <w:pPr>
        <w:widowControl/>
        <w:tabs>
          <w:tab w:val="left" w:pos="3330"/>
        </w:tabs>
        <w:jc w:val="center"/>
        <w:rPr>
          <w:szCs w:val="22"/>
        </w:rPr>
      </w:pPr>
      <w:bookmarkStart w:id="0" w:name="_GoBack"/>
      <w:bookmarkEnd w:id="0"/>
      <w:r w:rsidRPr="00163D14">
        <w:rPr>
          <w:b/>
          <w:szCs w:val="22"/>
        </w:rPr>
        <w:t>Before the</w:t>
      </w:r>
    </w:p>
    <w:p w:rsidR="005E0F63" w:rsidRPr="00163D14" w:rsidP="000D7534" w14:paraId="019146E1" w14:textId="77777777">
      <w:pPr>
        <w:widowControl/>
        <w:jc w:val="center"/>
        <w:rPr>
          <w:b/>
          <w:szCs w:val="22"/>
        </w:rPr>
      </w:pPr>
      <w:bookmarkStart w:id="1" w:name="_Toc336255590"/>
      <w:r w:rsidRPr="00163D14">
        <w:rPr>
          <w:b/>
          <w:szCs w:val="22"/>
        </w:rPr>
        <w:t>Federal Communications Commission</w:t>
      </w:r>
      <w:bookmarkEnd w:id="1"/>
    </w:p>
    <w:p w:rsidR="005E0F63" w:rsidRPr="00163D14" w:rsidP="000D7534" w14:paraId="3D58E474" w14:textId="77777777">
      <w:pPr>
        <w:widowControl/>
        <w:jc w:val="center"/>
        <w:rPr>
          <w:b/>
          <w:szCs w:val="22"/>
        </w:rPr>
      </w:pPr>
      <w:bookmarkStart w:id="2" w:name="_Toc336255591"/>
      <w:r w:rsidRPr="00163D14">
        <w:rPr>
          <w:b/>
          <w:szCs w:val="22"/>
        </w:rPr>
        <w:t>Washington, D.C. 20554</w:t>
      </w:r>
      <w:bookmarkEnd w:id="2"/>
    </w:p>
    <w:p w:rsidR="005E0F63" w:rsidRPr="00163D14" w:rsidP="000D7534" w14:paraId="16411142" w14:textId="77777777">
      <w:pPr>
        <w:widowControl/>
        <w:rPr>
          <w:szCs w:val="22"/>
        </w:rPr>
      </w:pPr>
    </w:p>
    <w:tbl>
      <w:tblPr>
        <w:tblW w:w="9626" w:type="dxa"/>
        <w:tblInd w:w="0" w:type="dxa"/>
        <w:tblLayout w:type="fixed"/>
        <w:tblCellMar>
          <w:top w:w="0" w:type="dxa"/>
          <w:left w:w="108" w:type="dxa"/>
          <w:bottom w:w="0" w:type="dxa"/>
          <w:right w:w="108" w:type="dxa"/>
        </w:tblCellMar>
        <w:tblLook w:val="0000"/>
      </w:tblPr>
      <w:tblGrid>
        <w:gridCol w:w="4688"/>
        <w:gridCol w:w="717"/>
        <w:gridCol w:w="4221"/>
      </w:tblGrid>
      <w:tr w14:paraId="66E71D86" w14:textId="77777777" w:rsidTr="006C29BD">
        <w:tblPrEx>
          <w:tblW w:w="9626" w:type="dxa"/>
          <w:tblInd w:w="0" w:type="dxa"/>
          <w:tblLayout w:type="fixed"/>
          <w:tblCellMar>
            <w:top w:w="0" w:type="dxa"/>
            <w:left w:w="108" w:type="dxa"/>
            <w:bottom w:w="0" w:type="dxa"/>
            <w:right w:w="108" w:type="dxa"/>
          </w:tblCellMar>
          <w:tblLook w:val="0000"/>
        </w:tblPrEx>
        <w:trPr>
          <w:trHeight w:val="202"/>
        </w:trPr>
        <w:tc>
          <w:tcPr>
            <w:tcW w:w="4688" w:type="dxa"/>
          </w:tcPr>
          <w:p w:rsidR="005E0F63" w:rsidRPr="00163D14" w:rsidP="000D7534" w14:paraId="593FCB1F" w14:textId="77777777">
            <w:pPr>
              <w:widowControl/>
              <w:rPr>
                <w:rStyle w:val="DefaultParagraphFont"/>
                <w:snapToGrid w:val="0"/>
                <w:kern w:val="28"/>
                <w:sz w:val="22"/>
                <w:szCs w:val="22"/>
                <w:lang w:val="en-US" w:eastAsia="en-US" w:bidi="ar-SA"/>
              </w:rPr>
            </w:pPr>
            <w:r w:rsidRPr="00163D14">
              <w:rPr>
                <w:snapToGrid w:val="0"/>
                <w:kern w:val="28"/>
                <w:sz w:val="22"/>
                <w:szCs w:val="22"/>
                <w:lang w:val="en-US" w:eastAsia="en-US" w:bidi="ar-SA"/>
              </w:rPr>
              <w:t>In the Matter of</w:t>
            </w:r>
          </w:p>
          <w:p w:rsidR="0037057B" w:rsidRPr="00163D14" w:rsidP="000D7534" w14:paraId="7F603C4D" w14:textId="77777777">
            <w:pPr>
              <w:widowControl/>
              <w:rPr>
                <w:rStyle w:val="DefaultParagraphFont"/>
                <w:snapToGrid w:val="0"/>
                <w:kern w:val="28"/>
                <w:sz w:val="22"/>
                <w:szCs w:val="22"/>
                <w:lang w:val="en-US" w:eastAsia="en-US" w:bidi="ar-SA"/>
              </w:rPr>
            </w:pPr>
          </w:p>
          <w:p w:rsidR="00E80A36" w:rsidRPr="00163D14" w:rsidP="000D7534" w14:paraId="29F64039" w14:textId="77777777">
            <w:pPr>
              <w:widowControl/>
              <w:rPr>
                <w:rStyle w:val="DefaultParagraphFont"/>
                <w:snapToGrid w:val="0"/>
                <w:kern w:val="28"/>
                <w:sz w:val="22"/>
                <w:szCs w:val="22"/>
                <w:lang w:val="en-US" w:eastAsia="en-US" w:bidi="ar-SA"/>
              </w:rPr>
            </w:pPr>
            <w:r w:rsidRPr="00163D14">
              <w:rPr>
                <w:snapToGrid w:val="0"/>
                <w:kern w:val="28"/>
                <w:sz w:val="22"/>
                <w:szCs w:val="22"/>
                <w:lang w:val="en-US" w:eastAsia="en-US" w:bidi="ar-SA"/>
              </w:rPr>
              <w:t>Connect America Fund</w:t>
            </w:r>
            <w:r w:rsidR="004C09A6">
              <w:rPr>
                <w:snapToGrid w:val="0"/>
                <w:kern w:val="28"/>
                <w:sz w:val="22"/>
                <w:szCs w:val="22"/>
                <w:lang w:val="en-US" w:eastAsia="en-US" w:bidi="ar-SA"/>
              </w:rPr>
              <w:t xml:space="preserve"> — </w:t>
            </w:r>
            <w:r>
              <w:rPr>
                <w:snapToGrid w:val="0"/>
                <w:kern w:val="28"/>
                <w:sz w:val="22"/>
                <w:szCs w:val="22"/>
                <w:lang w:val="en-US" w:eastAsia="en-US" w:bidi="ar-SA"/>
              </w:rPr>
              <w:t>Alaska Plan</w:t>
            </w:r>
          </w:p>
        </w:tc>
        <w:tc>
          <w:tcPr>
            <w:tcW w:w="717" w:type="dxa"/>
          </w:tcPr>
          <w:p w:rsidR="005E0F63" w:rsidRPr="00163D14" w:rsidP="000D7534" w14:paraId="670A940F" w14:textId="77777777">
            <w:pPr>
              <w:widowControl/>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E0F63" w:rsidRPr="00163D14" w:rsidP="000D7534" w14:paraId="1BDEFCFC" w14:textId="77777777">
            <w:pPr>
              <w:widowControl/>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E0F63" w:rsidRPr="00163D14" w:rsidP="000D7534" w14:paraId="549C1AD9" w14:textId="77777777">
            <w:pPr>
              <w:widowControl/>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E0F63" w:rsidRPr="00163D14" w:rsidP="000D7534" w14:paraId="03BEE5BB" w14:textId="77777777">
            <w:pPr>
              <w:widowControl/>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534DEB" w:rsidRPr="00163D14" w:rsidP="000D7534" w14:paraId="4D7FE3D1" w14:textId="77777777">
            <w:pPr>
              <w:widowControl/>
              <w:rPr>
                <w:rStyle w:val="DefaultParagraphFont"/>
                <w:snapToGrid w:val="0"/>
                <w:kern w:val="28"/>
                <w:sz w:val="22"/>
                <w:szCs w:val="22"/>
                <w:lang w:val="en-US" w:eastAsia="en-US" w:bidi="ar-SA"/>
              </w:rPr>
            </w:pPr>
            <w:r w:rsidRPr="00163D14">
              <w:rPr>
                <w:snapToGrid w:val="0"/>
                <w:kern w:val="28"/>
                <w:sz w:val="22"/>
                <w:szCs w:val="22"/>
                <w:lang w:val="en-US" w:eastAsia="en-US" w:bidi="ar-SA"/>
              </w:rPr>
              <w:t>)</w:t>
            </w:r>
          </w:p>
          <w:p w:rsidR="000C76DA" w:rsidRPr="00163D14" w:rsidP="000D7534" w14:paraId="3E539B33" w14:textId="77777777">
            <w:pPr>
              <w:widowControl/>
              <w:rPr>
                <w:rStyle w:val="DefaultParagraphFont"/>
                <w:snapToGrid w:val="0"/>
                <w:kern w:val="28"/>
                <w:sz w:val="22"/>
                <w:szCs w:val="22"/>
                <w:lang w:val="en-US" w:eastAsia="en-US" w:bidi="ar-SA"/>
              </w:rPr>
            </w:pPr>
          </w:p>
        </w:tc>
        <w:tc>
          <w:tcPr>
            <w:tcW w:w="4221" w:type="dxa"/>
          </w:tcPr>
          <w:p w:rsidR="005E0F63" w:rsidRPr="00163D14" w:rsidP="000D7534" w14:paraId="2875B7F0" w14:textId="77777777">
            <w:pPr>
              <w:widowControl/>
              <w:rPr>
                <w:rStyle w:val="DefaultParagraphFont"/>
                <w:snapToGrid w:val="0"/>
                <w:kern w:val="28"/>
                <w:sz w:val="22"/>
                <w:szCs w:val="22"/>
                <w:lang w:val="en-US" w:eastAsia="en-US" w:bidi="ar-SA"/>
              </w:rPr>
            </w:pPr>
          </w:p>
          <w:p w:rsidR="005E0F63" w:rsidRPr="00163D14" w:rsidP="000D7534" w14:paraId="471E45CF" w14:textId="77777777">
            <w:pPr>
              <w:widowControl/>
              <w:tabs>
                <w:tab w:val="left" w:pos="2592"/>
              </w:tabs>
              <w:rPr>
                <w:rStyle w:val="DefaultParagraphFont"/>
                <w:snapToGrid w:val="0"/>
                <w:kern w:val="28"/>
                <w:sz w:val="22"/>
                <w:szCs w:val="22"/>
                <w:lang w:val="en-US" w:eastAsia="en-US" w:bidi="ar-SA"/>
              </w:rPr>
            </w:pPr>
            <w:r w:rsidRPr="00163D14">
              <w:rPr>
                <w:snapToGrid w:val="0"/>
                <w:kern w:val="28"/>
                <w:sz w:val="22"/>
                <w:szCs w:val="22"/>
                <w:lang w:val="en-US" w:eastAsia="en-US" w:bidi="ar-SA"/>
              </w:rPr>
              <w:tab/>
            </w:r>
          </w:p>
          <w:p w:rsidR="00257962" w:rsidRPr="00163D14" w:rsidP="000D7534" w14:paraId="6F68E4F2" w14:textId="77777777">
            <w:pPr>
              <w:widowControl/>
              <w:rPr>
                <w:rStyle w:val="DefaultParagraphFont"/>
                <w:snapToGrid w:val="0"/>
                <w:kern w:val="28"/>
                <w:sz w:val="22"/>
                <w:szCs w:val="22"/>
                <w:lang w:val="en-US" w:eastAsia="en-US" w:bidi="ar-SA"/>
              </w:rPr>
            </w:pPr>
            <w:r w:rsidRPr="00163D14">
              <w:rPr>
                <w:snapToGrid w:val="0"/>
                <w:kern w:val="28"/>
                <w:sz w:val="22"/>
                <w:szCs w:val="22"/>
                <w:lang w:val="en-US" w:eastAsia="en-US" w:bidi="ar-SA"/>
              </w:rPr>
              <w:t xml:space="preserve">WC Docket No. </w:t>
            </w:r>
            <w:r w:rsidR="004C09A6">
              <w:rPr>
                <w:snapToGrid w:val="0"/>
                <w:kern w:val="28"/>
                <w:sz w:val="22"/>
                <w:szCs w:val="22"/>
                <w:lang w:val="en-US" w:eastAsia="en-US" w:bidi="ar-SA"/>
              </w:rPr>
              <w:t>16-271</w:t>
            </w:r>
          </w:p>
          <w:p w:rsidR="006535FC" w:rsidRPr="00163D14" w:rsidP="000D7534" w14:paraId="26241472" w14:textId="77777777">
            <w:pPr>
              <w:widowControl/>
              <w:rPr>
                <w:rStyle w:val="DefaultParagraphFont"/>
                <w:snapToGrid w:val="0"/>
                <w:kern w:val="28"/>
                <w:sz w:val="22"/>
                <w:szCs w:val="22"/>
                <w:lang w:val="en-US" w:eastAsia="en-US" w:bidi="ar-SA"/>
              </w:rPr>
            </w:pPr>
          </w:p>
          <w:p w:rsidR="006B2274" w:rsidRPr="00163D14" w:rsidP="000D7534" w14:paraId="51312F0E" w14:textId="77777777">
            <w:pPr>
              <w:widowControl/>
              <w:rPr>
                <w:rStyle w:val="DefaultParagraphFont"/>
                <w:snapToGrid w:val="0"/>
                <w:kern w:val="28"/>
                <w:sz w:val="22"/>
                <w:szCs w:val="22"/>
                <w:lang w:val="en-US" w:eastAsia="en-US" w:bidi="ar-SA"/>
              </w:rPr>
            </w:pPr>
          </w:p>
        </w:tc>
      </w:tr>
    </w:tbl>
    <w:p w:rsidR="00F32AF4" w:rsidRPr="00F32AF4" w:rsidP="000D7534" w14:paraId="4B649E08" w14:textId="77777777">
      <w:pPr>
        <w:widowControl/>
      </w:pPr>
    </w:p>
    <w:p w:rsidR="005E0F63" w:rsidRPr="00163D14" w:rsidP="008D3D95" w14:paraId="6E0F7883" w14:textId="7875F6BE">
      <w:pPr>
        <w:pStyle w:val="Caption"/>
        <w:widowControl/>
        <w:jc w:val="center"/>
        <w:rPr>
          <w:szCs w:val="22"/>
        </w:rPr>
      </w:pPr>
      <w:r w:rsidRPr="00163D14">
        <w:rPr>
          <w:szCs w:val="22"/>
        </w:rPr>
        <w:t>ORDER</w:t>
      </w:r>
      <w:r w:rsidR="007659BB">
        <w:rPr>
          <w:szCs w:val="22"/>
        </w:rPr>
        <w:t xml:space="preserve"> ON RECONSIDERATION</w:t>
      </w:r>
    </w:p>
    <w:p w:rsidR="002A01CF" w:rsidRPr="00163D14" w:rsidP="000D7534" w14:paraId="628F3119" w14:textId="77777777">
      <w:pPr>
        <w:widowControl/>
        <w:rPr>
          <w:szCs w:val="22"/>
        </w:rPr>
      </w:pPr>
    </w:p>
    <w:p w:rsidR="005E0F63" w:rsidRPr="00163D14" w:rsidP="000D7534" w14:paraId="2A5B817F" w14:textId="2215E218">
      <w:pPr>
        <w:widowControl/>
        <w:tabs>
          <w:tab w:val="right" w:pos="9360"/>
        </w:tabs>
        <w:rPr>
          <w:b/>
          <w:szCs w:val="22"/>
        </w:rPr>
      </w:pPr>
      <w:r w:rsidRPr="00163D14">
        <w:rPr>
          <w:b/>
          <w:szCs w:val="22"/>
        </w:rPr>
        <w:t xml:space="preserve">Adopted: </w:t>
      </w:r>
      <w:r w:rsidR="004E4131">
        <w:rPr>
          <w:b/>
          <w:szCs w:val="22"/>
        </w:rPr>
        <w:t xml:space="preserve">February </w:t>
      </w:r>
      <w:r w:rsidR="008E628B">
        <w:rPr>
          <w:b/>
          <w:szCs w:val="22"/>
        </w:rPr>
        <w:t>28</w:t>
      </w:r>
      <w:r w:rsidRPr="00163D14" w:rsidR="00257962">
        <w:rPr>
          <w:b/>
          <w:szCs w:val="22"/>
        </w:rPr>
        <w:t>, 201</w:t>
      </w:r>
      <w:r w:rsidR="00290C49">
        <w:rPr>
          <w:b/>
          <w:szCs w:val="22"/>
        </w:rPr>
        <w:t>8</w:t>
      </w:r>
      <w:r w:rsidRPr="00163D14" w:rsidR="00257962">
        <w:rPr>
          <w:b/>
          <w:szCs w:val="22"/>
        </w:rPr>
        <w:tab/>
        <w:t xml:space="preserve">Released: </w:t>
      </w:r>
      <w:r w:rsidR="00502D28">
        <w:rPr>
          <w:b/>
          <w:szCs w:val="22"/>
        </w:rPr>
        <w:t xml:space="preserve"> February </w:t>
      </w:r>
      <w:r w:rsidR="008E628B">
        <w:rPr>
          <w:b/>
          <w:szCs w:val="22"/>
        </w:rPr>
        <w:t>28</w:t>
      </w:r>
      <w:r w:rsidRPr="00163D14" w:rsidR="00182FA0">
        <w:rPr>
          <w:b/>
          <w:szCs w:val="22"/>
        </w:rPr>
        <w:t>, 201</w:t>
      </w:r>
      <w:r w:rsidR="00290C49">
        <w:rPr>
          <w:b/>
          <w:szCs w:val="22"/>
        </w:rPr>
        <w:t>8</w:t>
      </w:r>
    </w:p>
    <w:p w:rsidR="00435F3C" w:rsidRPr="00163D14" w:rsidP="000D7534" w14:paraId="1383B0D1" w14:textId="77777777">
      <w:pPr>
        <w:widowControl/>
        <w:rPr>
          <w:b/>
          <w:szCs w:val="22"/>
        </w:rPr>
      </w:pPr>
      <w:r w:rsidRPr="00163D14">
        <w:rPr>
          <w:b/>
          <w:szCs w:val="22"/>
        </w:rPr>
        <w:t xml:space="preserve">   </w:t>
      </w:r>
    </w:p>
    <w:p w:rsidR="00335099" w:rsidRPr="00163D14" w:rsidP="000D7534" w14:paraId="3E2306EF" w14:textId="77777777">
      <w:pPr>
        <w:pStyle w:val="Byline"/>
        <w:widowControl/>
        <w:rPr>
          <w:szCs w:val="22"/>
        </w:rPr>
      </w:pPr>
      <w:r w:rsidRPr="00163D14">
        <w:rPr>
          <w:szCs w:val="22"/>
        </w:rPr>
        <w:t>By the</w:t>
      </w:r>
      <w:r w:rsidRPr="00163D14" w:rsidR="00C11CBE">
        <w:rPr>
          <w:szCs w:val="22"/>
        </w:rPr>
        <w:t xml:space="preserve"> </w:t>
      </w:r>
      <w:r w:rsidRPr="00163D14" w:rsidR="00257962">
        <w:rPr>
          <w:szCs w:val="22"/>
        </w:rPr>
        <w:t>C</w:t>
      </w:r>
      <w:r w:rsidRPr="00163D14" w:rsidR="00E80A36">
        <w:rPr>
          <w:szCs w:val="22"/>
        </w:rPr>
        <w:t>hief</w:t>
      </w:r>
      <w:r w:rsidR="004E4131">
        <w:rPr>
          <w:szCs w:val="22"/>
        </w:rPr>
        <w:t>s,</w:t>
      </w:r>
      <w:r w:rsidRPr="00163D14" w:rsidR="00E80A36">
        <w:rPr>
          <w:szCs w:val="22"/>
        </w:rPr>
        <w:t xml:space="preserve"> Wireline Competition Bureau</w:t>
      </w:r>
      <w:r w:rsidR="004E4131">
        <w:rPr>
          <w:szCs w:val="22"/>
        </w:rPr>
        <w:t xml:space="preserve"> and Wireless Telecommunications Bureau</w:t>
      </w:r>
      <w:r w:rsidRPr="00163D14" w:rsidR="00805C06">
        <w:rPr>
          <w:szCs w:val="22"/>
        </w:rPr>
        <w:t>:</w:t>
      </w:r>
    </w:p>
    <w:p w:rsidR="000D3A17" w:rsidP="008D3D95" w14:paraId="60CDE3D3" w14:textId="77777777">
      <w:pPr>
        <w:pStyle w:val="Byline"/>
        <w:widowControl/>
        <w:rPr>
          <w:szCs w:val="22"/>
        </w:rPr>
      </w:pPr>
    </w:p>
    <w:p w:rsidR="00A32900" w:rsidP="000D7534" w14:paraId="12270781" w14:textId="77777777">
      <w:pPr>
        <w:pStyle w:val="TOCTitle"/>
      </w:pPr>
      <w:bookmarkStart w:id="3" w:name="TOChere"/>
      <w:r>
        <w:t>Table of Contents</w:t>
      </w:r>
    </w:p>
    <w:p w:rsidR="00A32900" w:rsidP="000D7534" w14:paraId="63E8EFDC" w14:textId="704B9210">
      <w:pPr>
        <w:pStyle w:val="Paratitle"/>
      </w:pPr>
      <w:r>
        <w:tab/>
      </w:r>
      <w:bookmarkStart w:id="4" w:name="start_here"/>
      <w:bookmarkEnd w:id="4"/>
      <w:r>
        <w:t>Para</w:t>
      </w:r>
      <w:r w:rsidR="00EF467C">
        <w:t>.</w:t>
      </w:r>
    </w:p>
    <w:p w:rsidR="00A32900" w14:paraId="5C212EE3" w14:textId="39A4781D">
      <w:pPr>
        <w:pStyle w:val="TOC1"/>
        <w:rPr>
          <w:rFonts w:asciiTheme="minorHAnsi" w:eastAsiaTheme="minorEastAsia" w:hAnsiTheme="minorHAnsi" w:cstheme="minorBidi"/>
          <w:caps w:val="0"/>
          <w:snapToGrid/>
          <w:kern w:val="0"/>
          <w:szCs w:val="22"/>
        </w:rPr>
      </w:pPr>
      <w:r>
        <w:t>I</w:t>
      </w:r>
      <w:r w:rsidRPr="00BD23E5">
        <w:t>.</w:t>
      </w:r>
      <w:r>
        <w:rPr>
          <w:rFonts w:asciiTheme="minorHAnsi" w:eastAsiaTheme="minorEastAsia" w:hAnsiTheme="minorHAnsi" w:cstheme="minorBidi"/>
          <w:caps w:val="0"/>
          <w:snapToGrid/>
          <w:kern w:val="0"/>
          <w:szCs w:val="22"/>
        </w:rPr>
        <w:tab/>
      </w:r>
      <w:r w:rsidRPr="00BD23E5">
        <w:t>introduction</w:t>
      </w:r>
      <w:r>
        <w:tab/>
        <w:t>1</w:t>
      </w:r>
    </w:p>
    <w:p w:rsidR="00A32900" w14:paraId="0010A4CB" w14:textId="2144A099">
      <w:pPr>
        <w:pStyle w:val="TOC1"/>
        <w:rPr>
          <w:rFonts w:asciiTheme="minorHAnsi" w:eastAsiaTheme="minorEastAsia" w:hAnsiTheme="minorHAnsi" w:cstheme="minorBidi"/>
          <w:caps w:val="0"/>
          <w:snapToGrid/>
          <w:kern w:val="0"/>
          <w:szCs w:val="22"/>
        </w:rPr>
      </w:pPr>
      <w:r w:rsidRPr="00BD23E5">
        <w:t>II.</w:t>
      </w:r>
      <w:r>
        <w:rPr>
          <w:rFonts w:asciiTheme="minorHAnsi" w:eastAsiaTheme="minorEastAsia" w:hAnsiTheme="minorHAnsi" w:cstheme="minorBidi"/>
          <w:caps w:val="0"/>
          <w:snapToGrid/>
          <w:kern w:val="0"/>
          <w:szCs w:val="22"/>
        </w:rPr>
        <w:tab/>
      </w:r>
      <w:r w:rsidRPr="00BD23E5">
        <w:t>BACKGROUND</w:t>
      </w:r>
      <w:r>
        <w:tab/>
        <w:t>2</w:t>
      </w:r>
    </w:p>
    <w:p w:rsidR="00A32900" w14:paraId="198EA98F" w14:textId="02E7F5C2">
      <w:pPr>
        <w:pStyle w:val="TOC1"/>
        <w:rPr>
          <w:rFonts w:asciiTheme="minorHAnsi" w:eastAsiaTheme="minorEastAsia" w:hAnsiTheme="minorHAnsi" w:cstheme="minorBidi"/>
          <w:caps w:val="0"/>
          <w:snapToGrid/>
          <w:kern w:val="0"/>
          <w:szCs w:val="22"/>
        </w:rPr>
      </w:pPr>
      <w:r w:rsidRPr="00BD23E5">
        <w:t>III.</w:t>
      </w:r>
      <w:r>
        <w:rPr>
          <w:rFonts w:asciiTheme="minorHAnsi" w:eastAsiaTheme="minorEastAsia" w:hAnsiTheme="minorHAnsi" w:cstheme="minorBidi"/>
          <w:caps w:val="0"/>
          <w:snapToGrid/>
          <w:kern w:val="0"/>
          <w:szCs w:val="22"/>
        </w:rPr>
        <w:tab/>
      </w:r>
      <w:r w:rsidRPr="00BD23E5">
        <w:t>discussion</w:t>
      </w:r>
      <w:r>
        <w:tab/>
        <w:t>7</w:t>
      </w:r>
    </w:p>
    <w:p w:rsidR="00A32900" w:rsidP="000D7534" w14:paraId="110B9411" w14:textId="110F7FC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Deny the Petition With Respect to Bureaus’ Interpretation of Facilities Data That Must Be Collected</w:t>
      </w:r>
      <w:r>
        <w:tab/>
        <w:t>8</w:t>
      </w:r>
    </w:p>
    <w:p w:rsidR="00A32900" w:rsidP="000D7534" w14:paraId="043C0B64" w14:textId="6467497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Grant the Petition in Part</w:t>
      </w:r>
      <w:r>
        <w:tab/>
        <w:t>15</w:t>
      </w:r>
    </w:p>
    <w:p w:rsidR="00A32900" w:rsidP="00A32900" w14:paraId="0E8DB9FE" w14:textId="6B30CC42">
      <w:pPr>
        <w:pStyle w:val="TOC1"/>
        <w:rPr>
          <w:rFonts w:asciiTheme="minorHAnsi" w:eastAsiaTheme="minorEastAsia" w:hAnsiTheme="minorHAnsi" w:cstheme="minorBidi"/>
          <w:caps w:val="0"/>
          <w:snapToGrid/>
          <w:kern w:val="0"/>
          <w:szCs w:val="22"/>
        </w:rPr>
      </w:pPr>
      <w:r w:rsidRPr="00BD23E5">
        <w:t>IV.</w:t>
      </w:r>
      <w:r>
        <w:rPr>
          <w:rFonts w:asciiTheme="minorHAnsi" w:eastAsiaTheme="minorEastAsia" w:hAnsiTheme="minorHAnsi" w:cstheme="minorBidi"/>
          <w:caps w:val="0"/>
          <w:snapToGrid/>
          <w:kern w:val="0"/>
          <w:szCs w:val="22"/>
        </w:rPr>
        <w:tab/>
      </w:r>
      <w:r w:rsidRPr="00BD23E5">
        <w:t>Ordering clauses</w:t>
      </w:r>
      <w:r>
        <w:tab/>
        <w:t>29</w:t>
      </w:r>
    </w:p>
    <w:p w:rsidR="003F06BD" w:rsidRPr="00F56BFB" w:rsidP="000D7534" w14:paraId="60C20377" w14:textId="560834EA">
      <w:pPr>
        <w:widowControl/>
        <w:rPr>
          <w:rFonts w:eastAsiaTheme="minorEastAsia"/>
          <w:caps/>
        </w:rPr>
      </w:pPr>
      <w:bookmarkEnd w:id="3"/>
      <w:r>
        <w:rPr>
          <w:rFonts w:eastAsiaTheme="minorEastAsia"/>
        </w:rPr>
        <w:t>APPENDIX</w:t>
      </w:r>
    </w:p>
    <w:p w:rsidR="00F32AF4" w:rsidRPr="00163D14" w:rsidP="008D3D95" w14:paraId="6FEF638B" w14:textId="77777777">
      <w:pPr>
        <w:pStyle w:val="Byline"/>
        <w:widowControl/>
        <w:rPr>
          <w:szCs w:val="22"/>
        </w:rPr>
      </w:pPr>
    </w:p>
    <w:p w:rsidR="005E0F63" w:rsidRPr="00163D14" w14:paraId="4DCAC4CE" w14:textId="77777777">
      <w:pPr>
        <w:pStyle w:val="Heading1"/>
        <w:widowControl/>
        <w:rPr>
          <w:rFonts w:ascii="Times New Roman" w:hAnsi="Times New Roman"/>
          <w:szCs w:val="22"/>
        </w:rPr>
      </w:pPr>
      <w:bookmarkStart w:id="5" w:name="_Toc373849365"/>
      <w:bookmarkStart w:id="6" w:name="_Toc373849423"/>
      <w:bookmarkStart w:id="7" w:name="_Toc379291441"/>
      <w:bookmarkStart w:id="8" w:name="_Toc381719682"/>
      <w:bookmarkStart w:id="9" w:name="_Toc507086276"/>
      <w:bookmarkStart w:id="10" w:name="_Toc507086319"/>
      <w:bookmarkStart w:id="11" w:name="_Toc507576791"/>
      <w:bookmarkStart w:id="12" w:name="_Toc79814552"/>
      <w:bookmarkStart w:id="13" w:name="_Ref84181662"/>
      <w:bookmarkStart w:id="14" w:name="_Toc112065101"/>
      <w:r w:rsidRPr="00163D14">
        <w:rPr>
          <w:rFonts w:ascii="Times New Roman" w:hAnsi="Times New Roman"/>
          <w:szCs w:val="22"/>
        </w:rPr>
        <w:t>introductio</w:t>
      </w:r>
      <w:bookmarkEnd w:id="5"/>
      <w:bookmarkEnd w:id="6"/>
      <w:bookmarkEnd w:id="7"/>
      <w:bookmarkEnd w:id="8"/>
      <w:r w:rsidRPr="00163D14" w:rsidR="00C93FF2">
        <w:rPr>
          <w:rFonts w:ascii="Times New Roman" w:hAnsi="Times New Roman"/>
          <w:szCs w:val="22"/>
        </w:rPr>
        <w:t>n</w:t>
      </w:r>
      <w:bookmarkEnd w:id="9"/>
      <w:bookmarkEnd w:id="10"/>
      <w:bookmarkEnd w:id="11"/>
    </w:p>
    <w:p w:rsidR="004C09A6" w:rsidRPr="00C07195" w14:paraId="76ECEFAB" w14:textId="752AAF5A">
      <w:pPr>
        <w:pStyle w:val="ParaNum"/>
        <w:widowControl/>
        <w:rPr>
          <w:szCs w:val="22"/>
        </w:rPr>
      </w:pPr>
      <w:r>
        <w:t>In this Order</w:t>
      </w:r>
      <w:r w:rsidRPr="00DA688D">
        <w:t xml:space="preserve">, the Wireline Competition Bureau (WCB) and Wireless Telecommunications Bureau (WTB) (collectively the Bureaus), grant in part and deny in part </w:t>
      </w:r>
      <w:r>
        <w:t>the Alaska Telephone Association’s (</w:t>
      </w:r>
      <w:r w:rsidRPr="00DA688D">
        <w:t>ATA</w:t>
      </w:r>
      <w:r>
        <w:t>)</w:t>
      </w:r>
      <w:r w:rsidRPr="00DA688D">
        <w:t xml:space="preserve"> Petition for Reconsideration of the </w:t>
      </w:r>
      <w:r w:rsidRPr="00164B60">
        <w:t>Bureaus’</w:t>
      </w:r>
      <w:r w:rsidRPr="00D75602">
        <w:rPr>
          <w:i/>
        </w:rPr>
        <w:t xml:space="preserve"> Map Instructions </w:t>
      </w:r>
      <w:r w:rsidRPr="00D75602" w:rsidR="0012492B">
        <w:rPr>
          <w:i/>
        </w:rPr>
        <w:t>PN</w:t>
      </w:r>
      <w:r w:rsidR="0012492B">
        <w:t xml:space="preserve"> </w:t>
      </w:r>
      <w:r w:rsidRPr="00DA688D">
        <w:t xml:space="preserve">and provide </w:t>
      </w:r>
      <w:r w:rsidR="004366ED">
        <w:t>clarification</w:t>
      </w:r>
      <w:r w:rsidRPr="00DA688D">
        <w:t xml:space="preserve"> regarding Alaska Plan carriers’ </w:t>
      </w:r>
      <w:r>
        <w:t xml:space="preserve">map </w:t>
      </w:r>
      <w:r w:rsidRPr="00DA688D">
        <w:t>data filing obligations</w:t>
      </w:r>
      <w:r w:rsidR="0012492B">
        <w:t xml:space="preserve"> (map collection)</w:t>
      </w:r>
      <w:r>
        <w:t>.</w:t>
      </w:r>
      <w:r>
        <w:rPr>
          <w:rStyle w:val="FootnoteReference"/>
        </w:rPr>
        <w:footnoteReference w:id="3"/>
      </w:r>
      <w:r w:rsidRPr="00DA688D">
        <w:t xml:space="preserve">  We grant the Petition in part with respect to the required data accuracy standard for </w:t>
      </w:r>
      <w:r>
        <w:t xml:space="preserve">the map </w:t>
      </w:r>
      <w:r w:rsidR="0012492B">
        <w:t>collection</w:t>
      </w:r>
      <w:r w:rsidRPr="00DA688D" w:rsidR="0012492B">
        <w:t xml:space="preserve"> </w:t>
      </w:r>
      <w:r>
        <w:t xml:space="preserve">due to be </w:t>
      </w:r>
      <w:r w:rsidRPr="00DA688D">
        <w:t>filed in 2018 and</w:t>
      </w:r>
      <w:r>
        <w:t xml:space="preserve"> extend</w:t>
      </w:r>
      <w:r w:rsidRPr="00DA688D">
        <w:t xml:space="preserve"> the March 1, 2018 submission deadline</w:t>
      </w:r>
      <w:r>
        <w:t xml:space="preserve"> until July 1, 2018</w:t>
      </w:r>
      <w:r w:rsidRPr="00DA688D">
        <w:t>.</w:t>
      </w:r>
      <w:r w:rsidR="004366ED">
        <w:t xml:space="preserve">  We also provide clarification regarding the data to be filed regarding “community anchor institutions”</w:t>
      </w:r>
      <w:r w:rsidR="00EF467C">
        <w:t xml:space="preserve"> (CAI or anchor </w:t>
      </w:r>
      <w:r w:rsidR="00EF467C">
        <w:t>institutions).</w:t>
      </w:r>
      <w:r w:rsidRPr="00DA688D">
        <w:t xml:space="preserve">  </w:t>
      </w:r>
      <w:r w:rsidR="00164B60">
        <w:t xml:space="preserve">The attached </w:t>
      </w:r>
      <w:r w:rsidR="009738CA">
        <w:t xml:space="preserve">Appendix </w:t>
      </w:r>
      <w:r w:rsidR="008E10E6">
        <w:t>revise</w:t>
      </w:r>
      <w:r w:rsidR="0062529E">
        <w:t>s</w:t>
      </w:r>
      <w:r w:rsidR="008E10E6">
        <w:t xml:space="preserve"> the original </w:t>
      </w:r>
      <w:r w:rsidRPr="00D75602" w:rsidR="008E10E6">
        <w:rPr>
          <w:i/>
        </w:rPr>
        <w:t>Map Instructions</w:t>
      </w:r>
      <w:r w:rsidR="00061EA8">
        <w:rPr>
          <w:i/>
        </w:rPr>
        <w:t xml:space="preserve"> </w:t>
      </w:r>
      <w:r w:rsidR="008E10E6">
        <w:t>to reflect this relief.</w:t>
      </w:r>
      <w:r>
        <w:rPr>
          <w:rStyle w:val="FootnoteReference"/>
        </w:rPr>
        <w:footnoteReference w:id="4"/>
      </w:r>
      <w:r w:rsidR="008E10E6">
        <w:t xml:space="preserve">  </w:t>
      </w:r>
      <w:r w:rsidRPr="00DA688D">
        <w:t xml:space="preserve">The Petition is denied in all other respects. </w:t>
      </w:r>
    </w:p>
    <w:p w:rsidR="001C31F1" w:rsidRPr="00163D14" w14:paraId="7AB37558" w14:textId="77777777">
      <w:pPr>
        <w:pStyle w:val="Heading1"/>
        <w:widowControl/>
        <w:rPr>
          <w:rFonts w:ascii="Times New Roman" w:hAnsi="Times New Roman"/>
          <w:szCs w:val="22"/>
        </w:rPr>
      </w:pPr>
      <w:bookmarkStart w:id="15" w:name="_Toc507086277"/>
      <w:bookmarkStart w:id="16" w:name="_Toc507086320"/>
      <w:bookmarkStart w:id="17" w:name="_Toc507576792"/>
      <w:r w:rsidRPr="00163D14">
        <w:rPr>
          <w:rFonts w:ascii="Times New Roman" w:hAnsi="Times New Roman"/>
          <w:szCs w:val="22"/>
        </w:rPr>
        <w:t>BACKGROUND</w:t>
      </w:r>
      <w:bookmarkEnd w:id="15"/>
      <w:bookmarkEnd w:id="16"/>
      <w:bookmarkEnd w:id="17"/>
    </w:p>
    <w:p w:rsidR="0012492B" w:rsidRPr="0012492B" w:rsidP="000D7534" w14:paraId="51A9A57B" w14:textId="045E2FDB">
      <w:pPr>
        <w:pStyle w:val="ParaNum"/>
        <w:widowControl/>
        <w:rPr>
          <w:szCs w:val="22"/>
        </w:rPr>
      </w:pPr>
      <w:r w:rsidRPr="00DA688D">
        <w:t xml:space="preserve">On August 23, 2016, the Commission adopted the </w:t>
      </w:r>
      <w:r w:rsidRPr="004C09A6">
        <w:rPr>
          <w:i/>
        </w:rPr>
        <w:t xml:space="preserve">Alaska Plan Order </w:t>
      </w:r>
      <w:r w:rsidRPr="00DA688D">
        <w:t>(</w:t>
      </w:r>
      <w:r w:rsidRPr="00F32AF4">
        <w:rPr>
          <w:i/>
        </w:rPr>
        <w:t>Order</w:t>
      </w:r>
      <w:r w:rsidRPr="00DA688D">
        <w:t>)</w:t>
      </w:r>
      <w:r w:rsidR="004366ED">
        <w:t>.</w:t>
      </w:r>
      <w:r>
        <w:rPr>
          <w:rStyle w:val="FootnoteReference"/>
        </w:rPr>
        <w:footnoteReference w:id="5"/>
      </w:r>
      <w:r w:rsidRPr="00DA688D">
        <w:t xml:space="preserve"> </w:t>
      </w:r>
      <w:r w:rsidR="009757B9">
        <w:t xml:space="preserve"> </w:t>
      </w:r>
      <w:r w:rsidRPr="00DA688D">
        <w:t xml:space="preserve">The </w:t>
      </w:r>
      <w:r w:rsidR="004366ED">
        <w:t xml:space="preserve">Alaska </w:t>
      </w:r>
      <w:r w:rsidRPr="00DA688D">
        <w:t>Plan</w:t>
      </w:r>
      <w:r w:rsidR="004366ED">
        <w:t xml:space="preserve"> (Plan)</w:t>
      </w:r>
      <w:r w:rsidRPr="00DA688D">
        <w:t xml:space="preserve"> </w:t>
      </w:r>
      <w:r>
        <w:t>is</w:t>
      </w:r>
      <w:r w:rsidRPr="00DA688D">
        <w:t xml:space="preserve"> based on the Alaska Telephone Association (ATA) consensus proposal to freeze $1.5 billion in funding over ten years and allocate that money to maintain, extend, and upgrade broadband service across </w:t>
      </w:r>
      <w:r>
        <w:t>certain</w:t>
      </w:r>
      <w:r w:rsidRPr="00DA688D">
        <w:t xml:space="preserve"> areas of Alaska</w:t>
      </w:r>
      <w:r>
        <w:t>.</w:t>
      </w:r>
      <w:r>
        <w:rPr>
          <w:rStyle w:val="FootnoteReference"/>
        </w:rPr>
        <w:footnoteReference w:id="6"/>
      </w:r>
      <w:r>
        <w:t xml:space="preserve">  U</w:t>
      </w:r>
      <w:r w:rsidRPr="00DA688D">
        <w:t>ltimately</w:t>
      </w:r>
      <w:r>
        <w:t>,</w:t>
      </w:r>
      <w:r w:rsidRPr="00DA688D">
        <w:t xml:space="preserve"> fifteen rate-of-return carriers and eight of their wireless affiliates</w:t>
      </w:r>
      <w:r>
        <w:t xml:space="preserve"> elected the Plan</w:t>
      </w:r>
      <w:r w:rsidRPr="00DA688D">
        <w:t>.</w:t>
      </w:r>
      <w:r>
        <w:rPr>
          <w:rStyle w:val="FootnoteReference"/>
        </w:rPr>
        <w:footnoteReference w:id="7"/>
      </w:r>
      <w:r w:rsidRPr="00DA688D">
        <w:t xml:space="preserve">  While the goal of the </w:t>
      </w:r>
      <w:r w:rsidRPr="00F32AF4">
        <w:rPr>
          <w:i/>
        </w:rPr>
        <w:t>Order</w:t>
      </w:r>
      <w:r w:rsidRPr="00DA688D">
        <w:t xml:space="preserve"> </w:t>
      </w:r>
      <w:r>
        <w:t>is</w:t>
      </w:r>
      <w:r w:rsidRPr="00DA688D">
        <w:t xml:space="preserve"> to provide at least 10/1 Mbps service to as many Alaskans as possible, the </w:t>
      </w:r>
      <w:r w:rsidRPr="00F32AF4">
        <w:rPr>
          <w:i/>
        </w:rPr>
        <w:t>Order</w:t>
      </w:r>
      <w:r w:rsidRPr="00DA688D">
        <w:t xml:space="preserve"> </w:t>
      </w:r>
      <w:r w:rsidR="004366ED">
        <w:t>concluded</w:t>
      </w:r>
      <w:r w:rsidRPr="00DA688D" w:rsidR="004366ED">
        <w:t xml:space="preserve"> </w:t>
      </w:r>
      <w:r w:rsidRPr="00DA688D">
        <w:t xml:space="preserve">that, due mainly to lack of access to </w:t>
      </w:r>
      <w:r>
        <w:t>adequate facilities necessary to support last-mile connections, carriers</w:t>
      </w:r>
      <w:r w:rsidRPr="00DA688D">
        <w:t xml:space="preserve"> may not be able to serve all of their </w:t>
      </w:r>
      <w:r>
        <w:t xml:space="preserve">committed </w:t>
      </w:r>
      <w:r w:rsidRPr="00DA688D">
        <w:t xml:space="preserve">locations at that </w:t>
      </w:r>
      <w:r>
        <w:t>speed.</w:t>
      </w:r>
      <w:r>
        <w:rPr>
          <w:rStyle w:val="FootnoteReference"/>
        </w:rPr>
        <w:footnoteReference w:id="8"/>
      </w:r>
      <w:r>
        <w:t xml:space="preserve">  It therefore</w:t>
      </w:r>
      <w:r w:rsidRPr="00DA688D">
        <w:t xml:space="preserve"> permitted carriers to submit commitments at lesser speeds.</w:t>
      </w:r>
      <w:r>
        <w:rPr>
          <w:rStyle w:val="FootnoteReference"/>
        </w:rPr>
        <w:footnoteReference w:id="9"/>
      </w:r>
      <w:r w:rsidRPr="00DA688D">
        <w:t xml:space="preserve">  </w:t>
      </w:r>
    </w:p>
    <w:p w:rsidR="004C09A6" w:rsidRPr="004C09A6" w:rsidP="000D7534" w14:paraId="743E4AE7" w14:textId="77777777">
      <w:pPr>
        <w:pStyle w:val="ParaNum"/>
        <w:widowControl/>
        <w:rPr>
          <w:szCs w:val="22"/>
        </w:rPr>
      </w:pPr>
      <w:r w:rsidRPr="00DA688D">
        <w:t xml:space="preserve">To </w:t>
      </w:r>
      <w:r>
        <w:t xml:space="preserve">track </w:t>
      </w:r>
      <w:r w:rsidR="004E2635">
        <w:t xml:space="preserve">carriers’ </w:t>
      </w:r>
      <w:r w:rsidR="00F01491">
        <w:t>access to these facilities</w:t>
      </w:r>
      <w:r>
        <w:t>,</w:t>
      </w:r>
      <w:r w:rsidRPr="00DA688D">
        <w:t xml:space="preserve"> the </w:t>
      </w:r>
      <w:r>
        <w:t>Commission adopted</w:t>
      </w:r>
      <w:r w:rsidRPr="00DA688D">
        <w:t xml:space="preserve"> </w:t>
      </w:r>
      <w:r w:rsidR="000539B4">
        <w:t>a</w:t>
      </w:r>
      <w:r w:rsidRPr="00DA688D">
        <w:t xml:space="preserve"> reporting requirement</w:t>
      </w:r>
      <w:r>
        <w:t xml:space="preserve">.  The Commission described the data to be collected variously as “backhaul,” “middle-mile” </w:t>
      </w:r>
      <w:r>
        <w:t>“backhaul and middle mile,”</w:t>
      </w:r>
      <w:r>
        <w:rPr>
          <w:rStyle w:val="FootnoteReference"/>
        </w:rPr>
        <w:footnoteReference w:id="10"/>
      </w:r>
      <w:r>
        <w:t xml:space="preserve"> and “fiber network maps [and] microwave network maps.”</w:t>
      </w:r>
      <w:r>
        <w:rPr>
          <w:rStyle w:val="FootnoteReference"/>
        </w:rPr>
        <w:footnoteReference w:id="11"/>
      </w:r>
      <w:r>
        <w:t xml:space="preserve">  The Commission required carriers to submit data for such maps “in a format specified by the Bureaus” and to update these maps annually if the carrier deployed such facilities in the prior calendar year “that are or will be used to support their service in eligible areas.”</w:t>
      </w:r>
      <w:r>
        <w:rPr>
          <w:rStyle w:val="FootnoteReference"/>
        </w:rPr>
        <w:footnoteReference w:id="12"/>
      </w:r>
      <w:r>
        <w:t xml:space="preserve">  The Commission noted that the maps would assist the Bureaus’</w:t>
      </w:r>
      <w:r w:rsidRPr="005333DE">
        <w:t xml:space="preserve"> ongoing assessment of </w:t>
      </w:r>
      <w:r>
        <w:t>carriers’</w:t>
      </w:r>
      <w:r w:rsidRPr="005333DE">
        <w:t xml:space="preserve"> performance commitments</w:t>
      </w:r>
      <w:r>
        <w:t>.</w:t>
      </w:r>
      <w:r>
        <w:rPr>
          <w:rStyle w:val="FootnoteReference"/>
        </w:rPr>
        <w:footnoteReference w:id="13"/>
      </w:r>
      <w:r w:rsidRPr="00DA688D">
        <w:t xml:space="preserve"> </w:t>
      </w:r>
      <w:r>
        <w:t xml:space="preserve"> The Bureaus’ assessment would include a review of any revised performance commitments and service obligations triggered by the carriers’ certification on FCC Form 481 that new “middle-mile” facilities are “commercially available.”</w:t>
      </w:r>
      <w:r>
        <w:rPr>
          <w:rStyle w:val="FootnoteReference"/>
        </w:rPr>
        <w:footnoteReference w:id="14"/>
      </w:r>
      <w:r>
        <w:t xml:space="preserve">  Separately, the Commission delegated authority to </w:t>
      </w:r>
      <w:r w:rsidR="00ED3BA4">
        <w:t>WTB</w:t>
      </w:r>
      <w:r>
        <w:t xml:space="preserve"> “to require additional information from . . . individual participants that it deems necessary to establish clear standards for determining whether or not [participating mobile carriers] meet their five- and 10-year commitments.”</w:t>
      </w:r>
      <w:r>
        <w:rPr>
          <w:rStyle w:val="FootnoteReference"/>
        </w:rPr>
        <w:footnoteReference w:id="15"/>
      </w:r>
      <w:r w:rsidRPr="00DA688D">
        <w:t xml:space="preserve"> </w:t>
      </w:r>
      <w:r>
        <w:t xml:space="preserve"> In addition, WCB is explicitly delegated authority to “monitor carriers . . . closely” and review carriers’ approved performance plans to determine if newly available facilities justify revising current commitments.</w:t>
      </w:r>
      <w:r>
        <w:rPr>
          <w:rStyle w:val="FootnoteReference"/>
        </w:rPr>
        <w:footnoteReference w:id="16"/>
      </w:r>
      <w:r>
        <w:t xml:space="preserve"> </w:t>
      </w:r>
    </w:p>
    <w:p w:rsidR="004C09A6" w:rsidRPr="004C09A6" w:rsidP="008D3D95" w14:paraId="14CC7D5A" w14:textId="2C5E895A">
      <w:pPr>
        <w:pStyle w:val="ParaNum"/>
        <w:widowControl/>
        <w:rPr>
          <w:szCs w:val="22"/>
        </w:rPr>
      </w:pPr>
      <w:r w:rsidRPr="00DA688D">
        <w:t>On September 8, 2017, the Bureaus</w:t>
      </w:r>
      <w:r>
        <w:t>,</w:t>
      </w:r>
      <w:r w:rsidRPr="00DA688D">
        <w:t xml:space="preserve"> pursuant to </w:t>
      </w:r>
      <w:r>
        <w:t>delegated authority</w:t>
      </w:r>
      <w:r w:rsidRPr="00DA688D">
        <w:t xml:space="preserve">, released </w:t>
      </w:r>
      <w:r w:rsidR="006830E2">
        <w:t xml:space="preserve">the </w:t>
      </w:r>
      <w:r w:rsidRPr="004C09A6">
        <w:rPr>
          <w:i/>
        </w:rPr>
        <w:t>Map</w:t>
      </w:r>
      <w:r w:rsidRPr="00DA688D">
        <w:t xml:space="preserve"> </w:t>
      </w:r>
      <w:r w:rsidRPr="004C09A6">
        <w:rPr>
          <w:i/>
        </w:rPr>
        <w:t>Instructions PN</w:t>
      </w:r>
      <w:r w:rsidR="006830E2">
        <w:t xml:space="preserve"> </w:t>
      </w:r>
      <w:r w:rsidRPr="00DA688D">
        <w:t xml:space="preserve">with the </w:t>
      </w:r>
      <w:r w:rsidRPr="00D75602">
        <w:rPr>
          <w:i/>
        </w:rPr>
        <w:t xml:space="preserve">Map </w:t>
      </w:r>
      <w:r w:rsidRPr="00D75602" w:rsidR="001E6EDE">
        <w:rPr>
          <w:i/>
        </w:rPr>
        <w:t>Instructions</w:t>
      </w:r>
      <w:r w:rsidR="006830E2">
        <w:t xml:space="preserve"> attached</w:t>
      </w:r>
      <w:r w:rsidRPr="00DA688D">
        <w:t>.</w:t>
      </w:r>
      <w:r w:rsidRPr="00DA688D">
        <w:rPr>
          <w:rStyle w:val="FootnoteReference"/>
        </w:rPr>
        <w:t xml:space="preserve"> </w:t>
      </w:r>
      <w:r>
        <w:rPr>
          <w:rStyle w:val="FootnoteReference"/>
        </w:rPr>
        <w:footnoteReference w:id="17"/>
      </w:r>
      <w:r w:rsidRPr="00DA688D">
        <w:t xml:space="preserve">  The </w:t>
      </w:r>
      <w:r>
        <w:t>Bureaus</w:t>
      </w:r>
      <w:r w:rsidRPr="00DA688D">
        <w:t xml:space="preserve"> required Alaska Plan participants to</w:t>
      </w:r>
      <w:r>
        <w:t xml:space="preserve">, pursuant to the </w:t>
      </w:r>
      <w:r w:rsidRPr="00F32AF4">
        <w:rPr>
          <w:i/>
        </w:rPr>
        <w:t>Order</w:t>
      </w:r>
      <w:r>
        <w:t>,</w:t>
      </w:r>
      <w:r w:rsidRPr="00DA688D">
        <w:t xml:space="preserve"> file maps of their fiber and microwave middle-mile networks that </w:t>
      </w:r>
      <w:r>
        <w:t>“</w:t>
      </w:r>
      <w:r w:rsidRPr="00DA688D">
        <w:t>are or will be used to support their service in eligible areas.”</w:t>
      </w:r>
      <w:r>
        <w:rPr>
          <w:rStyle w:val="FootnoteReference"/>
        </w:rPr>
        <w:footnoteReference w:id="18"/>
      </w:r>
      <w:r w:rsidRPr="00DA688D">
        <w:t xml:space="preserve">  </w:t>
      </w:r>
      <w:r>
        <w:t>The Bureaus</w:t>
      </w:r>
      <w:r w:rsidRPr="00DA688D">
        <w:t xml:space="preserve"> specified </w:t>
      </w:r>
      <w:r>
        <w:t>that reportable</w:t>
      </w:r>
      <w:r w:rsidRPr="00DA688D">
        <w:t xml:space="preserve"> networks consisted of the “links and nodes within Alaska, including undersea cables located within territorial waters, connecting (1) </w:t>
      </w:r>
      <w:r w:rsidR="009449DE">
        <w:t>‘</w:t>
      </w:r>
      <w:r w:rsidRPr="00DA688D">
        <w:t>major nodes;</w:t>
      </w:r>
      <w:r w:rsidR="009449DE">
        <w:t>’</w:t>
      </w:r>
      <w:r>
        <w:rPr>
          <w:rStyle w:val="FootnoteReference"/>
        </w:rPr>
        <w:footnoteReference w:id="19"/>
      </w:r>
      <w:r w:rsidRPr="00DA688D">
        <w:t xml:space="preserve"> (2) outdoor cell sites; (3) anchor institutions, such as schools, libraries, medical and healthcare providers, community colleges, and other institutions of higher education; and (4) terminating locations of links.”</w:t>
      </w:r>
      <w:r>
        <w:rPr>
          <w:rStyle w:val="FootnoteReference"/>
        </w:rPr>
        <w:footnoteReference w:id="20"/>
      </w:r>
      <w:r w:rsidRPr="00DA688D">
        <w:t xml:space="preserve">  These nodes and links were to be submitted with 7.6</w:t>
      </w:r>
      <w:r w:rsidR="00282609">
        <w:t>-</w:t>
      </w:r>
      <w:r w:rsidRPr="00DA688D">
        <w:t>meters of accuracy</w:t>
      </w:r>
      <w:r>
        <w:rPr>
          <w:rStyle w:val="FootnoteReference"/>
        </w:rPr>
        <w:footnoteReference w:id="21"/>
      </w:r>
      <w:r w:rsidRPr="00DA688D">
        <w:t xml:space="preserve"> and were due March 1, 2018, with filings or certifications due annually thereafter for the duration of the Plan.</w:t>
      </w:r>
      <w:r>
        <w:rPr>
          <w:rStyle w:val="FootnoteReference"/>
        </w:rPr>
        <w:footnoteReference w:id="22"/>
      </w:r>
      <w:r>
        <w:t xml:space="preserve">  The </w:t>
      </w:r>
      <w:r w:rsidRPr="004C09A6">
        <w:rPr>
          <w:i/>
        </w:rPr>
        <w:t>Map Instructions PN</w:t>
      </w:r>
      <w:r>
        <w:t xml:space="preserve"> observed that “‘[b]ackhaul’ is a part of the middle-mile infrastructure for the purposes of the </w:t>
      </w:r>
      <w:r w:rsidRPr="004C09A6">
        <w:rPr>
          <w:i/>
        </w:rPr>
        <w:t>Alaska Plan Order</w:t>
      </w:r>
      <w:r>
        <w:t>.”</w:t>
      </w:r>
      <w:r>
        <w:rPr>
          <w:rStyle w:val="FootnoteReference"/>
        </w:rPr>
        <w:footnoteReference w:id="23"/>
      </w:r>
    </w:p>
    <w:p w:rsidR="004C09A6" w:rsidRPr="004C09A6" w14:paraId="03F19BDF" w14:textId="6120997F">
      <w:pPr>
        <w:pStyle w:val="ParaNum"/>
        <w:widowControl/>
        <w:rPr>
          <w:szCs w:val="22"/>
        </w:rPr>
      </w:pPr>
      <w:r w:rsidRPr="00DA688D">
        <w:t xml:space="preserve">ATA filed a Petition for Reconsideration of the </w:t>
      </w:r>
      <w:r w:rsidR="00264766">
        <w:t>“m</w:t>
      </w:r>
      <w:r w:rsidR="00B00045">
        <w:t>apping reporting requirements</w:t>
      </w:r>
      <w:r w:rsidR="00264766">
        <w:t>”</w:t>
      </w:r>
      <w:r w:rsidRPr="00DA688D">
        <w:t xml:space="preserve"> on October 10, 2017.</w:t>
      </w:r>
      <w:r>
        <w:rPr>
          <w:rStyle w:val="FootnoteReference"/>
        </w:rPr>
        <w:footnoteReference w:id="24"/>
      </w:r>
      <w:r w:rsidRPr="00DA688D">
        <w:t xml:space="preserve">  The Petition argue</w:t>
      </w:r>
      <w:r>
        <w:t>s</w:t>
      </w:r>
      <w:r w:rsidRPr="00DA688D">
        <w:t xml:space="preserve"> that the </w:t>
      </w:r>
      <w:r w:rsidRPr="00D75602">
        <w:rPr>
          <w:i/>
        </w:rPr>
        <w:t>Map Instructions</w:t>
      </w:r>
      <w:r w:rsidRPr="00DA688D">
        <w:t xml:space="preserve"> are deficient in several respects, namely: (1) the </w:t>
      </w:r>
      <w:r w:rsidRPr="000D7534">
        <w:rPr>
          <w:i/>
        </w:rPr>
        <w:t>Map Instructions</w:t>
      </w:r>
      <w:r w:rsidRPr="00DA688D">
        <w:t xml:space="preserve"> improperly require carriers to submit </w:t>
      </w:r>
      <w:r>
        <w:t>data on</w:t>
      </w:r>
      <w:r w:rsidRPr="00DA688D">
        <w:t xml:space="preserve"> </w:t>
      </w:r>
      <w:r>
        <w:t xml:space="preserve">what it asserts are exclusively </w:t>
      </w:r>
      <w:r w:rsidRPr="00DA688D">
        <w:t>“last mile” facilities</w:t>
      </w:r>
      <w:r>
        <w:t>—</w:t>
      </w:r>
      <w:r w:rsidRPr="00DA688D">
        <w:t>anchor institutions</w:t>
      </w:r>
      <w:r>
        <w:rPr>
          <w:rStyle w:val="FootnoteReference"/>
        </w:rPr>
        <w:footnoteReference w:id="25"/>
      </w:r>
      <w:r w:rsidRPr="00DA688D">
        <w:t xml:space="preserve"> and cell sites</w:t>
      </w:r>
      <w:r>
        <w:rPr>
          <w:rStyle w:val="FootnoteReference"/>
        </w:rPr>
        <w:footnoteReference w:id="26"/>
      </w:r>
      <w:r>
        <w:t>—</w:t>
      </w:r>
      <w:r w:rsidRPr="00DA688D">
        <w:t>(2) the level of data accuracy requested is unnecessary to meet the purpose of the collection, and is overly burdensome because it would require completion of additional, costly on-site data collection in a matter of weeks;</w:t>
      </w:r>
      <w:r>
        <w:rPr>
          <w:rStyle w:val="FootnoteReference"/>
        </w:rPr>
        <w:footnoteReference w:id="27"/>
      </w:r>
      <w:r w:rsidRPr="00DA688D">
        <w:t xml:space="preserve"> and (3) the March 1, 2018 deadline is too soon for carriers to collect the necessary on-site data.</w:t>
      </w:r>
      <w:r>
        <w:rPr>
          <w:rStyle w:val="FootnoteReference"/>
        </w:rPr>
        <w:footnoteReference w:id="28"/>
      </w:r>
      <w:r w:rsidR="001E6EDE">
        <w:t xml:space="preserve">  </w:t>
      </w:r>
      <w:r w:rsidRPr="00DA688D">
        <w:t xml:space="preserve">ATA </w:t>
      </w:r>
      <w:r>
        <w:t>asserts that cell-site backhaul</w:t>
      </w:r>
      <w:r>
        <w:rPr>
          <w:rStyle w:val="FootnoteReference"/>
        </w:rPr>
        <w:footnoteReference w:id="29"/>
      </w:r>
      <w:r>
        <w:t xml:space="preserve"> and anchor institutions and associated links are “last</w:t>
      </w:r>
      <w:r w:rsidR="001E6EDE">
        <w:t>-</w:t>
      </w:r>
      <w:r>
        <w:t xml:space="preserve">mile” facilities and should therefore </w:t>
      </w:r>
      <w:r w:rsidR="0083196C">
        <w:t xml:space="preserve">be </w:t>
      </w:r>
      <w:r>
        <w:t>excluded from the map collection.</w:t>
      </w:r>
      <w:r>
        <w:rPr>
          <w:rStyle w:val="FootnoteReference"/>
        </w:rPr>
        <w:footnoteReference w:id="30"/>
      </w:r>
      <w:r>
        <w:t xml:space="preserve">  ATA</w:t>
      </w:r>
      <w:r w:rsidRPr="00DA688D">
        <w:t xml:space="preserve"> cites to the Connect America Cost Model</w:t>
      </w:r>
      <w:r>
        <w:t xml:space="preserve"> (CAM)</w:t>
      </w:r>
      <w:r>
        <w:rPr>
          <w:rStyle w:val="FootnoteReference"/>
        </w:rPr>
        <w:footnoteReference w:id="31"/>
      </w:r>
      <w:r w:rsidRPr="00DA688D">
        <w:t xml:space="preserve"> and a Commission-published technical paper,</w:t>
      </w:r>
      <w:r>
        <w:rPr>
          <w:rStyle w:val="FootnoteReference"/>
        </w:rPr>
        <w:footnoteReference w:id="32"/>
      </w:r>
      <w:r w:rsidRPr="00DA688D">
        <w:t xml:space="preserve"> </w:t>
      </w:r>
      <w:r w:rsidR="000469C0">
        <w:t>for</w:t>
      </w:r>
      <w:r>
        <w:t xml:space="preserve"> the “traditional meaning of the term ‘middle-mile’” </w:t>
      </w:r>
      <w:r w:rsidR="000469C0">
        <w:t>which it asserts</w:t>
      </w:r>
      <w:r w:rsidRPr="00DA688D">
        <w:t xml:space="preserve"> exclude</w:t>
      </w:r>
      <w:r>
        <w:t>s from that definition</w:t>
      </w:r>
      <w:r w:rsidRPr="00DA688D">
        <w:t xml:space="preserve"> all facilities other than connections between and among central offices and Internet gateways</w:t>
      </w:r>
      <w:r>
        <w:t>.</w:t>
      </w:r>
      <w:r>
        <w:rPr>
          <w:rStyle w:val="FootnoteReference"/>
        </w:rPr>
        <w:footnoteReference w:id="33"/>
      </w:r>
      <w:r w:rsidRPr="00DA688D">
        <w:t xml:space="preserve"> </w:t>
      </w:r>
      <w:r>
        <w:t xml:space="preserve"> ATA states that “[t]he </w:t>
      </w:r>
      <w:r w:rsidRPr="00F56BFB">
        <w:rPr>
          <w:i/>
        </w:rPr>
        <w:t>Alaska Plan Order</w:t>
      </w:r>
      <w:r>
        <w:t xml:space="preserve"> uses the terms ‘middle mile’ and ‘backhaul’” synonymously</w:t>
      </w:r>
      <w:r w:rsidR="00ED3BA4">
        <w:t xml:space="preserve"> </w:t>
      </w:r>
      <w:r w:rsidR="00CB774C">
        <w:t xml:space="preserve">with both having </w:t>
      </w:r>
      <w:r w:rsidR="000469C0">
        <w:t xml:space="preserve">this </w:t>
      </w:r>
      <w:r>
        <w:t>“traditional meaning”</w:t>
      </w:r>
      <w:r>
        <w:rPr>
          <w:rStyle w:val="FootnoteReference"/>
        </w:rPr>
        <w:footnoteReference w:id="34"/>
      </w:r>
      <w:r>
        <w:t xml:space="preserve">  </w:t>
      </w:r>
      <w:r w:rsidRPr="00DA688D">
        <w:t xml:space="preserve">ATA concludes, based on </w:t>
      </w:r>
      <w:r>
        <w:t>its cited</w:t>
      </w:r>
      <w:r w:rsidRPr="00DA688D">
        <w:t xml:space="preserve"> precedent, that</w:t>
      </w:r>
      <w:r>
        <w:t xml:space="preserve">, in seeking the collection of </w:t>
      </w:r>
      <w:r w:rsidR="009853D1">
        <w:t>cell</w:t>
      </w:r>
      <w:r w:rsidR="002648CF">
        <w:t>-</w:t>
      </w:r>
      <w:r w:rsidR="009853D1">
        <w:t>site</w:t>
      </w:r>
      <w:r>
        <w:t xml:space="preserve"> backhaul and CAI data</w:t>
      </w:r>
      <w:r w:rsidR="000469C0">
        <w:t>,</w:t>
      </w:r>
      <w:r w:rsidRPr="00DA688D">
        <w:t xml:space="preserve">“[t]he Bureaus have expanded this </w:t>
      </w:r>
      <w:r>
        <w:t>[traditional meaning]</w:t>
      </w:r>
      <w:r w:rsidRPr="00DA688D">
        <w:t xml:space="preserve"> of the term [middle mile] without explanation and beyond the </w:t>
      </w:r>
      <w:r w:rsidRPr="004C09A6">
        <w:rPr>
          <w:i/>
        </w:rPr>
        <w:t>Alaska Plan Order</w:t>
      </w:r>
      <w:r w:rsidRPr="00DA688D">
        <w:t>.”</w:t>
      </w:r>
      <w:r>
        <w:rPr>
          <w:rStyle w:val="FootnoteReference"/>
        </w:rPr>
        <w:footnoteReference w:id="35"/>
      </w:r>
      <w:r>
        <w:t xml:space="preserve">  </w:t>
      </w:r>
    </w:p>
    <w:p w:rsidR="004C09A6" w:rsidRPr="004C09A6" w14:paraId="66F57A00" w14:textId="30267E5F">
      <w:pPr>
        <w:pStyle w:val="ParaNum"/>
        <w:keepNext/>
        <w:widowControl/>
        <w:rPr>
          <w:szCs w:val="22"/>
        </w:rPr>
      </w:pPr>
      <w:r w:rsidRPr="00DA688D">
        <w:t xml:space="preserve">On December 14, 2017, </w:t>
      </w:r>
      <w:r>
        <w:t>ATA</w:t>
      </w:r>
      <w:r w:rsidRPr="00DA688D">
        <w:t xml:space="preserve"> </w:t>
      </w:r>
      <w:r w:rsidR="000469C0">
        <w:t>filed</w:t>
      </w:r>
      <w:r w:rsidRPr="00DA688D">
        <w:t xml:space="preserve"> an alternative mapping proposal (ATA Proposal) </w:t>
      </w:r>
      <w:r w:rsidR="0083196C">
        <w:t>with</w:t>
      </w:r>
      <w:r w:rsidRPr="00DA688D" w:rsidR="0083196C">
        <w:t xml:space="preserve"> </w:t>
      </w:r>
      <w:r w:rsidRPr="00DA688D">
        <w:t>the Bureaus.</w:t>
      </w:r>
      <w:r>
        <w:rPr>
          <w:rStyle w:val="FootnoteReference"/>
        </w:rPr>
        <w:footnoteReference w:id="36"/>
      </w:r>
      <w:r w:rsidRPr="00DA688D">
        <w:t xml:space="preserve">  The ATA Proposal would allow carriers to submit data at an accuracy within 1000 meters with the first data collection due on August 1, 2018, subject to OMB approval.  Under the proposal,</w:t>
      </w:r>
      <w:r w:rsidR="000469C0">
        <w:t xml:space="preserve"> other than central office nodes and links, carriers would only report</w:t>
      </w:r>
      <w:r w:rsidRPr="00DA688D">
        <w:t xml:space="preserve"> nodes </w:t>
      </w:r>
      <w:r>
        <w:t xml:space="preserve">(including anchor institutions and cell </w:t>
      </w:r>
      <w:r w:rsidR="003078BE">
        <w:t>s</w:t>
      </w:r>
      <w:r>
        <w:t xml:space="preserve">ites) and associated links </w:t>
      </w:r>
      <w:r w:rsidRPr="00DA688D">
        <w:t>that are “directly connected to transport to a node in a different local exchange or to a node outside local exchange boundaries.”</w:t>
      </w:r>
      <w:r>
        <w:rPr>
          <w:rStyle w:val="FootnoteReference"/>
        </w:rPr>
        <w:footnoteReference w:id="37"/>
      </w:r>
      <w:r w:rsidRPr="00DA688D">
        <w:t xml:space="preserve">  Under this approach, carriers would report cell towers and anchor institutions</w:t>
      </w:r>
      <w:r>
        <w:t xml:space="preserve"> and associated links</w:t>
      </w:r>
      <w:r w:rsidRPr="00DA688D">
        <w:t xml:space="preserve"> only if they fall outside of the boundaries of a telephone exchange.</w:t>
      </w:r>
      <w:r>
        <w:rPr>
          <w:rStyle w:val="FootnoteReference"/>
        </w:rPr>
        <w:footnoteReference w:id="38"/>
      </w:r>
    </w:p>
    <w:p w:rsidR="00652E4B" w:rsidP="000D7534" w14:paraId="7256307B" w14:textId="77777777">
      <w:pPr>
        <w:pStyle w:val="Heading1"/>
        <w:widowControl/>
        <w:rPr>
          <w:rFonts w:ascii="Times New Roman" w:hAnsi="Times New Roman"/>
          <w:szCs w:val="22"/>
        </w:rPr>
      </w:pPr>
      <w:bookmarkStart w:id="18" w:name="_Toc379291443"/>
      <w:bookmarkStart w:id="19" w:name="_Toc381719684"/>
      <w:bookmarkStart w:id="20" w:name="_Toc373849367"/>
      <w:bookmarkStart w:id="21" w:name="_Toc373849425"/>
      <w:bookmarkStart w:id="22" w:name="_Toc507086278"/>
      <w:bookmarkStart w:id="23" w:name="_Toc507086321"/>
      <w:bookmarkStart w:id="24" w:name="_Toc507576793"/>
      <w:r w:rsidRPr="00163D14">
        <w:rPr>
          <w:rFonts w:ascii="Times New Roman" w:hAnsi="Times New Roman"/>
          <w:szCs w:val="22"/>
        </w:rPr>
        <w:t>discussion</w:t>
      </w:r>
      <w:bookmarkStart w:id="25" w:name="_Toc336255603"/>
      <w:bookmarkEnd w:id="18"/>
      <w:bookmarkEnd w:id="19"/>
      <w:bookmarkEnd w:id="20"/>
      <w:bookmarkEnd w:id="21"/>
      <w:bookmarkEnd w:id="22"/>
      <w:bookmarkEnd w:id="23"/>
      <w:bookmarkEnd w:id="24"/>
      <w:r w:rsidRPr="00163D14" w:rsidR="00727B9D">
        <w:rPr>
          <w:rFonts w:ascii="Times New Roman" w:hAnsi="Times New Roman"/>
          <w:szCs w:val="22"/>
        </w:rPr>
        <w:t xml:space="preserve"> </w:t>
      </w:r>
    </w:p>
    <w:p w:rsidR="00590609" w:rsidRPr="00590609" w:rsidP="000D7534" w14:paraId="39589487" w14:textId="1EE443F4">
      <w:pPr>
        <w:pStyle w:val="ParaNum"/>
        <w:widowControl/>
      </w:pPr>
      <w:bookmarkStart w:id="26" w:name="_Toc507086279"/>
      <w:bookmarkStart w:id="27" w:name="_Toc507086322"/>
      <w:r>
        <w:t xml:space="preserve">We deny ATA’s Petition with respect to its request for the Bureaus to </w:t>
      </w:r>
      <w:r w:rsidR="002F65DE">
        <w:t xml:space="preserve">largely </w:t>
      </w:r>
      <w:r>
        <w:t xml:space="preserve">forgo the collection of cell-site backhaul and CAI data.  Therefore, carriers must submit cell sites and </w:t>
      </w:r>
      <w:r w:rsidR="00515808">
        <w:t>CAIs</w:t>
      </w:r>
      <w:r>
        <w:t xml:space="preserve"> with their associated links and update that data on a yearly basis</w:t>
      </w:r>
      <w:r w:rsidR="004A011B">
        <w:t xml:space="preserve"> as described below</w:t>
      </w:r>
      <w:r>
        <w:t>.</w:t>
      </w:r>
      <w:r w:rsidR="008551C0">
        <w:t xml:space="preserve">  </w:t>
      </w:r>
    </w:p>
    <w:p w:rsidR="004C09A6" w:rsidP="000D7534" w14:paraId="6F8EE0C2" w14:textId="59CC9517">
      <w:pPr>
        <w:pStyle w:val="Heading2"/>
        <w:widowControl/>
      </w:pPr>
      <w:bookmarkStart w:id="28" w:name="_Toc507576794"/>
      <w:r>
        <w:t>Deny the Petition With Respect to Bureaus’ Interpretation of Facilities Data That Must Be Collected</w:t>
      </w:r>
      <w:bookmarkEnd w:id="26"/>
      <w:bookmarkEnd w:id="27"/>
      <w:bookmarkEnd w:id="28"/>
      <w:r>
        <w:t xml:space="preserve"> </w:t>
      </w:r>
    </w:p>
    <w:p w:rsidR="004C09A6" w:rsidP="000D7534" w14:paraId="66CC7B72" w14:textId="3B1E5278">
      <w:pPr>
        <w:pStyle w:val="ParaNum"/>
        <w:widowControl/>
      </w:pPr>
      <w:r>
        <w:t xml:space="preserve">As </w:t>
      </w:r>
      <w:r w:rsidR="00160D66">
        <w:t xml:space="preserve">an </w:t>
      </w:r>
      <w:r w:rsidR="00196F48">
        <w:t>initial</w:t>
      </w:r>
      <w:r>
        <w:t xml:space="preserve"> matter, we conclude that ATA’s narrow interpretation of the scope of the initial map collection is contrary to the most reasonable reading of the relevant Commission rule, section 54.316(a)(6).</w:t>
      </w:r>
      <w:r>
        <w:rPr>
          <w:rStyle w:val="FootnoteReference"/>
        </w:rPr>
        <w:footnoteReference w:id="39"/>
      </w:r>
      <w:r>
        <w:t xml:space="preserve">  ATA does not address the meaning of this rule in its Petition.  The first sentence of that rule does not specifically restrict the map collection to “middle-mile” or “backhaul” facilities and states that carriers “shall submit fiber network maps or microwave network maps covering eligible areas.”</w:t>
      </w:r>
      <w:r>
        <w:rPr>
          <w:rStyle w:val="FootnoteReference"/>
        </w:rPr>
        <w:footnoteReference w:id="40"/>
      </w:r>
      <w:r>
        <w:t xml:space="preserve">  </w:t>
      </w:r>
      <w:r w:rsidR="00CD1DDF">
        <w:t>The language in the rule’s second sentence, by its terms, states that carriers should provide map updates for “middle-mile” facilities.</w:t>
      </w:r>
      <w:r>
        <w:rPr>
          <w:rStyle w:val="FootnoteReference"/>
        </w:rPr>
        <w:footnoteReference w:id="41"/>
      </w:r>
      <w:r w:rsidR="00CD1DDF">
        <w:t xml:space="preserve">  </w:t>
      </w:r>
      <w:r>
        <w:t>Th</w:t>
      </w:r>
      <w:r w:rsidR="00CD1DDF">
        <w:t>e rule</w:t>
      </w:r>
      <w:r>
        <w:t xml:space="preserve"> language should be read in the context of the </w:t>
      </w:r>
      <w:r w:rsidRPr="00F32AF4">
        <w:rPr>
          <w:i/>
        </w:rPr>
        <w:t>Order</w:t>
      </w:r>
      <w:r>
        <w:t xml:space="preserve"> and its discussion of the facilities that may affect carriers’ ability to provide 10/1 Mbps service to end-users.  Because the </w:t>
      </w:r>
      <w:r w:rsidRPr="00F32AF4">
        <w:rPr>
          <w:i/>
        </w:rPr>
        <w:t>Order</w:t>
      </w:r>
      <w:r>
        <w:t xml:space="preserve"> uses multiple terms to describe such facilities, and, as explained below, the presence and quality of cell-site backhaul and connections to many CAIs do in fact affect carriers’ ability to meet their current and future commitments over last-mile facilities, the Commission intend</w:t>
      </w:r>
      <w:r w:rsidR="004366ED">
        <w:t>ed</w:t>
      </w:r>
      <w:r w:rsidR="00CD1DDF">
        <w:t xml:space="preserve"> the rule requiring the submission of</w:t>
      </w:r>
      <w:r>
        <w:t xml:space="preserve"> “fiber network maps or microwave network maps” </w:t>
      </w:r>
      <w:r w:rsidR="00721D6C">
        <w:t>and “middle mile”</w:t>
      </w:r>
      <w:r w:rsidR="00CD1DDF">
        <w:t xml:space="preserve"> data</w:t>
      </w:r>
      <w:r w:rsidR="00721D6C">
        <w:t xml:space="preserve"> </w:t>
      </w:r>
      <w:r>
        <w:t>to be read broadly to include cell-</w:t>
      </w:r>
      <w:r w:rsidR="002C0D5A">
        <w:t>s</w:t>
      </w:r>
      <w:r>
        <w:t xml:space="preserve">ite backhaul and CAIs.  </w:t>
      </w:r>
    </w:p>
    <w:p w:rsidR="004C09A6" w:rsidP="000D7534" w14:paraId="4DA8A2F9" w14:textId="1181EB45">
      <w:pPr>
        <w:pStyle w:val="ParaNum"/>
        <w:widowControl/>
      </w:pPr>
      <w:r>
        <w:t xml:space="preserve">We note that the </w:t>
      </w:r>
      <w:r w:rsidR="00535622">
        <w:t>WTB</w:t>
      </w:r>
      <w:r>
        <w:t xml:space="preserve"> also has the authority to collect this same data upon request</w:t>
      </w:r>
      <w:r w:rsidRPr="00ED3BA4" w:rsidR="00ED3BA4">
        <w:t xml:space="preserve"> </w:t>
      </w:r>
      <w:r w:rsidR="00ED3BA4">
        <w:t>regardless of whether those facilities fall within the scope of the map collection in section 54.316(a)(6)</w:t>
      </w:r>
      <w:r>
        <w:t xml:space="preserve">.   </w:t>
      </w:r>
      <w:r w:rsidR="000469C0">
        <w:t>Specifically, t</w:t>
      </w:r>
      <w:r>
        <w:t>he WTB may request “additional data” regarding facilities relevant to “determining whether or not [participating mobile carriers] meet their five- and 10-year commitments.</w:t>
      </w:r>
      <w:r w:rsidR="00ED3BA4">
        <w:t>”</w:t>
      </w:r>
      <w:r>
        <w:rPr>
          <w:rStyle w:val="FootnoteReference"/>
        </w:rPr>
        <w:footnoteReference w:id="42"/>
      </w:r>
      <w:r>
        <w:t xml:space="preserve">  C</w:t>
      </w:r>
      <w:r w:rsidRPr="005F2A6B">
        <w:t>arriers</w:t>
      </w:r>
      <w:r>
        <w:t>’</w:t>
      </w:r>
      <w:r w:rsidRPr="005F2A6B">
        <w:t xml:space="preserve"> performance commitments </w:t>
      </w:r>
      <w:r>
        <w:t xml:space="preserve">are </w:t>
      </w:r>
      <w:r w:rsidRPr="005F2A6B">
        <w:t xml:space="preserve">broken down </w:t>
      </w:r>
      <w:r>
        <w:t>and differentiated</w:t>
      </w:r>
      <w:r w:rsidRPr="005F2A6B">
        <w:t xml:space="preserve"> by </w:t>
      </w:r>
      <w:r>
        <w:t xml:space="preserve">the type of facilities </w:t>
      </w:r>
      <w:r w:rsidRPr="001C5155">
        <w:t xml:space="preserve">(satellite, fiber, fixed wireless) </w:t>
      </w:r>
      <w:r>
        <w:t>supporting the committed speed and technology (e.g., LTE) of the last-mile connections serving particular end-user populations.</w:t>
      </w:r>
      <w:r>
        <w:rPr>
          <w:rStyle w:val="FootnoteReference"/>
        </w:rPr>
        <w:footnoteReference w:id="43"/>
      </w:r>
      <w:r>
        <w:t xml:space="preserve">  Information regarding the location of cell</w:t>
      </w:r>
      <w:r w:rsidR="002C0D5A">
        <w:t xml:space="preserve">-site </w:t>
      </w:r>
      <w:r>
        <w:t>backhaul</w:t>
      </w:r>
      <w:r w:rsidR="00CB774C">
        <w:t xml:space="preserve">, </w:t>
      </w:r>
      <w:r w:rsidR="00515808">
        <w:t>CAIs</w:t>
      </w:r>
      <w:r w:rsidRPr="005F2A6B">
        <w:t xml:space="preserve"> </w:t>
      </w:r>
      <w:r w:rsidR="00AC70DB">
        <w:t>and associated links may be collected by</w:t>
      </w:r>
      <w:r w:rsidR="00282609">
        <w:t xml:space="preserve"> the</w:t>
      </w:r>
      <w:r w:rsidR="00AC70DB">
        <w:t xml:space="preserve"> WTB upon request because they ar</w:t>
      </w:r>
      <w:r>
        <w:t>e necessary to determin</w:t>
      </w:r>
      <w:r w:rsidR="00CB774C">
        <w:t>ing</w:t>
      </w:r>
      <w:r>
        <w:t xml:space="preserve"> whether </w:t>
      </w:r>
      <w:r w:rsidR="00CB774C">
        <w:t xml:space="preserve">carriers’ </w:t>
      </w:r>
      <w:r>
        <w:t>differentiated commitments are or could be met.</w:t>
      </w:r>
      <w:r>
        <w:rPr>
          <w:rStyle w:val="FootnoteReference"/>
        </w:rPr>
        <w:footnoteReference w:id="44"/>
      </w:r>
      <w:r w:rsidRPr="005F2A6B">
        <w:t xml:space="preserve">  </w:t>
      </w:r>
    </w:p>
    <w:p w:rsidR="004C09A6" w:rsidP="000D7534" w14:paraId="59810D23" w14:textId="154E9492">
      <w:pPr>
        <w:pStyle w:val="ParaNum"/>
        <w:widowControl/>
      </w:pPr>
      <w:r w:rsidRPr="004C09A6">
        <w:rPr>
          <w:i/>
        </w:rPr>
        <w:t>Cell</w:t>
      </w:r>
      <w:r>
        <w:rPr>
          <w:i/>
        </w:rPr>
        <w:t>-Site</w:t>
      </w:r>
      <w:r w:rsidRPr="004C09A6">
        <w:rPr>
          <w:i/>
        </w:rPr>
        <w:t xml:space="preserve"> Backhaul.</w:t>
      </w:r>
      <w:r>
        <w:t xml:space="preserve">  Notwithstanding the obligation of carriers to submit cell-site backhaul data pursuant to the plain meaning of section 54.316(a)(6), ATA’s position that the map collection is restricted to “middle-mile” facilities as defined in the CAM rests on an incorrect reading of the </w:t>
      </w:r>
      <w:r w:rsidRPr="00F32AF4">
        <w:rPr>
          <w:i/>
        </w:rPr>
        <w:t>Order</w:t>
      </w:r>
      <w:r w:rsidR="00B81FC2">
        <w:t xml:space="preserve">. </w:t>
      </w:r>
      <w:r w:rsidR="00FB2BBA">
        <w:t xml:space="preserve"> </w:t>
      </w:r>
      <w:r>
        <w:t xml:space="preserve">The </w:t>
      </w:r>
      <w:r w:rsidRPr="004C09A6">
        <w:rPr>
          <w:i/>
        </w:rPr>
        <w:t>Alaska Plan Order</w:t>
      </w:r>
      <w:r>
        <w:t xml:space="preserve"> does not</w:t>
      </w:r>
      <w:r w:rsidR="00AC70DB">
        <w:t>, as ATA argues,</w:t>
      </w:r>
      <w:r>
        <w:t xml:space="preserve"> define “middle-mile” and/or “backhaul” to mean </w:t>
      </w:r>
      <w:r w:rsidR="000469C0">
        <w:t xml:space="preserve">solely </w:t>
      </w:r>
      <w:r>
        <w:t>the connection between central offices.</w:t>
      </w:r>
      <w:r>
        <w:rPr>
          <w:rStyle w:val="FootnoteReference"/>
        </w:rPr>
        <w:footnoteReference w:id="45"/>
      </w:r>
      <w:r>
        <w:t xml:space="preserve">  Rather</w:t>
      </w:r>
      <w:r w:rsidR="00AC70DB">
        <w:t>,</w:t>
      </w:r>
      <w:r>
        <w:t xml:space="preserve"> these terms </w:t>
      </w:r>
      <w:r w:rsidR="00282609">
        <w:t xml:space="preserve">are </w:t>
      </w:r>
      <w:r>
        <w:t xml:space="preserve">used to describe the entire connection between the last mile and Internet gateway. </w:t>
      </w:r>
      <w:r w:rsidR="00CB774C">
        <w:t xml:space="preserve"> </w:t>
      </w:r>
      <w:r w:rsidR="00AC70DB">
        <w:t xml:space="preserve">A </w:t>
      </w:r>
      <w:r>
        <w:t xml:space="preserve">cell-site backhaul </w:t>
      </w:r>
      <w:r w:rsidR="00AC70DB">
        <w:t>facility is a</w:t>
      </w:r>
      <w:r>
        <w:t xml:space="preserve"> subset of this connection.  </w:t>
      </w:r>
    </w:p>
    <w:p w:rsidR="004C09A6" w:rsidP="000D7534" w14:paraId="46E1DA05" w14:textId="402B6E43">
      <w:pPr>
        <w:pStyle w:val="ParaNum"/>
        <w:widowControl/>
      </w:pPr>
      <w:r>
        <w:t xml:space="preserve">The Commission adopted a more expansive meaning of these terms in the </w:t>
      </w:r>
      <w:r w:rsidRPr="004C09A6">
        <w:rPr>
          <w:i/>
        </w:rPr>
        <w:t>Alaska Plan Order</w:t>
      </w:r>
      <w:r>
        <w:t xml:space="preserve"> to enable it to identify the “weak-links” in carriers’ networks that affect carriers’ current and future commitments.</w:t>
      </w:r>
      <w:r>
        <w:rPr>
          <w:rStyle w:val="FootnoteReference"/>
        </w:rPr>
        <w:footnoteReference w:id="46"/>
      </w:r>
      <w:r>
        <w:t xml:space="preserve">  As noted </w:t>
      </w:r>
      <w:r w:rsidR="008C58C0">
        <w:t xml:space="preserve">in </w:t>
      </w:r>
      <w:r>
        <w:t xml:space="preserve">the OBI Technical Paper #1 </w:t>
      </w:r>
      <w:r w:rsidR="00544B0F">
        <w:t>that</w:t>
      </w:r>
      <w:r>
        <w:t xml:space="preserve"> ATA cites, cell-site backhaul </w:t>
      </w:r>
      <w:r w:rsidRPr="004C09A6">
        <w:rPr>
          <w:i/>
        </w:rPr>
        <w:t>and</w:t>
      </w:r>
      <w:r>
        <w:t xml:space="preserve"> connections between central offices </w:t>
      </w:r>
      <w:r w:rsidRPr="3BBA0C70">
        <w:t>“can quickly become the choke point” and “adequate [cell</w:t>
      </w:r>
      <w:r w:rsidR="00DE2494">
        <w:t>-</w:t>
      </w:r>
      <w:r w:rsidRPr="3BBA0C70">
        <w:t>site] backhaul is one of the key drivers for providing wireless broadband.”</w:t>
      </w:r>
      <w:r>
        <w:rPr>
          <w:rStyle w:val="FootnoteReference"/>
        </w:rPr>
        <w:footnoteReference w:id="47"/>
      </w:r>
      <w:r w:rsidRPr="3BBA0C70">
        <w:t xml:space="preserve"> </w:t>
      </w:r>
      <w:r>
        <w:t xml:space="preserve"> We agree with ATA that high-capacity connections between central offices are relevant to an assessment of whether carriers can meet their commitments to end-users within the exchanges served by those central offices.</w:t>
      </w:r>
      <w:r>
        <w:rPr>
          <w:rStyle w:val="FootnoteReference"/>
        </w:rPr>
        <w:footnoteReference w:id="48"/>
      </w:r>
      <w:r>
        <w:t xml:space="preserve">  Such high capacity connections are not, however, sufficient for such an assessment.</w:t>
      </w:r>
      <w:r>
        <w:rPr>
          <w:rStyle w:val="FootnoteReference"/>
        </w:rPr>
        <w:footnoteReference w:id="49"/>
      </w:r>
    </w:p>
    <w:p w:rsidR="004C09A6" w:rsidP="000D7534" w14:paraId="6175D7A4" w14:textId="4533B3E1">
      <w:pPr>
        <w:pStyle w:val="ParaNum"/>
        <w:widowControl/>
      </w:pPr>
      <w:r>
        <w:t>ATA also does not explain why cell</w:t>
      </w:r>
      <w:r w:rsidR="00DE2494">
        <w:t>-</w:t>
      </w:r>
      <w:r>
        <w:t>site backhaul should be considered “last mile” and therefore excluded from the collection.</w:t>
      </w:r>
      <w:r>
        <w:rPr>
          <w:rStyle w:val="FootnoteReference"/>
        </w:rPr>
        <w:footnoteReference w:id="50"/>
      </w:r>
      <w:r>
        <w:t xml:space="preserve">  </w:t>
      </w:r>
      <w:r w:rsidRPr="00DA688D">
        <w:t>Indeed, as ATA acknowledges,</w:t>
      </w:r>
      <w:r>
        <w:rPr>
          <w:rStyle w:val="FootnoteReference"/>
        </w:rPr>
        <w:footnoteReference w:id="51"/>
      </w:r>
      <w:r w:rsidRPr="00DA688D">
        <w:t xml:space="preserve"> the</w:t>
      </w:r>
      <w:r>
        <w:t xml:space="preserve"> ordinary meaning of “backhaul,” in the wireless context refers to the “connections that link a mobile wireless service provider’s cell sites to the mobile switching centers . . . .”</w:t>
      </w:r>
      <w:r>
        <w:rPr>
          <w:rStyle w:val="FootnoteReference"/>
        </w:rPr>
        <w:footnoteReference w:id="52"/>
      </w:r>
      <w:r>
        <w:t xml:space="preserve">  </w:t>
      </w:r>
      <w:r w:rsidR="00941C25">
        <w:t>On the other hand, a “last mile” facility</w:t>
      </w:r>
      <w:r>
        <w:t xml:space="preserve"> is the connection from the end</w:t>
      </w:r>
      <w:r w:rsidR="00282609">
        <w:t>-</w:t>
      </w:r>
      <w:r>
        <w:t>user’s handset or terminal to the “first point of aggregation,” such as a “wireless tower location.”</w:t>
      </w:r>
      <w:r>
        <w:rPr>
          <w:rStyle w:val="FootnoteReference"/>
        </w:rPr>
        <w:footnoteReference w:id="53"/>
      </w:r>
      <w:r>
        <w:t xml:space="preserve">  </w:t>
      </w:r>
      <w:r w:rsidRPr="00D75602">
        <w:rPr>
          <w:i/>
        </w:rPr>
        <w:t xml:space="preserve">The Map Instructions </w:t>
      </w:r>
      <w:r>
        <w:t>do not require the submission of the “last</w:t>
      </w:r>
      <w:r w:rsidR="00AC70DB">
        <w:t>-</w:t>
      </w:r>
      <w:r>
        <w:t xml:space="preserve">mile” wireless end-users’ location data. </w:t>
      </w:r>
    </w:p>
    <w:p w:rsidR="004C09A6" w:rsidP="000D7534" w14:paraId="00DEA904" w14:textId="77777777">
      <w:pPr>
        <w:pStyle w:val="ParaNum"/>
        <w:widowControl/>
      </w:pPr>
      <w:r>
        <w:t xml:space="preserve">The </w:t>
      </w:r>
      <w:r w:rsidRPr="004C09A6">
        <w:rPr>
          <w:i/>
        </w:rPr>
        <w:t>Alaska</w:t>
      </w:r>
      <w:r>
        <w:t xml:space="preserve"> </w:t>
      </w:r>
      <w:r w:rsidRPr="004C09A6">
        <w:rPr>
          <w:i/>
        </w:rPr>
        <w:t>Plan Order</w:t>
      </w:r>
      <w:r>
        <w:t xml:space="preserve"> requirement for carriers to submit data regarding facilities that lie between the “last mile” and the “Internet gateway” is also consistent with the logical structure of the </w:t>
      </w:r>
      <w:r w:rsidRPr="004C09A6">
        <w:rPr>
          <w:i/>
        </w:rPr>
        <w:t>Alaska Plan Order</w:t>
      </w:r>
      <w:r>
        <w:t xml:space="preserve"> itself.  T</w:t>
      </w:r>
      <w:r w:rsidRPr="0002152F">
        <w:t xml:space="preserve">he </w:t>
      </w:r>
      <w:r w:rsidRPr="00F32AF4">
        <w:rPr>
          <w:i/>
        </w:rPr>
        <w:t>Order</w:t>
      </w:r>
      <w:r w:rsidRPr="0002152F">
        <w:t xml:space="preserve"> describes carriers’ networks as a three-part model.  Specifically, the </w:t>
      </w:r>
      <w:r w:rsidRPr="00F32AF4">
        <w:rPr>
          <w:i/>
        </w:rPr>
        <w:t>Order</w:t>
      </w:r>
      <w:r w:rsidRPr="0002152F">
        <w:t xml:space="preserve"> separately describes the (1) “last mile”—reflected in the bandwidth and price commitments provided to consumers via wired and wireless facilities and, for wireless commitments, the last-mile wireless technology to be deployed, such as LTE</w:t>
      </w:r>
      <w:r>
        <w:rPr>
          <w:vertAlign w:val="superscript"/>
        </w:rPr>
        <w:footnoteReference w:id="54"/>
      </w:r>
      <w:r w:rsidRPr="0002152F">
        <w:t>—(2) “middle mile” and/or “backhaul” facilities which connect last mile facilities to the Internet gateway and affect the ability of the carrier to meet its last-mile commitments; and (3) the Internet gateway and the Internet beyond.</w:t>
      </w:r>
      <w:r>
        <w:rPr>
          <w:vertAlign w:val="superscript"/>
        </w:rPr>
        <w:footnoteReference w:id="55"/>
      </w:r>
      <w:r w:rsidRPr="0002152F">
        <w:t xml:space="preserve">  Under this three-part model, </w:t>
      </w:r>
      <w:r>
        <w:t>network components</w:t>
      </w:r>
      <w:r w:rsidRPr="0002152F">
        <w:t xml:space="preserve"> other than (1) or (3) and which can affect the ability of the carrier to meet its last mile commitments </w:t>
      </w:r>
      <w:r>
        <w:t>are</w:t>
      </w:r>
      <w:r w:rsidR="00196F48">
        <w:t xml:space="preserve"> (2):</w:t>
      </w:r>
      <w:r w:rsidRPr="0002152F">
        <w:t xml:space="preserve"> “middle mile” and/or “backhaul.”  As explained, because </w:t>
      </w:r>
      <w:r w:rsidRPr="0002152F" w:rsidR="00144CE8">
        <w:t>cell</w:t>
      </w:r>
      <w:r w:rsidR="00144CE8">
        <w:t>-site</w:t>
      </w:r>
      <w:r w:rsidRPr="0002152F" w:rsidR="00144CE8">
        <w:t xml:space="preserve"> </w:t>
      </w:r>
      <w:r w:rsidRPr="0002152F">
        <w:t xml:space="preserve">backhaul </w:t>
      </w:r>
      <w:r>
        <w:t>is not</w:t>
      </w:r>
      <w:r w:rsidRPr="0002152F">
        <w:t xml:space="preserve"> considered “last mile” </w:t>
      </w:r>
      <w:r w:rsidR="005B41BA">
        <w:t xml:space="preserve">for purposes of this map filing requirement </w:t>
      </w:r>
      <w:r w:rsidRPr="0002152F">
        <w:t>and is clearly not the “</w:t>
      </w:r>
      <w:r>
        <w:t>I</w:t>
      </w:r>
      <w:r w:rsidRPr="0002152F">
        <w:t xml:space="preserve">nternet gateway,” it must be “middle mile” and/or “backhaul.”  </w:t>
      </w:r>
    </w:p>
    <w:p w:rsidR="004C09A6" w:rsidP="000D7534" w14:paraId="7906AA48" w14:textId="77777777">
      <w:pPr>
        <w:pStyle w:val="ParaNum"/>
        <w:widowControl/>
      </w:pPr>
      <w:r>
        <w:t xml:space="preserve">This broad meaning of “middle mile” and “backhaul” is also consistent with the common understanding of these terms in the wireless industry and has been adopted by the Petitioner in other contexts.  For example, </w:t>
      </w:r>
      <w:r w:rsidR="00196F48">
        <w:t xml:space="preserve">ATA member </w:t>
      </w:r>
      <w:r>
        <w:t>GCI, in providing a cost model for wireless facilities in Alaska, used the term “backhaul” to describe both (1) “</w:t>
      </w:r>
      <w:r w:rsidR="00144CE8">
        <w:t xml:space="preserve">cell-site </w:t>
      </w:r>
      <w:r>
        <w:t>backhaul” and (2) the connection to central “hubs” in three Alaskan cities.</w:t>
      </w:r>
      <w:r>
        <w:rPr>
          <w:rStyle w:val="FootnoteReference"/>
        </w:rPr>
        <w:footnoteReference w:id="56"/>
      </w:r>
      <w:r>
        <w:t xml:space="preserve">  In that instance, GCI stat</w:t>
      </w:r>
      <w:r w:rsidR="00196F48">
        <w:t>e</w:t>
      </w:r>
      <w:r w:rsidR="00282609">
        <w:t>d</w:t>
      </w:r>
      <w:r w:rsidR="00196F48">
        <w:t xml:space="preserve"> that the quality of the last-</w:t>
      </w:r>
      <w:r>
        <w:t xml:space="preserve">mile connection is dependent on the robustness of both (1) and (2) and argued that the cost of upgrading both segments </w:t>
      </w:r>
      <w:r w:rsidR="00196F48">
        <w:t>is</w:t>
      </w:r>
      <w:r>
        <w:t xml:space="preserve"> a barrier to providing higher speed last-mile services to Alaskan end-users.</w:t>
      </w:r>
      <w:r>
        <w:rPr>
          <w:rStyle w:val="FootnoteReference"/>
        </w:rPr>
        <w:footnoteReference w:id="57"/>
      </w:r>
    </w:p>
    <w:p w:rsidR="00A80AA2" w:rsidRPr="00163D14" w:rsidP="000D7534" w14:paraId="43F6D16F" w14:textId="27CC2C3F">
      <w:pPr>
        <w:pStyle w:val="Heading2"/>
        <w:widowControl/>
      </w:pPr>
      <w:bookmarkStart w:id="29" w:name="_Toc507086280"/>
      <w:bookmarkStart w:id="30" w:name="_Toc507086323"/>
      <w:bookmarkStart w:id="31" w:name="_Toc507576795"/>
      <w:r>
        <w:t>Grant the Petition in Part</w:t>
      </w:r>
      <w:bookmarkEnd w:id="29"/>
      <w:bookmarkEnd w:id="30"/>
      <w:bookmarkEnd w:id="31"/>
    </w:p>
    <w:p w:rsidR="004C3C21" w:rsidRPr="004C3C21" w:rsidP="000D7534" w14:paraId="6ECD5CA6" w14:textId="26AFBE25">
      <w:pPr>
        <w:pStyle w:val="ParaNum"/>
        <w:widowControl/>
      </w:pPr>
      <w:r>
        <w:rPr>
          <w:szCs w:val="22"/>
        </w:rPr>
        <w:t xml:space="preserve">We grant the </w:t>
      </w:r>
      <w:r w:rsidR="00017E5B">
        <w:rPr>
          <w:szCs w:val="22"/>
        </w:rPr>
        <w:t>P</w:t>
      </w:r>
      <w:r>
        <w:rPr>
          <w:szCs w:val="22"/>
        </w:rPr>
        <w:t xml:space="preserve">etition in part to the extent it seeks relief from the March 1, 2018 deadline, and </w:t>
      </w:r>
      <w:r w:rsidR="00AC70DB">
        <w:rPr>
          <w:szCs w:val="22"/>
        </w:rPr>
        <w:t xml:space="preserve">the </w:t>
      </w:r>
      <w:r w:rsidR="00941C25">
        <w:rPr>
          <w:szCs w:val="22"/>
        </w:rPr>
        <w:t>7.6-</w:t>
      </w:r>
      <w:r>
        <w:rPr>
          <w:szCs w:val="22"/>
        </w:rPr>
        <w:t>meter accuracy requirement.</w:t>
      </w:r>
      <w:r w:rsidR="00B81FC2">
        <w:rPr>
          <w:szCs w:val="22"/>
        </w:rPr>
        <w:t xml:space="preserve">  By providing this relief, we allow carriers limited flexibility and time to submit data in a way that takes into consideration </w:t>
      </w:r>
      <w:r w:rsidR="009D0A56">
        <w:rPr>
          <w:szCs w:val="22"/>
        </w:rPr>
        <w:t xml:space="preserve">the </w:t>
      </w:r>
      <w:r w:rsidR="00B81FC2">
        <w:rPr>
          <w:szCs w:val="22"/>
        </w:rPr>
        <w:t>particular challenges</w:t>
      </w:r>
      <w:r w:rsidR="00E874B6">
        <w:rPr>
          <w:szCs w:val="22"/>
        </w:rPr>
        <w:t xml:space="preserve"> carriers </w:t>
      </w:r>
      <w:r w:rsidR="008C58C0">
        <w:rPr>
          <w:szCs w:val="22"/>
        </w:rPr>
        <w:t>in Alaska</w:t>
      </w:r>
      <w:r w:rsidR="00E874B6">
        <w:rPr>
          <w:szCs w:val="22"/>
        </w:rPr>
        <w:t xml:space="preserve"> face</w:t>
      </w:r>
      <w:r w:rsidR="00B81FC2">
        <w:rPr>
          <w:szCs w:val="22"/>
        </w:rPr>
        <w:t xml:space="preserve"> (e.g.</w:t>
      </w:r>
      <w:r w:rsidR="00FA028D">
        <w:rPr>
          <w:szCs w:val="22"/>
        </w:rPr>
        <w:t>,</w:t>
      </w:r>
      <w:r w:rsidR="00B81FC2">
        <w:rPr>
          <w:szCs w:val="22"/>
        </w:rPr>
        <w:t xml:space="preserve"> difficult seasonal weather) while also ensuring the Commission is provided with the data it required for implementing the Plan.  We also clarify the obligation to report data with respect to CAIs.</w:t>
      </w:r>
      <w:r>
        <w:rPr>
          <w:szCs w:val="22"/>
        </w:rPr>
        <w:t xml:space="preserve">  </w:t>
      </w:r>
      <w:r w:rsidR="00940B50">
        <w:rPr>
          <w:szCs w:val="22"/>
        </w:rPr>
        <w:t xml:space="preserve">The </w:t>
      </w:r>
      <w:r w:rsidR="00017E5B">
        <w:rPr>
          <w:szCs w:val="22"/>
        </w:rPr>
        <w:t>P</w:t>
      </w:r>
      <w:r w:rsidR="00940B50">
        <w:rPr>
          <w:szCs w:val="22"/>
        </w:rPr>
        <w:t xml:space="preserve">etition is denied in all other respects. </w:t>
      </w:r>
    </w:p>
    <w:p w:rsidR="004C3C21" w:rsidRPr="00525D25" w:rsidP="000D7534" w14:paraId="57683787" w14:textId="5D31E305">
      <w:pPr>
        <w:pStyle w:val="ParaNum"/>
        <w:widowControl/>
      </w:pPr>
      <w:r w:rsidRPr="004C3C21">
        <w:rPr>
          <w:i/>
        </w:rPr>
        <w:t>Deadline Extension</w:t>
      </w:r>
      <w:r w:rsidRPr="00525D25">
        <w:t>.</w:t>
      </w:r>
      <w:r w:rsidRPr="00DA688D">
        <w:t xml:space="preserve">  </w:t>
      </w:r>
      <w:r>
        <w:t>T</w:t>
      </w:r>
      <w:r w:rsidRPr="00DA688D">
        <w:t>he Bureaus grant the Petition to the extent that it seeks a deadline extension</w:t>
      </w:r>
      <w:r>
        <w:rPr>
          <w:rStyle w:val="FootnoteReference"/>
        </w:rPr>
        <w:footnoteReference w:id="58"/>
      </w:r>
      <w:r w:rsidRPr="00DA688D">
        <w:t xml:space="preserve"> and extend the filing deadline for the initial </w:t>
      </w:r>
      <w:r>
        <w:t>map data</w:t>
      </w:r>
      <w:r w:rsidRPr="00DA688D">
        <w:t xml:space="preserve"> submission from March 1, 2018, to July 1, 2018.</w:t>
      </w:r>
      <w:r>
        <w:rPr>
          <w:rStyle w:val="FootnoteReference"/>
          <w:sz w:val="22"/>
          <w:szCs w:val="22"/>
        </w:rPr>
        <w:footnoteReference w:id="59"/>
      </w:r>
      <w:r w:rsidRPr="00DA688D">
        <w:t xml:space="preserve"> </w:t>
      </w:r>
      <w:r>
        <w:t xml:space="preserve"> </w:t>
      </w:r>
      <w:r w:rsidRPr="00DA688D">
        <w:t>On February 1, 2018, the Office of Management and Budget approved the collection under the Paperwork Reduction Act (PRA)</w:t>
      </w:r>
      <w:r>
        <w:t xml:space="preserve"> and the rules became effective on </w:t>
      </w:r>
      <w:r w:rsidR="007325C5">
        <w:t>February 15, 2018</w:t>
      </w:r>
      <w:r w:rsidRPr="00DA688D">
        <w:t>.</w:t>
      </w:r>
      <w:r>
        <w:rPr>
          <w:rStyle w:val="FootnoteReference"/>
          <w:sz w:val="22"/>
          <w:szCs w:val="22"/>
        </w:rPr>
        <w:footnoteReference w:id="60"/>
      </w:r>
      <w:r w:rsidRPr="3BBA0C70">
        <w:rPr>
          <w:rStyle w:val="FootnoteReference"/>
          <w:sz w:val="22"/>
          <w:szCs w:val="22"/>
        </w:rPr>
        <w:t xml:space="preserve">  </w:t>
      </w:r>
      <w:r w:rsidRPr="00DA688D">
        <w:t>We find that an extension of the deadline under section 54.316 is appropriate in this case because a July 1</w:t>
      </w:r>
      <w:r w:rsidR="008E50E9">
        <w:t>, 2018</w:t>
      </w:r>
      <w:r w:rsidRPr="00DA688D">
        <w:t xml:space="preserve"> deadline will ensure that carriers will have sufficient time following the recent PRA approval to finalize any data submitted into the </w:t>
      </w:r>
      <w:r w:rsidR="008C58C0">
        <w:t xml:space="preserve">High Cost </w:t>
      </w:r>
      <w:r w:rsidR="00C85801">
        <w:t>Universal</w:t>
      </w:r>
      <w:r w:rsidR="008C58C0">
        <w:t xml:space="preserve"> Service Broadband (</w:t>
      </w:r>
      <w:r w:rsidRPr="00DA688D">
        <w:t>HUBB</w:t>
      </w:r>
      <w:r w:rsidR="008C58C0">
        <w:t>) portal</w:t>
      </w:r>
      <w:r w:rsidRPr="00DA688D">
        <w:t xml:space="preserve"> and aligns </w:t>
      </w:r>
      <w:r>
        <w:t>with the</w:t>
      </w:r>
      <w:r w:rsidRPr="00DA688D">
        <w:t xml:space="preserve"> Form 481</w:t>
      </w:r>
      <w:r>
        <w:t xml:space="preserve"> filing deadline</w:t>
      </w:r>
      <w:r w:rsidRPr="00DA688D">
        <w:t>.</w:t>
      </w:r>
      <w:r>
        <w:rPr>
          <w:rStyle w:val="FootnoteReference"/>
          <w:sz w:val="22"/>
          <w:szCs w:val="22"/>
        </w:rPr>
        <w:footnoteReference w:id="61"/>
      </w:r>
      <w:r w:rsidRPr="00DA688D">
        <w:t xml:space="preserve">  Additionally, carriers are submitting </w:t>
      </w:r>
      <w:r>
        <w:t>middle</w:t>
      </w:r>
      <w:r w:rsidR="00A40B6D">
        <w:t>-</w:t>
      </w:r>
      <w:r>
        <w:t xml:space="preserve">mile </w:t>
      </w:r>
      <w:r w:rsidRPr="00DA688D">
        <w:t>data to the HUBB portal for the first time, and carriers and USAC may need additional time to address any problems or concerns that may arise at the time of filing.</w:t>
      </w:r>
      <w:r>
        <w:rPr>
          <w:rStyle w:val="FootnoteReference"/>
          <w:sz w:val="22"/>
          <w:szCs w:val="22"/>
        </w:rPr>
        <w:footnoteReference w:id="62"/>
      </w:r>
      <w:r w:rsidRPr="00DA688D">
        <w:t xml:space="preserve">  This extension will also allow carriers additional time to gather as accurate data as possible in the first filing cycle</w:t>
      </w:r>
      <w:r w:rsidR="00B81FC2">
        <w:t>.</w:t>
      </w:r>
      <w:r w:rsidRPr="00DA688D">
        <w:t xml:space="preserve"> Alaska Plan participants </w:t>
      </w:r>
      <w:r w:rsidR="00CB18B2">
        <w:t>will now have</w:t>
      </w:r>
      <w:r w:rsidRPr="00DA688D" w:rsidR="00CB18B2">
        <w:t xml:space="preserve"> </w:t>
      </w:r>
      <w:r w:rsidRPr="00DA688D">
        <w:t xml:space="preserve">nearly ten months of preparation time to gather and submit the data from the release of the initial </w:t>
      </w:r>
      <w:r w:rsidRPr="003E7839">
        <w:rPr>
          <w:i/>
        </w:rPr>
        <w:t>Map Instructions</w:t>
      </w:r>
      <w:r w:rsidRPr="00DA688D">
        <w:t>.</w:t>
      </w:r>
      <w:r>
        <w:rPr>
          <w:rStyle w:val="FootnoteReference"/>
        </w:rPr>
        <w:footnoteReference w:id="63"/>
      </w:r>
      <w:r w:rsidRPr="00DA688D">
        <w:t xml:space="preserve">  This extension does not affect the filing deadline in subsequent years</w:t>
      </w:r>
      <w:r>
        <w:t xml:space="preserve"> or the March 1, 2018 deadline for the submission of Alaska wireline location data</w:t>
      </w:r>
      <w:r w:rsidRPr="00DA688D">
        <w:t>.</w:t>
      </w:r>
      <w:r>
        <w:rPr>
          <w:rStyle w:val="FootnoteReference"/>
          <w:sz w:val="22"/>
          <w:szCs w:val="22"/>
        </w:rPr>
        <w:footnoteReference w:id="64"/>
      </w:r>
      <w:r w:rsidRPr="00DA688D">
        <w:t xml:space="preserve">  </w:t>
      </w:r>
    </w:p>
    <w:p w:rsidR="004C3C21" w:rsidP="000D7534" w14:paraId="078652C5" w14:textId="52D3A017">
      <w:pPr>
        <w:pStyle w:val="ParaNum"/>
        <w:widowControl/>
      </w:pPr>
      <w:r w:rsidRPr="3BBA0C70">
        <w:rPr>
          <w:i/>
        </w:rPr>
        <w:t>Accuracy</w:t>
      </w:r>
      <w:r w:rsidRPr="00DA688D">
        <w:t>.  We grant in part and deny in part ATA’s request to collect and submit data at a lower level of accuracy than 7.6 meter</w:t>
      </w:r>
      <w:r>
        <w:t xml:space="preserve">s. </w:t>
      </w:r>
      <w:r w:rsidR="00AD16F6">
        <w:t xml:space="preserve"> </w:t>
      </w:r>
      <w:r>
        <w:t>Specifically, we</w:t>
      </w:r>
      <w:r w:rsidRPr="00DA688D">
        <w:t xml:space="preserve"> permit carriers to collect and submit “estimated” data </w:t>
      </w:r>
      <w:r>
        <w:t>to within 50 meters of accuracy</w:t>
      </w:r>
      <w:r w:rsidRPr="00DA688D">
        <w:t xml:space="preserve"> for </w:t>
      </w:r>
      <w:r w:rsidR="008E50E9">
        <w:t xml:space="preserve">the </w:t>
      </w:r>
      <w:r w:rsidRPr="00DA688D" w:rsidR="008E50E9">
        <w:t>filing due</w:t>
      </w:r>
      <w:r w:rsidRPr="00DA688D">
        <w:t xml:space="preserve"> </w:t>
      </w:r>
      <w:r w:rsidR="008E50E9">
        <w:t>by</w:t>
      </w:r>
      <w:r w:rsidRPr="00DA688D" w:rsidR="008E50E9">
        <w:t xml:space="preserve"> </w:t>
      </w:r>
      <w:r w:rsidR="008E50E9">
        <w:t>July 1,</w:t>
      </w:r>
      <w:r w:rsidRPr="00DA688D">
        <w:t xml:space="preserve"> 2018 </w:t>
      </w:r>
      <w:r>
        <w:t>where data at 7.6 meters is unavailable</w:t>
      </w:r>
      <w:r w:rsidRPr="00DA688D">
        <w:t>.</w:t>
      </w:r>
      <w:r w:rsidR="00D330C9">
        <w:t xml:space="preserve">  This</w:t>
      </w:r>
      <w:r w:rsidR="00FA028D">
        <w:t xml:space="preserve"> relief</w:t>
      </w:r>
      <w:r w:rsidR="00D330C9">
        <w:t xml:space="preserve"> is appropriate given the recent effective date of the data collection in February combined with the challenging weather conditions in Alaska, and the fact that “estimated” data (in the limited cases where 7.6</w:t>
      </w:r>
      <w:r w:rsidR="001450FE">
        <w:t>-</w:t>
      </w:r>
      <w:r w:rsidR="00D330C9">
        <w:t>mete</w:t>
      </w:r>
      <w:r w:rsidR="00FA028D">
        <w:t>r</w:t>
      </w:r>
      <w:r w:rsidR="00D330C9">
        <w:t xml:space="preserve"> data is unavailable) for the 2018 submission will not inhibit efforts of the Bureaus to implement the Plan.</w:t>
      </w:r>
    </w:p>
    <w:p w:rsidR="004C3C21" w:rsidP="000D7534" w14:paraId="4721FC86" w14:textId="77777777">
      <w:pPr>
        <w:pStyle w:val="ParaNum"/>
        <w:widowControl/>
      </w:pPr>
      <w:r>
        <w:t xml:space="preserve">The Bureaus have authority to set an accuracy threshold in </w:t>
      </w:r>
      <w:r w:rsidR="00282609">
        <w:t xml:space="preserve">the </w:t>
      </w:r>
      <w:r>
        <w:t>instructions.  Indeed, ATA submitted its own, alternative 1000-meter threshold.</w:t>
      </w:r>
      <w:r>
        <w:rPr>
          <w:rStyle w:val="FootnoteReference"/>
        </w:rPr>
        <w:footnoteReference w:id="65"/>
      </w:r>
      <w:r>
        <w:t xml:space="preserve">  The Commission delegated to the Bureau</w:t>
      </w:r>
      <w:r w:rsidR="00282609">
        <w:t>s</w:t>
      </w:r>
      <w:r>
        <w:t xml:space="preserve"> the authority to provide a common format for map submissions, which necessarily includes a mutually understood accuracy standard.  Maps cannot be properly evaluated without a mutually understood and agreed upon accuracy standard.</w:t>
      </w:r>
      <w:r>
        <w:rPr>
          <w:rStyle w:val="FootnoteReference"/>
        </w:rPr>
        <w:footnoteReference w:id="66"/>
      </w:r>
      <w:r>
        <w:t xml:space="preserve">  As explained below, both the 50</w:t>
      </w:r>
      <w:r w:rsidR="00767106">
        <w:t>-</w:t>
      </w:r>
      <w:r>
        <w:t xml:space="preserve">meter and </w:t>
      </w:r>
      <w:r w:rsidR="00941C25">
        <w:t>7.6-meter</w:t>
      </w:r>
      <w:r>
        <w:t xml:space="preserve"> accuracy standards meet that test. </w:t>
      </w:r>
    </w:p>
    <w:p w:rsidR="004C3C21" w:rsidP="000D7534" w14:paraId="7DE179EA" w14:textId="3D0C115E">
      <w:pPr>
        <w:pStyle w:val="ParaNum"/>
        <w:widowControl/>
      </w:pPr>
      <w:r>
        <w:t>We conclude that, on balance,</w:t>
      </w:r>
      <w:r w:rsidRPr="00DA688D">
        <w:t xml:space="preserve"> the </w:t>
      </w:r>
      <w:r>
        <w:t xml:space="preserve">overall </w:t>
      </w:r>
      <w:r w:rsidRPr="00DA688D">
        <w:t xml:space="preserve">benefit of </w:t>
      </w:r>
      <w:r w:rsidR="006529DF">
        <w:t xml:space="preserve">the data </w:t>
      </w:r>
      <w:r>
        <w:t>accuracy requirements, as modified here,</w:t>
      </w:r>
      <w:r w:rsidRPr="00DA688D">
        <w:t xml:space="preserve"> outweighs any burden on carriers.</w:t>
      </w:r>
      <w:r>
        <w:rPr>
          <w:rStyle w:val="FootnoteReference"/>
          <w:sz w:val="22"/>
          <w:szCs w:val="22"/>
        </w:rPr>
        <w:footnoteReference w:id="67"/>
      </w:r>
      <w:r w:rsidRPr="00DA688D">
        <w:t xml:space="preserve"> </w:t>
      </w:r>
      <w:r>
        <w:t xml:space="preserve"> While the Bureaus need to and will, under these modified instructions, obtain data accurate to 7.6 meters by </w:t>
      </w:r>
      <w:r w:rsidR="00E83CB1">
        <w:t>2019</w:t>
      </w:r>
      <w:r>
        <w:t xml:space="preserve">, the relief we provide will greatly reduce carriers’ burden to collect that data.  A </w:t>
      </w:r>
      <w:r w:rsidR="00E83CB1">
        <w:t>one</w:t>
      </w:r>
      <w:r w:rsidR="003F42D2">
        <w:t>-</w:t>
      </w:r>
      <w:r>
        <w:t>year</w:t>
      </w:r>
      <w:r w:rsidRPr="00DA688D">
        <w:t xml:space="preserve"> delay </w:t>
      </w:r>
      <w:r>
        <w:t xml:space="preserve">in providing data at a 7.6-meter level of accuracy </w:t>
      </w:r>
      <w:r w:rsidRPr="00DA688D">
        <w:t xml:space="preserve">should allow ATA members to collect </w:t>
      </w:r>
      <w:r>
        <w:t xml:space="preserve">and submit </w:t>
      </w:r>
      <w:r w:rsidRPr="00DA688D">
        <w:t>estimated data using desktop software while</w:t>
      </w:r>
      <w:r w:rsidR="00E83CB1">
        <w:t xml:space="preserve"> largely</w:t>
      </w:r>
      <w:r w:rsidRPr="00DA688D">
        <w:t xml:space="preserve"> allowing the collection of more accurate data through site visits as necessary in the normal course of business.  </w:t>
      </w:r>
      <w:r>
        <w:t>Carrier estimated data, combined with 7.6</w:t>
      </w:r>
      <w:r w:rsidR="003F42D2">
        <w:t>-</w:t>
      </w:r>
      <w:r>
        <w:t xml:space="preserve">meter data already in the carriers’ </w:t>
      </w:r>
      <w:r w:rsidRPr="00AE2DC6">
        <w:rPr>
          <w:szCs w:val="22"/>
        </w:rPr>
        <w:t xml:space="preserve">possession, </w:t>
      </w:r>
      <w:r w:rsidR="003F42D2">
        <w:rPr>
          <w:szCs w:val="22"/>
        </w:rPr>
        <w:t xml:space="preserve">are </w:t>
      </w:r>
      <w:r>
        <w:rPr>
          <w:szCs w:val="22"/>
        </w:rPr>
        <w:t xml:space="preserve">sufficient for the </w:t>
      </w:r>
      <w:r w:rsidRPr="00AE2DC6">
        <w:rPr>
          <w:szCs w:val="22"/>
        </w:rPr>
        <w:t xml:space="preserve">Bureaus </w:t>
      </w:r>
      <w:r w:rsidRPr="00D7018E">
        <w:rPr>
          <w:szCs w:val="22"/>
        </w:rPr>
        <w:t>to assess carriers’ compliance</w:t>
      </w:r>
      <w:r w:rsidR="003F42D2">
        <w:rPr>
          <w:szCs w:val="22"/>
        </w:rPr>
        <w:t>,</w:t>
      </w:r>
      <w:r w:rsidR="004E2635">
        <w:rPr>
          <w:szCs w:val="22"/>
        </w:rPr>
        <w:t xml:space="preserve"> infrastructure</w:t>
      </w:r>
      <w:r w:rsidR="003F42D2">
        <w:rPr>
          <w:szCs w:val="22"/>
        </w:rPr>
        <w:t xml:space="preserve"> limitations,</w:t>
      </w:r>
      <w:r w:rsidRPr="00D7018E">
        <w:rPr>
          <w:szCs w:val="22"/>
        </w:rPr>
        <w:t xml:space="preserve"> and progress at the </w:t>
      </w:r>
      <w:r w:rsidR="00CB62F3">
        <w:rPr>
          <w:szCs w:val="22"/>
        </w:rPr>
        <w:t>initial stages of the</w:t>
      </w:r>
      <w:r w:rsidRPr="006450E6">
        <w:rPr>
          <w:szCs w:val="22"/>
        </w:rPr>
        <w:t xml:space="preserve"> </w:t>
      </w:r>
      <w:r w:rsidR="00CB62F3">
        <w:rPr>
          <w:szCs w:val="22"/>
        </w:rPr>
        <w:t xml:space="preserve">first </w:t>
      </w:r>
      <w:r w:rsidRPr="006450E6">
        <w:rPr>
          <w:szCs w:val="22"/>
        </w:rPr>
        <w:t>five-year pl</w:t>
      </w:r>
      <w:r>
        <w:rPr>
          <w:szCs w:val="22"/>
        </w:rPr>
        <w:t>an</w:t>
      </w:r>
      <w:r w:rsidRPr="00160D66" w:rsidR="002D6C89">
        <w:rPr>
          <w:szCs w:val="22"/>
        </w:rPr>
        <w:t>.</w:t>
      </w:r>
      <w:r>
        <w:rPr>
          <w:rStyle w:val="FootnoteReference"/>
          <w:szCs w:val="22"/>
          <w:shd w:val="clear" w:color="auto" w:fill="FFFFFF"/>
        </w:rPr>
        <w:footnoteReference w:id="68"/>
      </w:r>
      <w:r w:rsidRPr="00E02DC5">
        <w:rPr>
          <w:color w:val="000000"/>
          <w:szCs w:val="22"/>
          <w:shd w:val="clear" w:color="auto" w:fill="FFFFFF"/>
        </w:rPr>
        <w:t xml:space="preserve">  </w:t>
      </w:r>
    </w:p>
    <w:p w:rsidR="004C3C21" w:rsidP="000D7534" w14:paraId="4E0F1306" w14:textId="574E3C15">
      <w:pPr>
        <w:pStyle w:val="ParaNum"/>
        <w:widowControl/>
      </w:pPr>
      <w:r w:rsidRPr="00DA688D">
        <w:t>For</w:t>
      </w:r>
      <w:r w:rsidR="00E83CB1">
        <w:t xml:space="preserve"> the</w:t>
      </w:r>
      <w:r w:rsidRPr="00DA688D">
        <w:t xml:space="preserve"> filings due in 2018, carriers may provide an initial “estimate” for nodes and links based on</w:t>
      </w:r>
      <w:r>
        <w:t xml:space="preserve"> data generated by</w:t>
      </w:r>
      <w:r w:rsidRPr="00DA688D">
        <w:t xml:space="preserve"> generally available desktop software. </w:t>
      </w:r>
      <w:r>
        <w:t xml:space="preserve"> </w:t>
      </w:r>
      <w:r w:rsidRPr="00DA688D">
        <w:t xml:space="preserve">Where a carrier lacks sufficient internal digital data to comply with the 7.6-meter accuracy requirement for all or a portion of its </w:t>
      </w:r>
      <w:r>
        <w:t>filed</w:t>
      </w:r>
      <w:r w:rsidRPr="00DA688D">
        <w:t xml:space="preserve"> network</w:t>
      </w:r>
      <w:r>
        <w:t xml:space="preserve"> facilities</w:t>
      </w:r>
      <w:r w:rsidRPr="00DA688D">
        <w:t>, that carrier may submit estimated data at least as accurate as Google Earth (i.e., accurate to within 50 meters)</w:t>
      </w:r>
      <w:r>
        <w:rPr>
          <w:rStyle w:val="FootnoteReference"/>
          <w:sz w:val="22"/>
          <w:szCs w:val="22"/>
        </w:rPr>
        <w:footnoteReference w:id="69"/>
      </w:r>
      <w:r w:rsidRPr="00DA688D">
        <w:t xml:space="preserve"> and denote as estimates the relevant portion(s) of the network submitted.  Where the carrier chooses to provide an estimate, </w:t>
      </w:r>
      <w:r w:rsidRPr="003C33D9">
        <w:t>it must certify</w:t>
      </w:r>
      <w:r w:rsidR="00FA46BB">
        <w:t xml:space="preserve"> in the HUBB portal</w:t>
      </w:r>
      <w:r w:rsidRPr="003C33D9">
        <w:t>, at the time of filing, that it does not possess data meeting the 7.6-meter requirement</w:t>
      </w:r>
      <w:r w:rsidRPr="00DA688D">
        <w:t xml:space="preserve">.  Carriers must update any such estimated data no later than their filing due March 1, </w:t>
      </w:r>
      <w:r w:rsidRPr="00DA688D" w:rsidR="00E83CB1">
        <w:t>20</w:t>
      </w:r>
      <w:r w:rsidR="00E83CB1">
        <w:t>19</w:t>
      </w:r>
      <w:r w:rsidRPr="00DA688D">
        <w:t xml:space="preserve">, with data meeting the 7.6-meter requirement.  Similarly, any new data submitted starting in March 1, </w:t>
      </w:r>
      <w:r w:rsidRPr="00DA688D" w:rsidR="00E83CB1">
        <w:t>20</w:t>
      </w:r>
      <w:r w:rsidR="00E83CB1">
        <w:t>19</w:t>
      </w:r>
      <w:r>
        <w:rPr>
          <w:rStyle w:val="FootnoteReference"/>
          <w:sz w:val="22"/>
          <w:szCs w:val="22"/>
        </w:rPr>
        <w:footnoteReference w:id="70"/>
      </w:r>
      <w:r w:rsidRPr="00DA688D">
        <w:t xml:space="preserve"> (i.e., for network facilities deployed in </w:t>
      </w:r>
      <w:r w:rsidRPr="00DA688D" w:rsidR="00E83CB1">
        <w:t>201</w:t>
      </w:r>
      <w:r w:rsidR="00E83CB1">
        <w:t>8</w:t>
      </w:r>
      <w:r w:rsidRPr="00DA688D">
        <w:t>) and in subsequent filing years must meet the 7.6-meter accuracy requirement.  If a carrier currently has internal digital data in its possession for facilities deployed in 2017 or earlier that meet the accuracy requirement, it must file that data by July 1, 2018.</w:t>
      </w:r>
      <w:r>
        <w:rPr>
          <w:rStyle w:val="FootnoteReference"/>
        </w:rPr>
        <w:footnoteReference w:id="71"/>
      </w:r>
      <w:r w:rsidRPr="00DA688D">
        <w:t xml:space="preserve"> </w:t>
      </w:r>
    </w:p>
    <w:p w:rsidR="004C3C21" w:rsidP="000D7534" w14:paraId="3359A153" w14:textId="77777777">
      <w:pPr>
        <w:pStyle w:val="ParaNum"/>
        <w:widowControl/>
        <w:rPr>
          <w:szCs w:val="22"/>
        </w:rPr>
      </w:pPr>
      <w:r>
        <w:t xml:space="preserve">We reject ATA’s contention that information at the 7.6-meter level of accuracy is not necessary </w:t>
      </w:r>
      <w:r w:rsidR="0094128D">
        <w:t xml:space="preserve">for the purposes of </w:t>
      </w:r>
      <w:r w:rsidR="006529DF">
        <w:t xml:space="preserve">the </w:t>
      </w:r>
      <w:r w:rsidR="0094128D">
        <w:t>map collection</w:t>
      </w:r>
      <w:r>
        <w:t>.</w:t>
      </w:r>
      <w:r>
        <w:rPr>
          <w:rStyle w:val="FootnoteReference"/>
        </w:rPr>
        <w:footnoteReference w:id="72"/>
      </w:r>
      <w:r>
        <w:t xml:space="preserve">  </w:t>
      </w:r>
      <w:r w:rsidR="002D6C89">
        <w:t>T</w:t>
      </w:r>
      <w:r>
        <w:t xml:space="preserve">he Bureaus’ review of revised performance plans in 2020 alongside maps accurate to 7.6 meters provides an important backstop to ensure carriers maximize their commitments and service levels to Alaskans.  </w:t>
      </w:r>
      <w:r w:rsidRPr="00DA688D">
        <w:t xml:space="preserve">The 7.6-meter standard is critical for </w:t>
      </w:r>
      <w:r>
        <w:t xml:space="preserve">obtaining a complete picture of </w:t>
      </w:r>
      <w:r w:rsidRPr="00DA688D">
        <w:t>facilities’ locations in relation to other e</w:t>
      </w:r>
      <w:r>
        <w:t>xisting data.  It is a commonly-</w:t>
      </w:r>
      <w:r w:rsidRPr="00DA688D">
        <w:t>used mapping standard for Commission high-cost data,</w:t>
      </w:r>
      <w:r>
        <w:rPr>
          <w:rStyle w:val="FootnoteReference"/>
          <w:sz w:val="22"/>
          <w:szCs w:val="22"/>
        </w:rPr>
        <w:footnoteReference w:id="73"/>
      </w:r>
      <w:r w:rsidRPr="00DA688D">
        <w:t xml:space="preserve"> is necessary for the Bureaus to maintain compatibility with census boundary and road data for the census-block based Alaska Plan,</w:t>
      </w:r>
      <w:r>
        <w:rPr>
          <w:rStyle w:val="FootnoteReference"/>
        </w:rPr>
        <w:footnoteReference w:id="74"/>
      </w:r>
      <w:r w:rsidRPr="00DA688D">
        <w:t xml:space="preserve"> and </w:t>
      </w:r>
      <w:r w:rsidR="005F27DD">
        <w:t>will allow the Bureau to fully</w:t>
      </w:r>
      <w:r w:rsidRPr="00DA688D">
        <w:t xml:space="preserve"> identify duplicative facilities.</w:t>
      </w:r>
      <w:r>
        <w:rPr>
          <w:rStyle w:val="FootnoteReference"/>
          <w:sz w:val="22"/>
          <w:szCs w:val="22"/>
        </w:rPr>
        <w:footnoteReference w:id="75"/>
      </w:r>
      <w:r w:rsidRPr="00DA688D">
        <w:t xml:space="preserve">  </w:t>
      </w:r>
    </w:p>
    <w:p w:rsidR="004C3C21" w:rsidP="008D3D95" w14:paraId="108EC652" w14:textId="77777777">
      <w:pPr>
        <w:pStyle w:val="ParaNum"/>
        <w:widowControl/>
        <w:rPr>
          <w:szCs w:val="22"/>
        </w:rPr>
      </w:pPr>
      <w:r>
        <w:t>E</w:t>
      </w:r>
      <w:r w:rsidRPr="00DA688D">
        <w:t xml:space="preserve">ven in the absence of the relief provided here, we reject ATA’s argument that the </w:t>
      </w:r>
      <w:r>
        <w:t xml:space="preserve">burden of the </w:t>
      </w:r>
      <w:r w:rsidRPr="00DA688D" w:rsidR="00941C25">
        <w:t>7.6-meter</w:t>
      </w:r>
      <w:r w:rsidR="008A42D6">
        <w:t xml:space="preserve"> </w:t>
      </w:r>
      <w:r w:rsidRPr="00DA688D">
        <w:t xml:space="preserve">standard </w:t>
      </w:r>
      <w:r>
        <w:t>outweighs the benefit</w:t>
      </w:r>
      <w:r w:rsidRPr="00DA688D">
        <w:t xml:space="preserve"> because </w:t>
      </w:r>
      <w:r>
        <w:t>ATA</w:t>
      </w:r>
      <w:r w:rsidRPr="00DA688D">
        <w:t xml:space="preserve"> has not adequately demonstrated the scope of its burden to collect </w:t>
      </w:r>
      <w:r>
        <w:t>such</w:t>
      </w:r>
      <w:r w:rsidRPr="00DA688D">
        <w:t xml:space="preserve"> information.  ATA’s evidence that the 7.6</w:t>
      </w:r>
      <w:r w:rsidR="00282609">
        <w:t>-</w:t>
      </w:r>
      <w:r w:rsidRPr="00DA688D">
        <w:t>meter level of accuracy is too burdensome largely relies on two carrier</w:t>
      </w:r>
      <w:r w:rsidR="00FF06DF">
        <w:t>-</w:t>
      </w:r>
      <w:r w:rsidRPr="00DA688D">
        <w:t xml:space="preserve">employee declarations, stating that </w:t>
      </w:r>
      <w:r w:rsidRPr="3BBA0C70">
        <w:rPr>
          <w:i/>
        </w:rPr>
        <w:t>not all</w:t>
      </w:r>
      <w:r w:rsidRPr="00DA688D">
        <w:t xml:space="preserve"> of their data is stored at the 7.6</w:t>
      </w:r>
      <w:r w:rsidR="00282609">
        <w:t>-</w:t>
      </w:r>
      <w:r w:rsidRPr="00DA688D">
        <w:t>meter accuracy level.</w:t>
      </w:r>
      <w:r>
        <w:rPr>
          <w:rStyle w:val="FootnoteReference"/>
        </w:rPr>
        <w:footnoteReference w:id="76"/>
      </w:r>
      <w:r w:rsidRPr="00DA688D">
        <w:t xml:space="preserve">  ATA also notes that the FAA requires collection of some cell tower information at </w:t>
      </w:r>
      <w:r w:rsidR="00C83B48">
        <w:t>a</w:t>
      </w:r>
      <w:r w:rsidRPr="00DA688D" w:rsidR="00C83B48">
        <w:t xml:space="preserve"> </w:t>
      </w:r>
      <w:r w:rsidRPr="00DA688D">
        <w:t>6.1 meter accuracy level.</w:t>
      </w:r>
      <w:r>
        <w:rPr>
          <w:rStyle w:val="FootnoteReference"/>
        </w:rPr>
        <w:footnoteReference w:id="77"/>
      </w:r>
      <w:r w:rsidRPr="00DA688D">
        <w:t xml:space="preserve">  Moreover, </w:t>
      </w:r>
      <w:r>
        <w:t>a</w:t>
      </w:r>
      <w:r w:rsidRPr="00AF5490">
        <w:t xml:space="preserve">ll of Alaska has </w:t>
      </w:r>
      <w:r w:rsidRPr="00DA688D">
        <w:t>wide area augmentation system (WAAS) coverage</w:t>
      </w:r>
      <w:r w:rsidRPr="00AF5490">
        <w:t xml:space="preserve"> 100</w:t>
      </w:r>
      <w:r>
        <w:t xml:space="preserve"> percent</w:t>
      </w:r>
      <w:r w:rsidRPr="00AF5490">
        <w:t xml:space="preserve"> of the time with the exception of the southwestern most Aleutian Islands, which has this coverage at least 95</w:t>
      </w:r>
      <w:r>
        <w:t xml:space="preserve"> percent</w:t>
      </w:r>
      <w:r w:rsidRPr="00AF5490">
        <w:t xml:space="preserve"> of the time</w:t>
      </w:r>
      <w:r w:rsidRPr="00DA688D">
        <w:t xml:space="preserve">, allowing use by non-expert personnel of inexpensive handheld devices accurate up to three </w:t>
      </w:r>
      <w:r>
        <w:t>meters</w:t>
      </w:r>
      <w:r w:rsidRPr="00DA688D">
        <w:t>.</w:t>
      </w:r>
      <w:r>
        <w:rPr>
          <w:rStyle w:val="FootnoteReference"/>
        </w:rPr>
        <w:footnoteReference w:id="78"/>
      </w:r>
      <w:r w:rsidRPr="00DA688D">
        <w:t xml:space="preserve">  </w:t>
      </w:r>
    </w:p>
    <w:p w:rsidR="004C3C21" w:rsidP="000D7534" w14:paraId="6829DA2F" w14:textId="77777777">
      <w:pPr>
        <w:pStyle w:val="ParaNum"/>
        <w:widowControl/>
      </w:pPr>
      <w:r w:rsidRPr="00DA688D">
        <w:t>For similar reasons, we also reject ATA’s counter</w:t>
      </w:r>
      <w:r>
        <w:t>-</w:t>
      </w:r>
      <w:r w:rsidRPr="00DA688D">
        <w:t>proposal that the Bureaus collect data at the 1000-meter accuracy level.</w:t>
      </w:r>
      <w:r>
        <w:rPr>
          <w:rStyle w:val="FootnoteReference"/>
        </w:rPr>
        <w:footnoteReference w:id="79"/>
      </w:r>
      <w:r w:rsidRPr="00DA688D">
        <w:t xml:space="preserve"> </w:t>
      </w:r>
      <w:r>
        <w:t xml:space="preserve"> </w:t>
      </w:r>
      <w:r w:rsidRPr="00DA688D">
        <w:t xml:space="preserve">ATA’s proposed standard is far too inaccurate for the </w:t>
      </w:r>
      <w:r>
        <w:t>map data collection</w:t>
      </w:r>
      <w:r w:rsidRPr="00DA688D">
        <w:t xml:space="preserve">, as two filers filing the same node could show that node to be more than a mile apart from each other, which could </w:t>
      </w:r>
      <w:r>
        <w:t xml:space="preserve">significantly </w:t>
      </w:r>
      <w:r w:rsidRPr="00DA688D">
        <w:t>affect Bureaus’ understanding of which census blocks have what facilities and what facilities are duplicates.  Moreover, as noted, generally available desktop applications provide sufficient accuracy to meet the 50</w:t>
      </w:r>
      <w:r>
        <w:t>-</w:t>
      </w:r>
      <w:r w:rsidRPr="00DA688D">
        <w:t>meter estimate standard</w:t>
      </w:r>
      <w:r>
        <w:t xml:space="preserve"> described above.  </w:t>
      </w:r>
    </w:p>
    <w:p w:rsidR="00B81FC2" w:rsidRPr="005243C4" w:rsidP="000D7534" w14:paraId="4BE0974A" w14:textId="6F5B6291">
      <w:pPr>
        <w:pStyle w:val="ParaNum"/>
        <w:widowControl/>
      </w:pPr>
      <w:r w:rsidRPr="00DA688D">
        <w:rPr>
          <w:i/>
          <w:iCs/>
        </w:rPr>
        <w:t>Community</w:t>
      </w:r>
      <w:r w:rsidRPr="00CE05ED">
        <w:rPr>
          <w:i/>
        </w:rPr>
        <w:t xml:space="preserve"> Anchor Institutions</w:t>
      </w:r>
      <w:r>
        <w:t xml:space="preserve">.  We grant the Petition in part to clarify the collection of CAI data.  We clarify that carriers need only submit those CAIs and associated links that fall within the statutory definition of a CAI.  Furthermore, in the initial collection due July 1, </w:t>
      </w:r>
      <w:r w:rsidR="008E50E9">
        <w:t xml:space="preserve">2018, </w:t>
      </w:r>
      <w:r>
        <w:t xml:space="preserve">carriers must submit all CAIs served by fiber or wireless connections.  In subsequent years, carriers must submit any additional CAIs and associated links served by fiber or wireless connections that are being used or will be used to </w:t>
      </w:r>
      <w:r w:rsidR="00F80B3C">
        <w:t>support their service in eligible areas</w:t>
      </w:r>
      <w:r>
        <w:t xml:space="preserve">.  </w:t>
      </w:r>
      <w:r w:rsidRPr="005F6545">
        <w:t xml:space="preserve">To the extent </w:t>
      </w:r>
      <w:r w:rsidRPr="006730F1">
        <w:t>that CAI data does not fall under these limiting</w:t>
      </w:r>
      <w:r w:rsidRPr="00990269">
        <w:t xml:space="preserve"> criteria, it is not reportable.  We otherwise deny the</w:t>
      </w:r>
      <w:r w:rsidRPr="00FF737C">
        <w:t xml:space="preserve"> Petition with respect to ATA’s request to limit the submission of CAI data. </w:t>
      </w:r>
    </w:p>
    <w:p w:rsidR="00B81FC2" w:rsidP="000D7534" w14:paraId="0218BCBE" w14:textId="77777777">
      <w:pPr>
        <w:pStyle w:val="ParaNum"/>
        <w:widowControl/>
      </w:pPr>
      <w:r>
        <w:t xml:space="preserve">First, we grant the Petition in part to clarify that reportable CAIs are limited to those CAIs that fall within the definition of CAI in </w:t>
      </w:r>
      <w:r w:rsidRPr="00DA688D">
        <w:t>47 U.S.C. § 1305(b)(3)(A)</w:t>
      </w:r>
      <w:r>
        <w:t xml:space="preserve"> that</w:t>
      </w:r>
      <w:r w:rsidRPr="00DA688D">
        <w:t xml:space="preserve"> the Commission adopted in the </w:t>
      </w:r>
      <w:r w:rsidRPr="00DA688D">
        <w:rPr>
          <w:i/>
        </w:rPr>
        <w:t>USF/ICC Transformation Order</w:t>
      </w:r>
      <w:r>
        <w:t>.</w:t>
      </w:r>
      <w:r>
        <w:rPr>
          <w:vertAlign w:val="superscript"/>
        </w:rPr>
        <w:footnoteReference w:id="80"/>
      </w:r>
      <w:r>
        <w:t xml:space="preserve"> </w:t>
      </w:r>
      <w:r w:rsidRPr="00DA688D">
        <w:t xml:space="preserve"> </w:t>
      </w:r>
      <w:r>
        <w:t xml:space="preserve">As such, this data collection is </w:t>
      </w:r>
      <w:r w:rsidRPr="007A22E8">
        <w:t xml:space="preserve">limited to </w:t>
      </w:r>
      <w:r>
        <w:t>the type of</w:t>
      </w:r>
      <w:r w:rsidRPr="007A22E8">
        <w:t xml:space="preserve"> </w:t>
      </w:r>
      <w:r>
        <w:t>CAIs</w:t>
      </w:r>
      <w:r w:rsidRPr="007A22E8">
        <w:t xml:space="preserve"> </w:t>
      </w:r>
      <w:r>
        <w:t>that</w:t>
      </w:r>
      <w:r w:rsidRPr="007A22E8">
        <w:t xml:space="preserve"> carriers would report pursuant to 47 CFR § 54.313(f)(1)(ii)</w:t>
      </w:r>
      <w:r>
        <w:t>.</w:t>
      </w:r>
      <w:r>
        <w:rPr>
          <w:vertAlign w:val="superscript"/>
        </w:rPr>
        <w:footnoteReference w:id="81"/>
      </w:r>
      <w:r>
        <w:t xml:space="preserve">  </w:t>
      </w:r>
      <w:r w:rsidRPr="00DA688D">
        <w:t xml:space="preserve">Because rate-of-return carriers are already reporting the addresses of </w:t>
      </w:r>
      <w:r>
        <w:t xml:space="preserve">many of </w:t>
      </w:r>
      <w:r w:rsidRPr="00DA688D">
        <w:t xml:space="preserve">these </w:t>
      </w:r>
      <w:r>
        <w:t>CAIs</w:t>
      </w:r>
      <w:r w:rsidRPr="00DA688D">
        <w:t xml:space="preserve"> on their FCC Form 481, carriers may face a reduced burden when submitting latitude and longitude of these same </w:t>
      </w:r>
      <w:r>
        <w:t>CAIs</w:t>
      </w:r>
      <w:r w:rsidRPr="00DA688D">
        <w:t xml:space="preserve"> and the links connecting these institutions to other nodes in the their networks for mapping purposes.</w:t>
      </w:r>
      <w:r>
        <w:rPr>
          <w:rStyle w:val="FootnoteReference"/>
        </w:rPr>
        <w:footnoteReference w:id="82"/>
      </w:r>
      <w:r>
        <w:t xml:space="preserve">  </w:t>
      </w:r>
    </w:p>
    <w:p w:rsidR="00B81FC2" w:rsidP="000D7534" w14:paraId="0A0D63BF" w14:textId="69702FA4">
      <w:pPr>
        <w:pStyle w:val="ParaNum"/>
        <w:widowControl/>
      </w:pPr>
      <w:r>
        <w:t xml:space="preserve">Second, consistent with the </w:t>
      </w:r>
      <w:r w:rsidRPr="00D227FD">
        <w:rPr>
          <w:i/>
        </w:rPr>
        <w:t xml:space="preserve">Alaska </w:t>
      </w:r>
      <w:r w:rsidR="0058616F">
        <w:rPr>
          <w:i/>
        </w:rPr>
        <w:t xml:space="preserve">Plan </w:t>
      </w:r>
      <w:r w:rsidRPr="00D227FD">
        <w:rPr>
          <w:i/>
        </w:rPr>
        <w:t>Order</w:t>
      </w:r>
      <w:r>
        <w:t xml:space="preserve">, </w:t>
      </w:r>
      <w:r w:rsidR="00FF737C">
        <w:t>we make clear that</w:t>
      </w:r>
      <w:r w:rsidR="001867D2">
        <w:t xml:space="preserve"> </w:t>
      </w:r>
      <w:r w:rsidR="00FF737C">
        <w:t>i</w:t>
      </w:r>
      <w:r>
        <w:t xml:space="preserve">n the initial collection, carriers must submit </w:t>
      </w:r>
      <w:r w:rsidR="00D64C8B">
        <w:t xml:space="preserve">data regarding </w:t>
      </w:r>
      <w:r>
        <w:t>any CAIs served by fiber or wireless connections.  This limitation is consistent with the plain language of section 54.316(a)(6), which states that Alaska Plan participants “shall submit fiber network maps or microwave network maps covering eligible areas”</w:t>
      </w:r>
      <w:r>
        <w:rPr>
          <w:rStyle w:val="FootnoteReference"/>
        </w:rPr>
        <w:footnoteReference w:id="83"/>
      </w:r>
      <w:r>
        <w:t xml:space="preserve"> for the purpose of tracking carriers’ access to these facilities that would allow them to provide 10/1 Mbps for all Alaskans.</w:t>
      </w:r>
      <w:r>
        <w:rPr>
          <w:rStyle w:val="FootnoteReference"/>
        </w:rPr>
        <w:footnoteReference w:id="84"/>
      </w:r>
      <w:r>
        <w:t xml:space="preserve">  In subsequent years, carriers must submit CAIs served by connections that “are or will be used” to </w:t>
      </w:r>
      <w:r w:rsidR="00FA46BB">
        <w:t>support service in their eligible areas</w:t>
      </w:r>
      <w:r>
        <w:t>.</w:t>
      </w:r>
      <w:r>
        <w:rPr>
          <w:rStyle w:val="FootnoteReference"/>
        </w:rPr>
        <w:footnoteReference w:id="85"/>
      </w:r>
      <w:r>
        <w:t xml:space="preserve">  This would include, at a minimum, those instances where the carrier has actual plans to use the CAI and links to extend the network.</w:t>
      </w:r>
      <w:r>
        <w:rPr>
          <w:rStyle w:val="FootnoteReference"/>
        </w:rPr>
        <w:footnoteReference w:id="86"/>
      </w:r>
      <w:r w:rsidRPr="00C736DF">
        <w:t xml:space="preserve"> </w:t>
      </w:r>
      <w:r>
        <w:t xml:space="preserve"> CAIs served by connections that “are or will be used” </w:t>
      </w:r>
      <w:r w:rsidR="00FA46BB">
        <w:t>in this manner</w:t>
      </w:r>
      <w:r>
        <w:t xml:space="preserve"> are in fact “middle mile” and/or “backhaul” within the meaning of the </w:t>
      </w:r>
      <w:r w:rsidRPr="00636F6A">
        <w:rPr>
          <w:i/>
        </w:rPr>
        <w:t>Alaska Plan</w:t>
      </w:r>
      <w:r>
        <w:t xml:space="preserve"> </w:t>
      </w:r>
      <w:r w:rsidRPr="00F234FB">
        <w:rPr>
          <w:i/>
        </w:rPr>
        <w:t>Order</w:t>
      </w:r>
      <w:r>
        <w:t xml:space="preserve"> and are therefore subject to collection.</w:t>
      </w:r>
      <w:r>
        <w:rPr>
          <w:rStyle w:val="FootnoteReference"/>
        </w:rPr>
        <w:footnoteReference w:id="87"/>
      </w:r>
      <w:r>
        <w:t xml:space="preserve">  CAIs connected to high-capacity links may be used to expand service to underserved and unserved communities.</w:t>
      </w:r>
      <w:r>
        <w:rPr>
          <w:rStyle w:val="FootnoteReference"/>
        </w:rPr>
        <w:footnoteReference w:id="88"/>
      </w:r>
      <w:r>
        <w:t xml:space="preserve">  Consequently, information regarding CAIs connected by such facilities is necessary for the Commission to understand whether </w:t>
      </w:r>
      <w:r w:rsidRPr="009574E5">
        <w:t xml:space="preserve">adequate facilities </w:t>
      </w:r>
      <w:r>
        <w:t>exist</w:t>
      </w:r>
      <w:r w:rsidRPr="009574E5">
        <w:t xml:space="preserve"> t</w:t>
      </w:r>
      <w:r>
        <w:t>o support additional last-mile connections and for the evaluation of carriers’ performance—consistent with the purpose of the map collection.</w:t>
      </w:r>
      <w:r w:rsidRPr="0089592C">
        <w:rPr>
          <w:rStyle w:val="FootnoteReference"/>
        </w:rPr>
        <w:t xml:space="preserve"> </w:t>
      </w:r>
      <w:r>
        <w:rPr>
          <w:rStyle w:val="FootnoteReference"/>
        </w:rPr>
        <w:footnoteReference w:id="89"/>
      </w:r>
      <w:r>
        <w:t xml:space="preserve">  </w:t>
      </w:r>
    </w:p>
    <w:p w:rsidR="00B81FC2" w:rsidP="000D7534" w14:paraId="51F3EA38" w14:textId="797B17AC">
      <w:pPr>
        <w:pStyle w:val="ParaNum"/>
        <w:widowControl/>
      </w:pPr>
      <w:r>
        <w:t>We deny ATA’s Petition to the extent it seeks to exclude the reporting of CAIs which meet these criteria.  ATA argues that all CAIs</w:t>
      </w:r>
      <w:r w:rsidRPr="6546881D">
        <w:t xml:space="preserve"> </w:t>
      </w:r>
      <w:r>
        <w:t>are “last-mile</w:t>
      </w:r>
      <w:r w:rsidRPr="6546881D">
        <w:t xml:space="preserve">” </w:t>
      </w:r>
      <w:r>
        <w:t>facilities</w:t>
      </w:r>
      <w:r w:rsidRPr="6546881D">
        <w:t xml:space="preserve"> </w:t>
      </w:r>
      <w:r>
        <w:t>and therefore should not be part of the map collection except in limited circumstances.</w:t>
      </w:r>
      <w:r>
        <w:rPr>
          <w:vertAlign w:val="superscript"/>
        </w:rPr>
        <w:footnoteReference w:id="90"/>
      </w:r>
      <w:r>
        <w:t xml:space="preserve">  ATA’s position is not consistent with</w:t>
      </w:r>
      <w:r w:rsidR="00FF737C">
        <w:t xml:space="preserve"> </w:t>
      </w:r>
      <w:r>
        <w:t xml:space="preserve">the </w:t>
      </w:r>
      <w:r w:rsidRPr="00012CC4">
        <w:rPr>
          <w:i/>
        </w:rPr>
        <w:t>Alaska Plan Order</w:t>
      </w:r>
      <w:r>
        <w:t>.  ATA argues that the Bureaus’ reliance on aggregation points to justify reporting some nodes “proves too much” because a “home’s or business’s Wi-Fi router is an initial aggregation point.”</w:t>
      </w:r>
      <w:r>
        <w:rPr>
          <w:rStyle w:val="FootnoteReference"/>
        </w:rPr>
        <w:footnoteReference w:id="91"/>
      </w:r>
      <w:r>
        <w:t xml:space="preserve">  But ATA’s argument contravenes its own cited precedent, which separates the network based on points of traffic aggregation with similar network demand.</w:t>
      </w:r>
      <w:r w:rsidRPr="00D77A96">
        <w:rPr>
          <w:rStyle w:val="FootnoteReference"/>
        </w:rPr>
        <w:t xml:space="preserve"> </w:t>
      </w:r>
      <w:r>
        <w:rPr>
          <w:rStyle w:val="FootnoteReference"/>
        </w:rPr>
        <w:footnoteReference w:id="92"/>
      </w:r>
      <w:r>
        <w:t xml:space="preserve">  In many instances, CAIs’ position in carriers’ network architecture is more akin to wireless towers aggregating community-wide traffic than a last-mile home or smartphone user.  Indeed, ATA provides a conceptual network map in its Petition equating schools with wireless towers.</w:t>
      </w:r>
      <w:r>
        <w:rPr>
          <w:rStyle w:val="FootnoteReference"/>
        </w:rPr>
        <w:footnoteReference w:id="93"/>
      </w:r>
      <w:r>
        <w:t xml:space="preserve">  This model and the ACAM are consistent with the understanding that both a CAI and a wireless tower can and do aggregate community-wide multi-user traffic.</w:t>
      </w:r>
      <w:r>
        <w:rPr>
          <w:rStyle w:val="FootnoteReference"/>
        </w:rPr>
        <w:footnoteReference w:id="94"/>
      </w:r>
      <w:r>
        <w:t xml:space="preserve">  In contrast, a home or small business Wi-Fi router typically serves a single end-user location </w:t>
      </w:r>
      <w:r w:rsidRPr="00D91918">
        <w:t>with only a handful of end</w:t>
      </w:r>
      <w:r>
        <w:t>-</w:t>
      </w:r>
      <w:r w:rsidRPr="00D91918">
        <w:t xml:space="preserve">users, </w:t>
      </w:r>
      <w:r>
        <w:t>and it does not aggregate community-wide multi-user traffic.</w:t>
      </w:r>
      <w:r>
        <w:rPr>
          <w:rStyle w:val="FootnoteReference"/>
        </w:rPr>
        <w:footnoteReference w:id="95"/>
      </w:r>
      <w:r>
        <w:t xml:space="preserve">  </w:t>
      </w:r>
    </w:p>
    <w:p w:rsidR="00B81FC2" w:rsidP="000D7534" w14:paraId="1B6C5AF0" w14:textId="77777777">
      <w:pPr>
        <w:pStyle w:val="ParaNum"/>
        <w:widowControl/>
      </w:pPr>
      <w:r w:rsidRPr="003F015F">
        <w:t>In light of the for</w:t>
      </w:r>
      <w:r>
        <w:t>e</w:t>
      </w:r>
      <w:r w:rsidRPr="003F015F">
        <w:t>going discussion</w:t>
      </w:r>
      <w:r>
        <w:t xml:space="preserve">, </w:t>
      </w:r>
      <w:r w:rsidRPr="003F015F">
        <w:t xml:space="preserve">we reject </w:t>
      </w:r>
      <w:r>
        <w:t>ATA’s counter-proposal to limit the collection of nodes to cell towers and CAIs that are outside of the exchange but connect to a central office in another exchange.</w:t>
      </w:r>
      <w:r>
        <w:rPr>
          <w:rStyle w:val="FootnoteReference"/>
        </w:rPr>
        <w:footnoteReference w:id="96"/>
      </w:r>
      <w:r>
        <w:t xml:space="preserve">  In part because of the vast size of many exchanges in Alaska, knowing whether the central office in an exchange is fiber-fed does not provide a sufficiently granular picture of the potential middle-mile “weak points” or capabilities that could affect the ability of a carrier to meet its commitments or future commitments.</w:t>
      </w:r>
      <w:r>
        <w:rPr>
          <w:rStyle w:val="FootnoteReference"/>
        </w:rPr>
        <w:footnoteReference w:id="97"/>
      </w:r>
      <w:r>
        <w:t xml:space="preserve">  </w:t>
      </w:r>
    </w:p>
    <w:p w:rsidR="0019495C" w:rsidRPr="00163D14" w:rsidP="008D3D95" w14:paraId="645D975B" w14:textId="77777777">
      <w:pPr>
        <w:pStyle w:val="Heading1"/>
        <w:widowControl/>
        <w:rPr>
          <w:rFonts w:ascii="Times New Roman" w:hAnsi="Times New Roman"/>
          <w:szCs w:val="22"/>
        </w:rPr>
      </w:pPr>
      <w:bookmarkStart w:id="32" w:name="_Toc373849373"/>
      <w:bookmarkStart w:id="33" w:name="_Toc373849431"/>
      <w:bookmarkStart w:id="34" w:name="_Toc379291451"/>
      <w:bookmarkStart w:id="35" w:name="_Toc381719692"/>
      <w:bookmarkStart w:id="36" w:name="_Toc507086281"/>
      <w:bookmarkStart w:id="37" w:name="_Toc507086324"/>
      <w:bookmarkStart w:id="38" w:name="_Toc507576796"/>
      <w:r w:rsidRPr="00163D14">
        <w:rPr>
          <w:rFonts w:ascii="Times New Roman" w:hAnsi="Times New Roman"/>
          <w:szCs w:val="22"/>
        </w:rPr>
        <w:t>Ordering clauses</w:t>
      </w:r>
      <w:bookmarkEnd w:id="32"/>
      <w:bookmarkEnd w:id="33"/>
      <w:bookmarkEnd w:id="34"/>
      <w:bookmarkEnd w:id="35"/>
      <w:bookmarkEnd w:id="36"/>
      <w:bookmarkEnd w:id="37"/>
      <w:bookmarkEnd w:id="38"/>
    </w:p>
    <w:p w:rsidR="00272C1D" w:rsidRPr="00163D14" w14:paraId="7584653B" w14:textId="77777777">
      <w:pPr>
        <w:pStyle w:val="ParaNum"/>
        <w:widowControl/>
        <w:rPr>
          <w:szCs w:val="22"/>
        </w:rPr>
      </w:pPr>
      <w:r w:rsidRPr="00163D14">
        <w:rPr>
          <w:szCs w:val="22"/>
        </w:rPr>
        <w:t>Accordingly, IT IS ORDERED</w:t>
      </w:r>
      <w:r w:rsidRPr="00163D14" w:rsidR="0087620D">
        <w:rPr>
          <w:szCs w:val="22"/>
        </w:rPr>
        <w:t>,</w:t>
      </w:r>
      <w:r w:rsidRPr="00163D14" w:rsidR="00AD054A">
        <w:rPr>
          <w:szCs w:val="22"/>
        </w:rPr>
        <w:t xml:space="preserve"> </w:t>
      </w:r>
      <w:r w:rsidRPr="00163D14" w:rsidR="004404E8">
        <w:rPr>
          <w:szCs w:val="22"/>
        </w:rPr>
        <w:t xml:space="preserve">pursuant to </w:t>
      </w:r>
      <w:r w:rsidR="003602A2">
        <w:rPr>
          <w:szCs w:val="22"/>
        </w:rPr>
        <w:t xml:space="preserve">the authority contained in sections 1-4 and 254 of the Communications Act of 1934, as amended, 47 U.S.C. </w:t>
      </w:r>
      <w:r w:rsidR="004E4131">
        <w:rPr>
          <w:szCs w:val="22"/>
        </w:rPr>
        <w:t xml:space="preserve">§§ 151-154 and 254, and sections 0.91, </w:t>
      </w:r>
      <w:r w:rsidR="00B64910">
        <w:rPr>
          <w:szCs w:val="22"/>
        </w:rPr>
        <w:t>0</w:t>
      </w:r>
      <w:r w:rsidR="00C01ABD">
        <w:rPr>
          <w:szCs w:val="22"/>
        </w:rPr>
        <w:t xml:space="preserve">.131, </w:t>
      </w:r>
      <w:r w:rsidR="004E4131">
        <w:rPr>
          <w:szCs w:val="22"/>
        </w:rPr>
        <w:t xml:space="preserve">0.291, </w:t>
      </w:r>
      <w:r w:rsidR="00C01ABD">
        <w:rPr>
          <w:szCs w:val="22"/>
        </w:rPr>
        <w:t xml:space="preserve">0.311, </w:t>
      </w:r>
      <w:r w:rsidR="004E4131">
        <w:rPr>
          <w:szCs w:val="22"/>
        </w:rPr>
        <w:t xml:space="preserve">and 1.106 of the Commission’s rules, 47 CFR §§ </w:t>
      </w:r>
      <w:r w:rsidR="00B64910">
        <w:rPr>
          <w:szCs w:val="22"/>
        </w:rPr>
        <w:t>0.91, 0.131, 0.291, 0.311, and 1.106</w:t>
      </w:r>
      <w:r w:rsidR="004E4131">
        <w:rPr>
          <w:szCs w:val="22"/>
        </w:rPr>
        <w:t xml:space="preserve">, </w:t>
      </w:r>
      <w:r w:rsidR="000E29F1">
        <w:rPr>
          <w:szCs w:val="22"/>
        </w:rPr>
        <w:t xml:space="preserve">and the delegated authority contained in the </w:t>
      </w:r>
      <w:r w:rsidRPr="00D227FD" w:rsidR="000E29F1">
        <w:rPr>
          <w:i/>
          <w:szCs w:val="22"/>
        </w:rPr>
        <w:t>Alaska Plan Order</w:t>
      </w:r>
      <w:r w:rsidRPr="00D227FD" w:rsidR="000E29F1">
        <w:rPr>
          <w:szCs w:val="22"/>
        </w:rPr>
        <w:t xml:space="preserve">, </w:t>
      </w:r>
      <w:r w:rsidRPr="00D227FD" w:rsidR="00196859">
        <w:rPr>
          <w:szCs w:val="22"/>
        </w:rPr>
        <w:t xml:space="preserve">31 FCC Rcd </w:t>
      </w:r>
      <w:r w:rsidRPr="00641F59" w:rsidR="0092355E">
        <w:rPr>
          <w:szCs w:val="22"/>
        </w:rPr>
        <w:t xml:space="preserve">10139, </w:t>
      </w:r>
      <w:r w:rsidRPr="00D227FD" w:rsidR="00196859">
        <w:rPr>
          <w:szCs w:val="22"/>
        </w:rPr>
        <w:t>10158, 10166, 10172-73, paras. 60, 85, 102</w:t>
      </w:r>
      <w:r w:rsidRPr="00641F59" w:rsidR="00196859">
        <w:rPr>
          <w:szCs w:val="22"/>
        </w:rPr>
        <w:t>,</w:t>
      </w:r>
      <w:r w:rsidR="000E29F1">
        <w:rPr>
          <w:szCs w:val="22"/>
        </w:rPr>
        <w:t xml:space="preserve"> </w:t>
      </w:r>
      <w:r w:rsidR="004E4131">
        <w:rPr>
          <w:szCs w:val="22"/>
        </w:rPr>
        <w:t>that ATA’s Petition for Reconsideration is GRANTED IN PART AND DENIED IN PART</w:t>
      </w:r>
      <w:r w:rsidR="000E29F1">
        <w:rPr>
          <w:szCs w:val="22"/>
        </w:rPr>
        <w:t>, to the extent provided herein</w:t>
      </w:r>
      <w:r w:rsidR="004E4131">
        <w:rPr>
          <w:szCs w:val="22"/>
        </w:rPr>
        <w:t>.</w:t>
      </w:r>
    </w:p>
    <w:p w:rsidR="00736272" w:rsidRPr="00163D14" w14:paraId="732C8D34" w14:textId="77777777">
      <w:pPr>
        <w:pStyle w:val="ParaNum"/>
        <w:keepNext/>
        <w:widowControl/>
        <w:spacing w:before="120"/>
        <w:rPr>
          <w:szCs w:val="22"/>
        </w:rPr>
      </w:pPr>
      <w:r w:rsidRPr="00163D14">
        <w:rPr>
          <w:szCs w:val="22"/>
        </w:rPr>
        <w:t xml:space="preserve">IT IS FURTHER ORDERED that </w:t>
      </w:r>
      <w:r w:rsidRPr="00163D14" w:rsidR="00FE6038">
        <w:rPr>
          <w:szCs w:val="22"/>
        </w:rPr>
        <w:t>pursuant to section 1.102(b)(1) of the Commission’s rules, 47 C</w:t>
      </w:r>
      <w:r w:rsidRPr="00163D14" w:rsidR="001D25D2">
        <w:rPr>
          <w:szCs w:val="22"/>
        </w:rPr>
        <w:t xml:space="preserve">FR </w:t>
      </w:r>
      <w:r w:rsidRPr="00163D14" w:rsidR="00FE6038">
        <w:rPr>
          <w:szCs w:val="22"/>
        </w:rPr>
        <w:t>§ 1.102(b)(1), this Order SHALL BE EFFECTIVE upon release.</w:t>
      </w:r>
    </w:p>
    <w:p w:rsidR="00272C1D" w:rsidRPr="00163D14" w:rsidP="000D7534" w14:paraId="0F31FF00" w14:textId="77777777">
      <w:pPr>
        <w:keepNext/>
        <w:widowControl/>
        <w:autoSpaceDE w:val="0"/>
        <w:autoSpaceDN w:val="0"/>
        <w:adjustRightInd w:val="0"/>
        <w:spacing w:after="120"/>
        <w:rPr>
          <w:szCs w:val="22"/>
        </w:rPr>
      </w:pPr>
    </w:p>
    <w:p w:rsidR="00277E20" w:rsidRPr="00163D14" w:rsidP="000D7534" w14:paraId="0C106743" w14:textId="77777777">
      <w:pPr>
        <w:keepNext/>
        <w:keepLines/>
        <w:widowControl/>
        <w:spacing w:after="100" w:afterAutospacing="1"/>
        <w:ind w:left="2880" w:firstLine="720"/>
        <w:rPr>
          <w:szCs w:val="22"/>
        </w:rPr>
      </w:pPr>
      <w:r w:rsidRPr="00163D14">
        <w:rPr>
          <w:szCs w:val="22"/>
        </w:rPr>
        <w:t>FEDERAL COMMUNICATIONS COMMISSION</w:t>
      </w:r>
    </w:p>
    <w:p w:rsidR="00A30E96" w:rsidRPr="00163D14" w:rsidP="000D7534" w14:paraId="6C563B05" w14:textId="1BB1666D">
      <w:pPr>
        <w:keepNext/>
        <w:keepLines/>
        <w:widowControl/>
        <w:rPr>
          <w:szCs w:val="22"/>
        </w:rPr>
      </w:pPr>
      <w:r w:rsidRPr="00163D14">
        <w:rPr>
          <w:szCs w:val="22"/>
        </w:rPr>
        <w:tab/>
      </w:r>
      <w:r w:rsidRPr="00163D14">
        <w:rPr>
          <w:szCs w:val="22"/>
        </w:rPr>
        <w:tab/>
      </w:r>
      <w:r w:rsidRPr="00163D14">
        <w:rPr>
          <w:szCs w:val="22"/>
        </w:rPr>
        <w:tab/>
      </w:r>
      <w:r w:rsidRPr="00163D14">
        <w:rPr>
          <w:szCs w:val="22"/>
        </w:rPr>
        <w:tab/>
      </w:r>
      <w:r w:rsidR="00A32900">
        <w:rPr>
          <w:szCs w:val="22"/>
        </w:rPr>
        <w:tab/>
      </w:r>
      <w:r w:rsidRPr="00163D14" w:rsidR="00A55177">
        <w:rPr>
          <w:szCs w:val="22"/>
        </w:rPr>
        <w:t xml:space="preserve">Kris </w:t>
      </w:r>
      <w:r w:rsidRPr="00163D14" w:rsidR="004404E8">
        <w:rPr>
          <w:szCs w:val="22"/>
        </w:rPr>
        <w:t xml:space="preserve">Anne </w:t>
      </w:r>
      <w:r w:rsidRPr="00163D14" w:rsidR="00A55177">
        <w:rPr>
          <w:szCs w:val="22"/>
        </w:rPr>
        <w:t>M</w:t>
      </w:r>
      <w:r w:rsidRPr="00163D14" w:rsidR="0045043A">
        <w:rPr>
          <w:szCs w:val="22"/>
        </w:rPr>
        <w:t>onteith</w:t>
      </w:r>
    </w:p>
    <w:p w:rsidR="000B4AB7" w:rsidRPr="00163D14" w:rsidP="000D7534" w14:paraId="43232C2C" w14:textId="7FB335CA">
      <w:pPr>
        <w:keepNext/>
        <w:keepLines/>
        <w:widowControl/>
        <w:rPr>
          <w:szCs w:val="22"/>
        </w:rPr>
      </w:pPr>
      <w:r w:rsidRPr="00163D14">
        <w:rPr>
          <w:szCs w:val="22"/>
        </w:rPr>
        <w:tab/>
      </w:r>
      <w:r w:rsidRPr="00163D14">
        <w:rPr>
          <w:szCs w:val="22"/>
        </w:rPr>
        <w:tab/>
      </w:r>
      <w:r w:rsidRPr="00163D14">
        <w:rPr>
          <w:szCs w:val="22"/>
        </w:rPr>
        <w:tab/>
      </w:r>
      <w:r w:rsidRPr="00163D14">
        <w:rPr>
          <w:szCs w:val="22"/>
        </w:rPr>
        <w:tab/>
      </w:r>
      <w:r w:rsidR="00A32900">
        <w:rPr>
          <w:szCs w:val="22"/>
        </w:rPr>
        <w:tab/>
      </w:r>
      <w:r w:rsidRPr="00163D14" w:rsidR="000F6451">
        <w:rPr>
          <w:szCs w:val="22"/>
        </w:rPr>
        <w:t xml:space="preserve">Chief </w:t>
      </w:r>
    </w:p>
    <w:p w:rsidR="00746444" w:rsidRPr="00163D14" w:rsidP="000D7534" w14:paraId="3762697A" w14:textId="77777777">
      <w:pPr>
        <w:keepNext/>
        <w:keepLines/>
        <w:widowControl/>
        <w:ind w:left="2880" w:firstLine="720"/>
        <w:rPr>
          <w:szCs w:val="22"/>
        </w:rPr>
      </w:pPr>
      <w:r w:rsidRPr="00163D14">
        <w:rPr>
          <w:szCs w:val="22"/>
        </w:rPr>
        <w:t>Wireline Competition Bureau</w:t>
      </w:r>
      <w:r w:rsidRPr="00163D14" w:rsidR="00A30E96">
        <w:rPr>
          <w:szCs w:val="22"/>
        </w:rPr>
        <w:tab/>
      </w:r>
      <w:bookmarkEnd w:id="12"/>
      <w:bookmarkEnd w:id="13"/>
      <w:bookmarkEnd w:id="14"/>
      <w:bookmarkEnd w:id="25"/>
    </w:p>
    <w:p w:rsidR="00BF4D52" w:rsidP="000D7534" w14:paraId="557550D3" w14:textId="77777777">
      <w:pPr>
        <w:keepNext/>
        <w:keepLines/>
        <w:widowControl/>
        <w:ind w:left="2880" w:firstLine="720"/>
        <w:rPr>
          <w:szCs w:val="22"/>
        </w:rPr>
      </w:pPr>
    </w:p>
    <w:p w:rsidR="00C01ABD" w:rsidP="000D7534" w14:paraId="10AA90E3" w14:textId="77777777">
      <w:pPr>
        <w:keepNext/>
        <w:keepLines/>
        <w:widowControl/>
        <w:ind w:left="2880" w:firstLine="720"/>
        <w:rPr>
          <w:szCs w:val="22"/>
        </w:rPr>
      </w:pPr>
      <w:r>
        <w:rPr>
          <w:szCs w:val="22"/>
        </w:rPr>
        <w:t>Donald Stockdale</w:t>
      </w:r>
    </w:p>
    <w:p w:rsidR="00C01ABD" w:rsidP="000D7534" w14:paraId="7A850CF5" w14:textId="77777777">
      <w:pPr>
        <w:keepNext/>
        <w:keepLines/>
        <w:widowControl/>
        <w:ind w:left="2880" w:firstLine="720"/>
        <w:rPr>
          <w:szCs w:val="22"/>
        </w:rPr>
      </w:pPr>
      <w:r>
        <w:rPr>
          <w:szCs w:val="22"/>
        </w:rPr>
        <w:t>Chief</w:t>
      </w:r>
    </w:p>
    <w:p w:rsidR="00C01ABD" w:rsidRPr="00163D14" w:rsidP="000D7534" w14:paraId="5D4F118E" w14:textId="1923908E">
      <w:pPr>
        <w:keepNext/>
        <w:keepLines/>
        <w:widowControl/>
        <w:ind w:left="2880" w:firstLine="720"/>
        <w:rPr>
          <w:szCs w:val="22"/>
        </w:rPr>
      </w:pPr>
      <w:r>
        <w:rPr>
          <w:szCs w:val="22"/>
        </w:rPr>
        <w:t>Wireless Telecommunications Bureau</w:t>
      </w:r>
    </w:p>
    <w:p w:rsidR="00BF4D52" w:rsidRPr="00163D14" w:rsidP="000D7534" w14:paraId="3D616CD9" w14:textId="77777777">
      <w:pPr>
        <w:keepNext/>
        <w:keepLines/>
        <w:widowControl/>
        <w:ind w:left="2880" w:firstLine="720"/>
        <w:rPr>
          <w:szCs w:val="22"/>
        </w:rPr>
      </w:pPr>
    </w:p>
    <w:p w:rsidR="00BF4D52" w:rsidRPr="00163D14" w:rsidP="000D7534" w14:paraId="5D9988C3" w14:textId="77777777">
      <w:pPr>
        <w:keepNext/>
        <w:keepLines/>
        <w:widowControl/>
        <w:ind w:left="2880" w:firstLine="720"/>
        <w:rPr>
          <w:szCs w:val="22"/>
        </w:rPr>
      </w:pPr>
    </w:p>
    <w:p w:rsidR="00C55852" w:rsidRPr="007F5506" w:rsidP="008D3D95" w14:paraId="66208910" w14:textId="77777777">
      <w:pPr>
        <w:widowControl/>
        <w:rPr>
          <w:szCs w:val="22"/>
        </w:rPr>
      </w:pPr>
      <w:r>
        <w:rPr>
          <w:szCs w:val="22"/>
        </w:rPr>
        <w:br w:type="page"/>
      </w:r>
    </w:p>
    <w:p w:rsidR="00C55852" w:rsidRPr="00C55852" w:rsidP="008D3D95" w14:paraId="09371E0E" w14:textId="77777777">
      <w:pPr>
        <w:widowControl/>
        <w:jc w:val="center"/>
        <w:rPr>
          <w:rFonts w:eastAsia="Calibri"/>
          <w:b/>
          <w:caps/>
        </w:rPr>
      </w:pPr>
      <w:bookmarkStart w:id="39" w:name="Appendix"/>
      <w:r w:rsidRPr="00C55852">
        <w:rPr>
          <w:b/>
          <w:caps/>
          <w:kern w:val="0"/>
        </w:rPr>
        <w:t>Ap</w:t>
      </w:r>
      <w:r w:rsidRPr="00C55852">
        <w:rPr>
          <w:rFonts w:eastAsia="Calibri"/>
          <w:b/>
          <w:caps/>
          <w:kern w:val="0"/>
        </w:rPr>
        <w:t>pendix</w:t>
      </w:r>
    </w:p>
    <w:p w:rsidR="00C55852" w:rsidRPr="00C55852" w14:paraId="2288C080" w14:textId="77777777">
      <w:pPr>
        <w:widowControl/>
        <w:jc w:val="center"/>
        <w:rPr>
          <w:rFonts w:eastAsia="Calibri"/>
          <w:b/>
          <w:caps/>
          <w:kern w:val="0"/>
          <w:szCs w:val="22"/>
        </w:rPr>
      </w:pPr>
      <w:bookmarkEnd w:id="39"/>
    </w:p>
    <w:p w:rsidR="00C55852" w:rsidRPr="00C55852" w14:paraId="734DB7ED" w14:textId="77777777">
      <w:pPr>
        <w:widowControl/>
        <w:ind w:left="360"/>
        <w:jc w:val="center"/>
        <w:rPr>
          <w:rFonts w:eastAsia="Calibri"/>
          <w:b/>
          <w:caps/>
        </w:rPr>
      </w:pPr>
      <w:r w:rsidRPr="00C55852">
        <w:rPr>
          <w:rFonts w:eastAsia="Calibri"/>
          <w:b/>
          <w:caps/>
          <w:kern w:val="0"/>
        </w:rPr>
        <w:t xml:space="preserve">updated Format for Fiber or Microwave </w:t>
      </w:r>
    </w:p>
    <w:p w:rsidR="00C55852" w:rsidRPr="00C55852" w14:paraId="0795FF9A" w14:textId="77777777">
      <w:pPr>
        <w:widowControl/>
        <w:ind w:left="360"/>
        <w:jc w:val="center"/>
        <w:rPr>
          <w:rFonts w:eastAsia="Calibri"/>
          <w:caps/>
          <w:u w:val="single"/>
        </w:rPr>
      </w:pPr>
      <w:r w:rsidRPr="00C55852">
        <w:rPr>
          <w:rFonts w:eastAsia="Calibri"/>
          <w:b/>
          <w:caps/>
          <w:kern w:val="0"/>
        </w:rPr>
        <w:t>NETWORK Map Submissions for alaska plan participants</w:t>
      </w:r>
    </w:p>
    <w:p w:rsidR="00C55852" w:rsidRPr="00C55852" w14:paraId="207B7E34" w14:textId="77777777">
      <w:pPr>
        <w:widowControl/>
        <w:ind w:left="360"/>
        <w:rPr>
          <w:rFonts w:eastAsia="Calibri"/>
          <w:i/>
          <w:kern w:val="0"/>
          <w:szCs w:val="22"/>
        </w:rPr>
      </w:pPr>
    </w:p>
    <w:p w:rsidR="00C55852" w:rsidRPr="00C55852" w14:paraId="3CA560C4" w14:textId="77777777">
      <w:pPr>
        <w:widowControl/>
        <w:ind w:left="360"/>
        <w:rPr>
          <w:rFonts w:eastAsia="Calibri"/>
          <w:i/>
          <w:kern w:val="0"/>
          <w:szCs w:val="22"/>
        </w:rPr>
      </w:pPr>
    </w:p>
    <w:p w:rsidR="00C55852" w:rsidRPr="00E62C1B" w:rsidP="000D7534" w14:paraId="2F7E0ACF" w14:textId="77777777">
      <w:pPr>
        <w:pStyle w:val="Heading1"/>
        <w:widowControl/>
        <w:numPr>
          <w:ilvl w:val="0"/>
          <w:numId w:val="15"/>
        </w:numPr>
        <w:tabs>
          <w:tab w:val="left" w:pos="720"/>
        </w:tabs>
        <w:rPr>
          <w:rFonts w:eastAsia="Calibri"/>
        </w:rPr>
      </w:pPr>
      <w:bookmarkStart w:id="40" w:name="_Toc507086282"/>
      <w:bookmarkStart w:id="41" w:name="_Toc507086325"/>
      <w:bookmarkStart w:id="42" w:name="_Toc507576797"/>
      <w:r w:rsidRPr="00E62C1B">
        <w:rPr>
          <w:rFonts w:eastAsia="Calibri"/>
          <w:kern w:val="0"/>
        </w:rPr>
        <w:t>general information</w:t>
      </w:r>
      <w:bookmarkEnd w:id="40"/>
      <w:bookmarkEnd w:id="41"/>
      <w:bookmarkEnd w:id="42"/>
    </w:p>
    <w:p w:rsidR="00C55852" w:rsidRPr="00C55852" w14:paraId="1171653E" w14:textId="7E2C0E85">
      <w:pPr>
        <w:widowControl/>
        <w:ind w:left="360"/>
        <w:rPr>
          <w:rFonts w:eastAsia="Calibri"/>
        </w:rPr>
      </w:pPr>
      <w:r w:rsidRPr="00C55852">
        <w:rPr>
          <w:rFonts w:eastAsia="Calibri"/>
          <w:kern w:val="0"/>
        </w:rPr>
        <w:t xml:space="preserve">The </w:t>
      </w:r>
      <w:r w:rsidRPr="00C55852">
        <w:rPr>
          <w:rFonts w:eastAsia="Calibri"/>
          <w:i/>
          <w:kern w:val="0"/>
        </w:rPr>
        <w:t>Alaska Plan Order</w:t>
      </w:r>
      <w:r w:rsidRPr="00C55852">
        <w:rPr>
          <w:rFonts w:eastAsia="Calibri"/>
          <w:kern w:val="0"/>
        </w:rPr>
        <w:t xml:space="preserve"> requires Alaska Plan funding recipients to submit fiber network maps or microwave network maps covering eligible areas</w:t>
      </w:r>
      <w:r w:rsidR="007717EE">
        <w:rPr>
          <w:rFonts w:eastAsia="Calibri"/>
          <w:kern w:val="0"/>
        </w:rPr>
        <w:t xml:space="preserve"> and to update such maps if they have deployed middle-mile facilities in the prior calendar year that are or will be used to support their service in eligible areas</w:t>
      </w:r>
      <w:r w:rsidRPr="00C55852">
        <w:rPr>
          <w:rFonts w:eastAsia="Calibri"/>
          <w:kern w:val="0"/>
        </w:rPr>
        <w:t xml:space="preserve">.  This information will be helpful to the Commission’s ongoing assessment of the performance commitments of the recipients.  </w:t>
      </w:r>
    </w:p>
    <w:p w:rsidR="00C55852" w:rsidRPr="00C55852" w14:paraId="4645BE49" w14:textId="77777777">
      <w:pPr>
        <w:keepNext/>
        <w:widowControl/>
        <w:suppressAutoHyphens/>
        <w:spacing w:after="120"/>
        <w:ind w:left="360"/>
        <w:outlineLvl w:val="0"/>
        <w:rPr>
          <w:rFonts w:eastAsia="Calibri"/>
          <w:caps/>
          <w:kern w:val="0"/>
          <w:szCs w:val="22"/>
        </w:rPr>
      </w:pPr>
    </w:p>
    <w:p w:rsidR="00C55852" w:rsidRPr="00C55852" w14:paraId="7CA1CA49" w14:textId="77777777">
      <w:pPr>
        <w:keepNext/>
        <w:widowControl/>
        <w:numPr>
          <w:ilvl w:val="1"/>
          <w:numId w:val="1"/>
        </w:numPr>
        <w:spacing w:after="120"/>
        <w:outlineLvl w:val="1"/>
        <w:rPr>
          <w:rFonts w:eastAsia="Calibri"/>
          <w:b/>
        </w:rPr>
      </w:pPr>
      <w:r w:rsidRPr="00C55852">
        <w:rPr>
          <w:rFonts w:eastAsia="Calibri"/>
          <w:b/>
          <w:kern w:val="0"/>
        </w:rPr>
        <w:t>What Information Is Being Collected</w:t>
      </w:r>
    </w:p>
    <w:p w:rsidR="00C55852" w:rsidRPr="00C55852" w14:paraId="30CFACD8" w14:textId="144A1A66">
      <w:pPr>
        <w:widowControl/>
        <w:ind w:left="360"/>
        <w:rPr>
          <w:rFonts w:eastAsia="Calibri"/>
        </w:rPr>
      </w:pPr>
      <w:r>
        <w:rPr>
          <w:rFonts w:eastAsia="Calibri"/>
          <w:kern w:val="0"/>
        </w:rPr>
        <w:t>R</w:t>
      </w:r>
      <w:r w:rsidR="00DA2262">
        <w:rPr>
          <w:rFonts w:eastAsia="Calibri"/>
          <w:kern w:val="0"/>
        </w:rPr>
        <w:t>eportable</w:t>
      </w:r>
      <w:r w:rsidRPr="00C55852">
        <w:rPr>
          <w:rFonts w:eastAsia="Calibri"/>
          <w:kern w:val="0"/>
        </w:rPr>
        <w:t xml:space="preserve"> links and nodes </w:t>
      </w:r>
      <w:r w:rsidR="00275E8A">
        <w:rPr>
          <w:rFonts w:eastAsia="Calibri"/>
          <w:kern w:val="0"/>
        </w:rPr>
        <w:t>are fiber and microwave links</w:t>
      </w:r>
      <w:r w:rsidRPr="00C55852">
        <w:rPr>
          <w:rFonts w:eastAsia="Calibri"/>
          <w:kern w:val="0"/>
        </w:rPr>
        <w:t xml:space="preserve">, </w:t>
      </w:r>
      <w:r>
        <w:rPr>
          <w:rFonts w:eastAsia="Calibri"/>
          <w:kern w:val="0"/>
        </w:rPr>
        <w:t xml:space="preserve">including </w:t>
      </w:r>
      <w:r w:rsidRPr="00C55852">
        <w:rPr>
          <w:kern w:val="0"/>
        </w:rPr>
        <w:t>undersea cables located within territorial waters,</w:t>
      </w:r>
      <w:r>
        <w:rPr>
          <w:rFonts w:eastAsia="Calibri"/>
          <w:kern w:val="0"/>
        </w:rPr>
        <w:t xml:space="preserve"> </w:t>
      </w:r>
      <w:r w:rsidR="00E2306F">
        <w:rPr>
          <w:rFonts w:eastAsia="Calibri"/>
          <w:kern w:val="0"/>
        </w:rPr>
        <w:t xml:space="preserve">covering, are supporting, or will be used to support service in eligible areas, </w:t>
      </w:r>
      <w:r w:rsidRPr="00C55852" w:rsidR="00E2306F">
        <w:rPr>
          <w:rFonts w:eastAsia="Calibri"/>
          <w:kern w:val="0"/>
        </w:rPr>
        <w:t>within Alaska</w:t>
      </w:r>
      <w:r w:rsidR="00E2306F">
        <w:rPr>
          <w:rFonts w:eastAsia="Calibri"/>
          <w:kern w:val="0"/>
        </w:rPr>
        <w:t xml:space="preserve"> </w:t>
      </w:r>
      <w:r w:rsidRPr="00C55852">
        <w:rPr>
          <w:rFonts w:eastAsia="Calibri"/>
          <w:kern w:val="0"/>
        </w:rPr>
        <w:t>connecting (1) “major nodes”; (2) outdoor cell sites; (3) reportable community anchor institutions; and (4) terminating locations of links.</w:t>
      </w:r>
      <w:r>
        <w:rPr>
          <w:rStyle w:val="FootnoteReference"/>
          <w:rFonts w:eastAsia="Calibri"/>
          <w:kern w:val="0"/>
        </w:rPr>
        <w:footnoteReference w:id="98"/>
      </w:r>
      <w:r w:rsidRPr="00C55852">
        <w:rPr>
          <w:rFonts w:eastAsia="Calibri"/>
          <w:kern w:val="0"/>
        </w:rPr>
        <w:t xml:space="preserve"> </w:t>
      </w:r>
    </w:p>
    <w:p w:rsidR="00C55852" w:rsidRPr="00C55852" w14:paraId="2A26B2D0" w14:textId="77777777">
      <w:pPr>
        <w:widowControl/>
        <w:spacing w:after="120"/>
        <w:ind w:left="360"/>
        <w:rPr>
          <w:rFonts w:eastAsia="Calibri"/>
          <w:snapToGrid/>
          <w:kern w:val="0"/>
          <w:szCs w:val="22"/>
        </w:rPr>
      </w:pPr>
    </w:p>
    <w:p w:rsidR="00C55852" w:rsidRPr="00C55852" w14:paraId="29A68EF6" w14:textId="77777777">
      <w:pPr>
        <w:keepNext/>
        <w:widowControl/>
        <w:numPr>
          <w:ilvl w:val="1"/>
          <w:numId w:val="1"/>
        </w:numPr>
        <w:spacing w:after="120"/>
        <w:outlineLvl w:val="1"/>
        <w:rPr>
          <w:rFonts w:eastAsia="Calibri"/>
          <w:b/>
        </w:rPr>
      </w:pPr>
      <w:r w:rsidRPr="00C55852">
        <w:rPr>
          <w:rFonts w:eastAsia="Calibri"/>
          <w:b/>
          <w:kern w:val="0"/>
        </w:rPr>
        <w:t>Who Must Submit Data</w:t>
      </w:r>
    </w:p>
    <w:p w:rsidR="00C55852" w:rsidRPr="00C55852" w14:paraId="75C72C16" w14:textId="77777777">
      <w:pPr>
        <w:widowControl/>
        <w:ind w:left="360"/>
        <w:rPr>
          <w:rFonts w:eastAsia="Calibri"/>
        </w:rPr>
      </w:pPr>
      <w:r w:rsidRPr="00C55852">
        <w:rPr>
          <w:rFonts w:eastAsia="Calibri"/>
          <w:kern w:val="0"/>
        </w:rPr>
        <w:t xml:space="preserve">Each rate-of-return carrier and each mobile provider that is authorized to receive Alaska Plan support </w:t>
      </w:r>
      <w:r w:rsidRPr="00C55852">
        <w:rPr>
          <w:kern w:val="0"/>
        </w:rPr>
        <w:t>must file the data for these maps.</w:t>
      </w:r>
      <w:r w:rsidRPr="00C55852">
        <w:rPr>
          <w:rFonts w:eastAsia="Calibri"/>
          <w:kern w:val="0"/>
        </w:rPr>
        <w:t xml:space="preserve">  </w:t>
      </w:r>
    </w:p>
    <w:p w:rsidR="00C55852" w:rsidRPr="00C55852" w14:paraId="74F33516" w14:textId="77777777">
      <w:pPr>
        <w:widowControl/>
        <w:ind w:left="360"/>
        <w:rPr>
          <w:rFonts w:eastAsia="Calibri"/>
          <w:kern w:val="0"/>
          <w:szCs w:val="22"/>
        </w:rPr>
      </w:pPr>
    </w:p>
    <w:p w:rsidR="00C55852" w:rsidRPr="00C55852" w14:paraId="314878D1" w14:textId="79E37DAA">
      <w:pPr>
        <w:widowControl/>
        <w:ind w:left="360"/>
        <w:rPr>
          <w:rFonts w:eastAsia="Calibri"/>
        </w:rPr>
      </w:pPr>
      <w:r w:rsidRPr="00C55852">
        <w:rPr>
          <w:rFonts w:eastAsia="Calibri"/>
          <w:kern w:val="0"/>
        </w:rPr>
        <w:t xml:space="preserve">Rate-of-return Alaska Plan participants that have a mobile-provider wireless affiliate receiving support under the Alaska Plan may—but are not required to—file information on behalf of both the wireline carrier and the wireless carrier.  Where the mobile affiliate chooses to file separately from its wireline affiliate, the mobile affiliate must obtain its own Admin Study Area Code (SAC).  Affiliated carriers should avoid submitting duplicate information about the network where possible.  Alaska Plan participants may file a separate map for each Admin SAC, so long as the combined map reflects a complete </w:t>
      </w:r>
      <w:r w:rsidR="00DB398D">
        <w:rPr>
          <w:rFonts w:eastAsia="Calibri"/>
          <w:kern w:val="0"/>
        </w:rPr>
        <w:t xml:space="preserve">reportable </w:t>
      </w:r>
      <w:r w:rsidRPr="00C55852">
        <w:rPr>
          <w:rFonts w:eastAsia="Calibri"/>
          <w:kern w:val="0"/>
        </w:rPr>
        <w:t xml:space="preserve">map for the company.  Each company should consider how it is most convenient for them to file its updates in subsequent years when determining whether it should separate out some of its SAC numbers for a separate filing.  </w:t>
      </w:r>
    </w:p>
    <w:p w:rsidR="00C55852" w:rsidRPr="00C55852" w14:paraId="444FAC16" w14:textId="77777777">
      <w:pPr>
        <w:widowControl/>
        <w:ind w:left="360"/>
        <w:rPr>
          <w:rFonts w:eastAsia="Calibri"/>
          <w:kern w:val="0"/>
          <w:szCs w:val="22"/>
        </w:rPr>
      </w:pPr>
    </w:p>
    <w:p w:rsidR="00C55852" w:rsidRPr="00C55852" w14:paraId="3F89B0BE" w14:textId="77777777">
      <w:pPr>
        <w:widowControl/>
        <w:ind w:left="360"/>
        <w:rPr>
          <w:rFonts w:eastAsia="Calibri"/>
        </w:rPr>
      </w:pPr>
      <w:r w:rsidRPr="00C55852">
        <w:rPr>
          <w:kern w:val="0"/>
        </w:rPr>
        <w:t>For these instructions, “filer” means the Alaska-Plan-participant company that is having its data filed or a representative filing data on behalf of the company.</w:t>
      </w:r>
    </w:p>
    <w:p w:rsidR="00C55852" w:rsidRPr="00C55852" w14:paraId="204E4051" w14:textId="77777777">
      <w:pPr>
        <w:widowControl/>
        <w:ind w:left="360"/>
        <w:rPr>
          <w:rFonts w:eastAsia="Calibri"/>
          <w:kern w:val="0"/>
          <w:szCs w:val="22"/>
        </w:rPr>
      </w:pPr>
    </w:p>
    <w:p w:rsidR="00C55852" w:rsidRPr="00C55852" w14:paraId="75062E5A" w14:textId="77777777">
      <w:pPr>
        <w:keepNext/>
        <w:widowControl/>
        <w:numPr>
          <w:ilvl w:val="1"/>
          <w:numId w:val="1"/>
        </w:numPr>
        <w:spacing w:after="120"/>
        <w:outlineLvl w:val="1"/>
        <w:rPr>
          <w:rFonts w:eastAsia="Calibri"/>
          <w:b/>
        </w:rPr>
      </w:pPr>
      <w:r w:rsidRPr="00C55852">
        <w:rPr>
          <w:rFonts w:eastAsia="Calibri"/>
          <w:b/>
          <w:kern w:val="0"/>
        </w:rPr>
        <w:t>How to Submit the Data</w:t>
      </w:r>
    </w:p>
    <w:p w:rsidR="00C55852" w:rsidRPr="00C55852" w14:paraId="092D251D" w14:textId="150BDC4E">
      <w:pPr>
        <w:widowControl/>
        <w:ind w:left="360"/>
        <w:rPr>
          <w:rFonts w:eastAsia="Calibri"/>
        </w:rPr>
      </w:pPr>
      <w:r w:rsidRPr="00C55852">
        <w:rPr>
          <w:rFonts w:eastAsia="Calibri"/>
          <w:kern w:val="0"/>
        </w:rPr>
        <w:t xml:space="preserve">Filers must submit data via the High Cost Universal Service Broadband (HUBB) portal.  This is the same electronic portal used to collect location data for newly deployed/upgraded locations.  Once the HUBB </w:t>
      </w:r>
      <w:r w:rsidR="00C85801">
        <w:rPr>
          <w:rFonts w:eastAsia="Calibri"/>
          <w:kern w:val="0"/>
        </w:rPr>
        <w:t>portal</w:t>
      </w:r>
      <w:r w:rsidRPr="00C55852">
        <w:rPr>
          <w:rFonts w:eastAsia="Calibri"/>
          <w:kern w:val="0"/>
        </w:rPr>
        <w:t xml:space="preserve"> is opened to filers, Alaska Plan carriers can log into and upload the data into the HUBB </w:t>
      </w:r>
      <w:r w:rsidR="00C85801">
        <w:rPr>
          <w:rFonts w:eastAsia="Calibri"/>
          <w:kern w:val="0"/>
        </w:rPr>
        <w:t xml:space="preserve">portal </w:t>
      </w:r>
      <w:r w:rsidRPr="00C55852">
        <w:rPr>
          <w:rFonts w:eastAsia="Calibri"/>
          <w:kern w:val="0"/>
        </w:rPr>
        <w:t>in accordance with the instructions.  An officer of the company must certify that the information is accurate and complete</w:t>
      </w:r>
      <w:r w:rsidR="006822FD">
        <w:rPr>
          <w:rFonts w:eastAsia="Calibri"/>
          <w:kern w:val="0"/>
        </w:rPr>
        <w:t xml:space="preserve">. </w:t>
      </w:r>
      <w:r w:rsidR="00344A19">
        <w:rPr>
          <w:rFonts w:eastAsia="Calibri"/>
          <w:kern w:val="0"/>
        </w:rPr>
        <w:t xml:space="preserve"> </w:t>
      </w:r>
      <w:r w:rsidRPr="006822FD" w:rsidR="006822FD">
        <w:rPr>
          <w:rFonts w:eastAsia="Calibri"/>
          <w:kern w:val="0"/>
          <w:u w:val="single"/>
        </w:rPr>
        <w:t>If some data are provided as an estimate</w:t>
      </w:r>
      <w:r w:rsidR="00C6563A">
        <w:rPr>
          <w:rFonts w:eastAsia="Calibri"/>
          <w:kern w:val="0"/>
          <w:u w:val="single"/>
        </w:rPr>
        <w:t xml:space="preserve"> in the initial filing</w:t>
      </w:r>
      <w:r w:rsidRPr="006822FD" w:rsidR="006822FD">
        <w:rPr>
          <w:rFonts w:eastAsia="Calibri"/>
          <w:kern w:val="0"/>
          <w:u w:val="single"/>
        </w:rPr>
        <w:t xml:space="preserve">, the officer must separately certify that such data at the </w:t>
      </w:r>
      <w:r w:rsidRPr="006822FD" w:rsidR="00767106">
        <w:rPr>
          <w:rFonts w:eastAsia="Calibri"/>
          <w:kern w:val="0"/>
          <w:u w:val="single"/>
        </w:rPr>
        <w:t>7.6-meter</w:t>
      </w:r>
      <w:r w:rsidRPr="006822FD" w:rsidR="006822FD">
        <w:rPr>
          <w:rFonts w:eastAsia="Calibri"/>
          <w:kern w:val="0"/>
          <w:u w:val="single"/>
        </w:rPr>
        <w:t xml:space="preserve"> accuracy requirement were unavailable at that level of accuracy at the time of the filing</w:t>
      </w:r>
      <w:r w:rsidRPr="00C55852">
        <w:rPr>
          <w:rFonts w:eastAsia="Calibri"/>
          <w:kern w:val="0"/>
        </w:rPr>
        <w:t xml:space="preserve">.  </w:t>
      </w:r>
    </w:p>
    <w:p w:rsidR="00C55852" w:rsidRPr="00C55852" w14:paraId="23F58B19" w14:textId="77777777">
      <w:pPr>
        <w:widowControl/>
        <w:ind w:left="360"/>
        <w:rPr>
          <w:rFonts w:eastAsia="Calibri"/>
          <w:kern w:val="0"/>
          <w:szCs w:val="22"/>
        </w:rPr>
      </w:pPr>
    </w:p>
    <w:p w:rsidR="00C55852" w:rsidRPr="00C55852" w14:paraId="1DE61573" w14:textId="77777777">
      <w:pPr>
        <w:widowControl/>
        <w:ind w:left="360"/>
        <w:rPr>
          <w:rFonts w:eastAsia="Calibri"/>
        </w:rPr>
      </w:pPr>
      <w:r w:rsidRPr="00C55852">
        <w:rPr>
          <w:rFonts w:eastAsia="Calibri"/>
          <w:kern w:val="0"/>
        </w:rPr>
        <w:t xml:space="preserve">The Commission or the Universal Service Administrative Company (USAC) may contact the carriers concerning any errors in the data submission; such errors must be corrected by the carriers within a reasonable time.  </w:t>
      </w:r>
    </w:p>
    <w:p w:rsidR="00C55852" w:rsidRPr="00C55852" w14:paraId="1ED1AEAD" w14:textId="77777777">
      <w:pPr>
        <w:widowControl/>
        <w:ind w:left="360"/>
        <w:rPr>
          <w:rFonts w:eastAsia="Calibri"/>
          <w:kern w:val="0"/>
          <w:szCs w:val="22"/>
        </w:rPr>
      </w:pPr>
    </w:p>
    <w:p w:rsidR="00C55852" w:rsidRPr="00C55852" w14:paraId="6D26EAC7" w14:textId="77777777">
      <w:pPr>
        <w:keepNext/>
        <w:widowControl/>
        <w:numPr>
          <w:ilvl w:val="1"/>
          <w:numId w:val="1"/>
        </w:numPr>
        <w:spacing w:after="120"/>
        <w:outlineLvl w:val="1"/>
        <w:rPr>
          <w:rFonts w:eastAsia="Calibri"/>
          <w:b/>
        </w:rPr>
      </w:pPr>
      <w:r w:rsidRPr="00C55852">
        <w:rPr>
          <w:rFonts w:eastAsia="Calibri"/>
          <w:b/>
          <w:kern w:val="0"/>
        </w:rPr>
        <w:t>When to Submit Data</w:t>
      </w:r>
    </w:p>
    <w:p w:rsidR="00C55852" w:rsidRPr="00C55852" w14:paraId="0909BC86" w14:textId="77777777">
      <w:pPr>
        <w:widowControl/>
        <w:ind w:left="360"/>
        <w:rPr>
          <w:rFonts w:eastAsia="Calibri"/>
        </w:rPr>
      </w:pPr>
      <w:r w:rsidRPr="00C55852">
        <w:rPr>
          <w:rFonts w:eastAsia="Calibri"/>
          <w:kern w:val="0"/>
        </w:rPr>
        <w:t xml:space="preserve">The first set of ESRI Shapefiles, CSV files, and certifications responsive to this data request </w:t>
      </w:r>
      <w:r w:rsidRPr="00C55852">
        <w:rPr>
          <w:rFonts w:eastAsia="Calibri"/>
          <w:kern w:val="0"/>
          <w:u w:val="single"/>
        </w:rPr>
        <w:t>are due July 1, 2018</w:t>
      </w:r>
      <w:r>
        <w:rPr>
          <w:rFonts w:eastAsia="Calibri"/>
          <w:kern w:val="0"/>
          <w:u w:val="single"/>
          <w:vertAlign w:val="superscript"/>
        </w:rPr>
        <w:footnoteReference w:id="99"/>
      </w:r>
      <w:r w:rsidRPr="00C55852">
        <w:rPr>
          <w:rFonts w:eastAsia="Calibri"/>
          <w:kern w:val="0"/>
          <w:u w:val="single"/>
        </w:rPr>
        <w:t xml:space="preserve"> and every subsequent March 1</w:t>
      </w:r>
      <w:r w:rsidRPr="00C55852">
        <w:rPr>
          <w:rFonts w:eastAsia="Calibri"/>
          <w:kern w:val="0"/>
        </w:rPr>
        <w:t xml:space="preserve"> of every year throughout the duration of the Alaska Plan.  USAC will provide notice to Alaska Plan carriers once the HUBB portal is ready to accept data.  </w:t>
      </w:r>
    </w:p>
    <w:p w:rsidR="00C55852" w:rsidRPr="00C55852" w14:paraId="55920744" w14:textId="77777777">
      <w:pPr>
        <w:widowControl/>
        <w:ind w:left="360"/>
        <w:rPr>
          <w:rFonts w:eastAsia="Calibri"/>
          <w:kern w:val="0"/>
          <w:szCs w:val="22"/>
        </w:rPr>
      </w:pPr>
    </w:p>
    <w:p w:rsidR="00C55852" w:rsidRPr="00C55852" w14:paraId="5E2DAA72" w14:textId="08A2FD94">
      <w:pPr>
        <w:widowControl/>
        <w:ind w:left="360"/>
        <w:rPr>
          <w:kern w:val="0"/>
          <w:szCs w:val="22"/>
        </w:rPr>
      </w:pPr>
      <w:r w:rsidRPr="00C55852">
        <w:rPr>
          <w:kern w:val="0"/>
        </w:rPr>
        <w:t>Submission of data in subsequent years need only be made if changes (i.e</w:t>
      </w:r>
      <w:r w:rsidRPr="00C55852">
        <w:rPr>
          <w:i/>
          <w:kern w:val="0"/>
        </w:rPr>
        <w:t>.</w:t>
      </w:r>
      <w:r w:rsidRPr="00C55852">
        <w:rPr>
          <w:kern w:val="0"/>
        </w:rPr>
        <w:t>, additions, subtractions, and alterations to the data on file) occur to the network or the carrier is updating any estimated data with data at the required accuracy level.</w:t>
      </w:r>
      <w:r>
        <w:rPr>
          <w:kern w:val="0"/>
          <w:vertAlign w:val="superscript"/>
        </w:rPr>
        <w:footnoteReference w:id="100"/>
      </w:r>
      <w:r w:rsidRPr="00C55852">
        <w:rPr>
          <w:kern w:val="0"/>
        </w:rPr>
        <w:t xml:space="preserve">  Comprehensive maps—with information for the complete </w:t>
      </w:r>
      <w:r w:rsidR="00192D80">
        <w:rPr>
          <w:kern w:val="0"/>
        </w:rPr>
        <w:t>reportable</w:t>
      </w:r>
      <w:r w:rsidRPr="00C55852">
        <w:rPr>
          <w:kern w:val="0"/>
        </w:rPr>
        <w:t xml:space="preserve"> network—should be resubmitted by March 1 of the year following any network changes.  If there are no changes to the network for the prior year, the company must so certify by the March 1 deadline.  All estimated data submitted </w:t>
      </w:r>
      <w:r w:rsidR="00601D85">
        <w:rPr>
          <w:kern w:val="0"/>
        </w:rPr>
        <w:t>in 2018 must</w:t>
      </w:r>
      <w:r w:rsidRPr="00C55852" w:rsidR="00601D85">
        <w:rPr>
          <w:kern w:val="0"/>
        </w:rPr>
        <w:t xml:space="preserve"> </w:t>
      </w:r>
      <w:r w:rsidRPr="00C55852">
        <w:rPr>
          <w:kern w:val="0"/>
        </w:rPr>
        <w:t xml:space="preserve">be provided at the required accuracy level by the March 1, </w:t>
      </w:r>
      <w:r w:rsidR="00601D85">
        <w:rPr>
          <w:kern w:val="0"/>
        </w:rPr>
        <w:t>2019</w:t>
      </w:r>
      <w:r w:rsidRPr="00C55852" w:rsidR="00601D85">
        <w:rPr>
          <w:kern w:val="0"/>
        </w:rPr>
        <w:t xml:space="preserve"> </w:t>
      </w:r>
      <w:r w:rsidRPr="00C55852">
        <w:rPr>
          <w:kern w:val="0"/>
        </w:rPr>
        <w:t>filing deadline.</w:t>
      </w:r>
      <w:r>
        <w:rPr>
          <w:kern w:val="0"/>
          <w:vertAlign w:val="superscript"/>
        </w:rPr>
        <w:footnoteReference w:id="101"/>
      </w:r>
    </w:p>
    <w:p w:rsidR="00C55852" w:rsidRPr="00C55852" w14:paraId="18F0C317" w14:textId="77777777">
      <w:pPr>
        <w:widowControl/>
        <w:ind w:left="360"/>
        <w:rPr>
          <w:kern w:val="0"/>
          <w:szCs w:val="22"/>
        </w:rPr>
      </w:pPr>
    </w:p>
    <w:p w:rsidR="00C55852" w:rsidRPr="00C55852" w14:paraId="6778FD81" w14:textId="77777777">
      <w:pPr>
        <w:widowControl/>
        <w:ind w:left="360"/>
        <w:rPr>
          <w:rFonts w:eastAsia="Calibri"/>
        </w:rPr>
      </w:pPr>
      <w:r w:rsidRPr="00C55852">
        <w:rPr>
          <w:kern w:val="0"/>
        </w:rPr>
        <w:t>Carriers concerned with the accuracy of their data or have other concerns with their data should contact Ying Ke—ying.ke@fcc.gov; 202-418-0943—well before the filing deadline and be prepared to submit the digital data that they do have.</w:t>
      </w:r>
    </w:p>
    <w:p w:rsidR="00C55852" w:rsidRPr="00C55852" w14:paraId="27A227E3" w14:textId="77777777">
      <w:pPr>
        <w:widowControl/>
        <w:ind w:left="360"/>
        <w:rPr>
          <w:rFonts w:eastAsia="Calibri"/>
          <w:kern w:val="0"/>
          <w:szCs w:val="22"/>
        </w:rPr>
      </w:pPr>
    </w:p>
    <w:p w:rsidR="00C55852" w:rsidRPr="00C55852" w14:paraId="12E10A22" w14:textId="77777777">
      <w:pPr>
        <w:keepNext/>
        <w:widowControl/>
        <w:numPr>
          <w:ilvl w:val="1"/>
          <w:numId w:val="1"/>
        </w:numPr>
        <w:spacing w:after="120"/>
        <w:outlineLvl w:val="1"/>
        <w:rPr>
          <w:rFonts w:eastAsia="Calibri"/>
          <w:b/>
        </w:rPr>
      </w:pPr>
      <w:r w:rsidRPr="00C55852">
        <w:rPr>
          <w:rFonts w:eastAsia="Calibri"/>
          <w:b/>
          <w:kern w:val="0"/>
        </w:rPr>
        <w:t>Confidentiality</w:t>
      </w:r>
    </w:p>
    <w:p w:rsidR="00C55852" w:rsidRPr="00C55852" w14:paraId="5E4E6595" w14:textId="5B07316C">
      <w:pPr>
        <w:widowControl/>
        <w:ind w:left="360"/>
        <w:rPr>
          <w:kern w:val="0"/>
          <w:szCs w:val="22"/>
        </w:rPr>
      </w:pPr>
      <w:r w:rsidRPr="00C55852">
        <w:rPr>
          <w:rFonts w:eastAsia="Calibri"/>
          <w:kern w:val="0"/>
        </w:rPr>
        <w:t xml:space="preserve">The location of companies’ links and nodes </w:t>
      </w:r>
      <w:r w:rsidR="003A65F0">
        <w:rPr>
          <w:rFonts w:eastAsia="Calibri"/>
          <w:kern w:val="0"/>
        </w:rPr>
        <w:t>are</w:t>
      </w:r>
      <w:r w:rsidRPr="00C55852" w:rsidR="003A65F0">
        <w:rPr>
          <w:rFonts w:eastAsia="Calibri"/>
          <w:kern w:val="0"/>
        </w:rPr>
        <w:t xml:space="preserve"> </w:t>
      </w:r>
      <w:r w:rsidRPr="00C55852">
        <w:rPr>
          <w:rFonts w:eastAsia="Calibri"/>
          <w:kern w:val="0"/>
        </w:rPr>
        <w:t xml:space="preserve">likely to contain confidential data.  Accordingly, this data filing will use an abbreviated means to allow submitters to request confidentiality, consistent with 47 CFR § 0.459(a)(4).  Filing material for this data collection will be deemed to be a request under section 0.459 that the material not be made publicly available.  </w:t>
      </w:r>
    </w:p>
    <w:p w:rsidR="00C55852" w:rsidRPr="00C55852" w14:paraId="009BFDEB" w14:textId="77777777">
      <w:pPr>
        <w:widowControl/>
        <w:ind w:left="360"/>
        <w:rPr>
          <w:rFonts w:eastAsia="Calibri"/>
          <w:kern w:val="0"/>
          <w:szCs w:val="22"/>
        </w:rPr>
      </w:pPr>
    </w:p>
    <w:p w:rsidR="00C55852" w:rsidRPr="00C55852" w14:paraId="7B68CC5A" w14:textId="77777777">
      <w:pPr>
        <w:keepNext/>
        <w:widowControl/>
        <w:numPr>
          <w:ilvl w:val="0"/>
          <w:numId w:val="1"/>
        </w:numPr>
        <w:suppressAutoHyphens/>
        <w:spacing w:after="120"/>
        <w:outlineLvl w:val="0"/>
        <w:rPr>
          <w:rFonts w:eastAsia="Calibri"/>
          <w:b/>
          <w:caps/>
        </w:rPr>
      </w:pPr>
      <w:r w:rsidRPr="00C55852">
        <w:rPr>
          <w:rFonts w:eastAsia="Calibri"/>
          <w:b/>
          <w:caps/>
          <w:kern w:val="0"/>
        </w:rPr>
        <w:t>network Links</w:t>
      </w:r>
    </w:p>
    <w:p w:rsidR="00C55852" w:rsidRPr="00C55852" w14:paraId="7E748A6F" w14:textId="3DFFE3F0">
      <w:pPr>
        <w:widowControl/>
        <w:ind w:left="360"/>
        <w:rPr>
          <w:rFonts w:eastAsia="Calibri"/>
        </w:rPr>
      </w:pPr>
      <w:r w:rsidRPr="00C55852">
        <w:rPr>
          <w:rFonts w:eastAsia="Calibri"/>
          <w:kern w:val="0"/>
        </w:rPr>
        <w:t>Alaska Plan</w:t>
      </w:r>
      <w:r w:rsidRPr="00C55852">
        <w:rPr>
          <w:rFonts w:eastAsia="Calibri"/>
          <w:i/>
          <w:kern w:val="0"/>
        </w:rPr>
        <w:t xml:space="preserve"> </w:t>
      </w:r>
      <w:r w:rsidRPr="00C55852">
        <w:rPr>
          <w:rFonts w:eastAsia="Calibri"/>
          <w:kern w:val="0"/>
        </w:rPr>
        <w:t>participants are required to file maps of their fiber or microwave links</w:t>
      </w:r>
      <w:r w:rsidR="009930BA">
        <w:rPr>
          <w:rFonts w:eastAsia="Calibri"/>
          <w:kern w:val="0"/>
        </w:rPr>
        <w:t xml:space="preserve"> covering eligible areas and update such maps if the participant deploys middle-mile facilities in the prior calendar year that are or will be used to support service in eligible areas</w:t>
      </w:r>
      <w:r w:rsidRPr="00C55852">
        <w:rPr>
          <w:rFonts w:eastAsia="Calibri"/>
          <w:kern w:val="0"/>
        </w:rPr>
        <w:t>.</w:t>
      </w:r>
    </w:p>
    <w:p w:rsidR="00C55852" w:rsidRPr="00C55852" w14:paraId="57EFC5B9" w14:textId="77777777">
      <w:pPr>
        <w:widowControl/>
        <w:ind w:left="360"/>
        <w:rPr>
          <w:rFonts w:eastAsia="Calibri"/>
          <w:kern w:val="0"/>
          <w:szCs w:val="22"/>
        </w:rPr>
      </w:pPr>
    </w:p>
    <w:p w:rsidR="00C55852" w:rsidRPr="00C55852" w14:paraId="24813EB9" w14:textId="7FF38AB8">
      <w:pPr>
        <w:widowControl/>
        <w:ind w:left="360"/>
        <w:rPr>
          <w:rFonts w:eastAsia="Calibri"/>
        </w:rPr>
      </w:pPr>
      <w:r>
        <w:rPr>
          <w:rFonts w:eastAsia="Calibri"/>
          <w:kern w:val="0"/>
        </w:rPr>
        <w:t>These f</w:t>
      </w:r>
      <w:r w:rsidRPr="00C55852">
        <w:rPr>
          <w:rFonts w:eastAsia="Calibri"/>
          <w:kern w:val="0"/>
        </w:rPr>
        <w:t xml:space="preserve">iber links and microwave links are those lengths of lit fiber or microwave with terminating equipment on both ends.  Microwave links include all terrestrial fixed-wireless links used for backhaul.  Installed fiber links that are inactive (dark fiber) should also be provided, and the terminating location of the dark fiber link must be provided regardless of whether there is terminating equipment at that location.  </w:t>
      </w:r>
    </w:p>
    <w:p w:rsidR="00C55852" w:rsidRPr="00C55852" w14:paraId="0D5003FF" w14:textId="77777777">
      <w:pPr>
        <w:widowControl/>
        <w:ind w:left="360"/>
        <w:rPr>
          <w:rFonts w:eastAsia="Calibri"/>
          <w:kern w:val="0"/>
          <w:szCs w:val="22"/>
        </w:rPr>
      </w:pPr>
    </w:p>
    <w:p w:rsidR="00C55852" w:rsidRPr="00C55852" w14:paraId="51B5F75F" w14:textId="77777777">
      <w:pPr>
        <w:widowControl/>
        <w:ind w:left="360"/>
        <w:rPr>
          <w:rFonts w:eastAsia="Calibri"/>
        </w:rPr>
      </w:pPr>
      <w:r w:rsidRPr="00C55852">
        <w:rPr>
          <w:rFonts w:eastAsia="Calibri"/>
          <w:kern w:val="0"/>
        </w:rPr>
        <w:t xml:space="preserve">Alaska Plan participants should include those fiber/microwave links that they (i) own or (ii) lease.  </w:t>
      </w:r>
    </w:p>
    <w:p w:rsidR="00C55852" w:rsidRPr="00C55852" w14:paraId="4CDFD805" w14:textId="77777777">
      <w:pPr>
        <w:widowControl/>
        <w:ind w:left="360"/>
        <w:rPr>
          <w:rFonts w:eastAsia="Calibri"/>
          <w:kern w:val="0"/>
          <w:szCs w:val="22"/>
        </w:rPr>
      </w:pPr>
    </w:p>
    <w:p w:rsidR="00C55852" w:rsidRPr="00C55852" w14:paraId="426F0FDB" w14:textId="77777777">
      <w:pPr>
        <w:widowControl/>
        <w:autoSpaceDE w:val="0"/>
        <w:autoSpaceDN w:val="0"/>
        <w:adjustRightInd w:val="0"/>
        <w:ind w:firstLine="360"/>
        <w:rPr>
          <w:rFonts w:eastAsia="Calibri"/>
        </w:rPr>
      </w:pPr>
      <w:r w:rsidRPr="00C55852">
        <w:rPr>
          <w:rFonts w:eastAsia="Calibri"/>
          <w:kern w:val="0"/>
          <w:u w:val="single"/>
        </w:rPr>
        <w:t xml:space="preserve">Filing Guidance for </w:t>
      </w:r>
      <w:r w:rsidRPr="00C55852">
        <w:rPr>
          <w:rFonts w:eastAsia="Calibri"/>
          <w:i/>
          <w:kern w:val="0"/>
          <w:u w:val="single"/>
        </w:rPr>
        <w:t>Links</w:t>
      </w:r>
      <w:r w:rsidRPr="00C55852">
        <w:rPr>
          <w:rFonts w:eastAsia="Calibri"/>
          <w:i/>
          <w:kern w:val="0"/>
        </w:rPr>
        <w:t>:</w:t>
      </w:r>
    </w:p>
    <w:p w:rsidR="00C55852" w:rsidRPr="00C55852" w14:paraId="39C02ECF" w14:textId="77777777">
      <w:pPr>
        <w:widowControl/>
        <w:autoSpaceDE w:val="0"/>
        <w:autoSpaceDN w:val="0"/>
        <w:adjustRightInd w:val="0"/>
        <w:rPr>
          <w:rFonts w:eastAsia="Calibri"/>
          <w:kern w:val="0"/>
          <w:szCs w:val="22"/>
        </w:rPr>
      </w:pPr>
    </w:p>
    <w:p w:rsidR="00C55852" w:rsidRPr="00C55852" w14:paraId="1CD08468" w14:textId="77777777">
      <w:pPr>
        <w:widowControl/>
        <w:numPr>
          <w:ilvl w:val="0"/>
          <w:numId w:val="13"/>
        </w:numPr>
        <w:autoSpaceDE w:val="0"/>
        <w:autoSpaceDN w:val="0"/>
        <w:adjustRightInd w:val="0"/>
        <w:contextualSpacing/>
        <w:rPr>
          <w:rFonts w:eastAsia="Calibri"/>
        </w:rPr>
      </w:pPr>
      <w:r w:rsidRPr="00C55852">
        <w:rPr>
          <w:rFonts w:eastAsia="Calibri"/>
          <w:kern w:val="0"/>
        </w:rPr>
        <w:t xml:space="preserve">Filers must submit information as a compressed separate ESRI Shapefile using a line-feature class containing the data for each feature as noted below.  </w:t>
      </w:r>
      <w:r w:rsidRPr="00C55852">
        <w:rPr>
          <w:kern w:val="0"/>
        </w:rPr>
        <w:t>Filers should only submit one shapefile per filing year.  The shapefile can be edited until a representative of the carrier certifies that the filing is complete and accurate</w:t>
      </w:r>
      <w:r w:rsidRPr="00C55852">
        <w:t>.</w:t>
      </w:r>
    </w:p>
    <w:p w:rsidR="00C55852" w:rsidRPr="00C55852" w14:paraId="06744F05" w14:textId="77777777">
      <w:pPr>
        <w:widowControl/>
        <w:numPr>
          <w:ilvl w:val="0"/>
          <w:numId w:val="13"/>
        </w:numPr>
        <w:autoSpaceDE w:val="0"/>
        <w:autoSpaceDN w:val="0"/>
        <w:adjustRightInd w:val="0"/>
        <w:contextualSpacing/>
        <w:rPr>
          <w:rFonts w:eastAsia="Calibri"/>
        </w:rPr>
      </w:pPr>
      <w:r w:rsidRPr="00C55852">
        <w:rPr>
          <w:rFonts w:eastAsia="Calibri"/>
          <w:kern w:val="0"/>
        </w:rPr>
        <w:t>Shapefiles should be submitted as an unprojected (geographic) WGS84 geographic coordinate system with latitude/longitude coordinates in double precision.</w:t>
      </w:r>
    </w:p>
    <w:p w:rsidR="00C55852" w:rsidRPr="00C55852" w14:paraId="37082000" w14:textId="77777777">
      <w:pPr>
        <w:widowControl/>
        <w:numPr>
          <w:ilvl w:val="0"/>
          <w:numId w:val="13"/>
        </w:numPr>
        <w:autoSpaceDE w:val="0"/>
        <w:autoSpaceDN w:val="0"/>
        <w:adjustRightInd w:val="0"/>
        <w:contextualSpacing/>
        <w:rPr>
          <w:rFonts w:eastAsia="Calibri"/>
        </w:rPr>
      </w:pPr>
      <w:r w:rsidRPr="00C55852">
        <w:rPr>
          <w:rFonts w:eastAsia="Calibri"/>
          <w:kern w:val="0"/>
        </w:rPr>
        <w:t xml:space="preserve">The horizontal (latitude and longitude) accuracy of lines must meet National Standard for Spatial Data Accuracy: accurate to within 7.6m CE95 (FGDC-STD-007, 3-1998), or labeled as an “estimate,” as indicated below.  Lessees that do not know the location of the link have the option of providing conceptual depictions of the link. </w:t>
      </w:r>
    </w:p>
    <w:p w:rsidR="00C55852" w:rsidRPr="00C55852" w14:paraId="4DC067C8" w14:textId="77777777">
      <w:pPr>
        <w:widowControl/>
        <w:numPr>
          <w:ilvl w:val="0"/>
          <w:numId w:val="13"/>
        </w:numPr>
        <w:autoSpaceDE w:val="0"/>
        <w:autoSpaceDN w:val="0"/>
        <w:adjustRightInd w:val="0"/>
        <w:contextualSpacing/>
        <w:rPr>
          <w:rFonts w:eastAsia="Calibri"/>
        </w:rPr>
      </w:pPr>
      <w:r w:rsidRPr="00C55852">
        <w:rPr>
          <w:rFonts w:eastAsia="Calibri"/>
          <w:kern w:val="0"/>
        </w:rPr>
        <w:t>Maps must be accompanied by metadata, or a plain text “readme” file, that contains a comprehensive explanation of the methodology employed to generate the map layer including any necessary assumptions and an assessment of the accuracy of the finished product.</w:t>
      </w:r>
    </w:p>
    <w:p w:rsidR="00C55852" w:rsidRPr="00C55852" w14:paraId="695A3DF1" w14:textId="77777777">
      <w:pPr>
        <w:widowControl/>
        <w:numPr>
          <w:ilvl w:val="0"/>
          <w:numId w:val="13"/>
        </w:numPr>
        <w:autoSpaceDE w:val="0"/>
        <w:autoSpaceDN w:val="0"/>
        <w:adjustRightInd w:val="0"/>
        <w:contextualSpacing/>
        <w:rPr>
          <w:kern w:val="0"/>
        </w:rPr>
      </w:pPr>
      <w:r w:rsidRPr="00C55852">
        <w:rPr>
          <w:rFonts w:eastAsia="Calibri"/>
          <w:kern w:val="0"/>
        </w:rPr>
        <w:t xml:space="preserve">The file should be compressed to a .zip.  </w:t>
      </w:r>
      <w:r w:rsidRPr="00C55852">
        <w:rPr>
          <w:spacing w:val="-1"/>
          <w:kern w:val="0"/>
        </w:rPr>
        <w:t>B</w:t>
      </w:r>
      <w:r w:rsidRPr="00C55852">
        <w:rPr>
          <w:kern w:val="0"/>
        </w:rPr>
        <w:t>e</w:t>
      </w:r>
      <w:r w:rsidRPr="00C55852">
        <w:t xml:space="preserve"> </w:t>
      </w:r>
      <w:r w:rsidRPr="00C55852">
        <w:rPr>
          <w:kern w:val="0"/>
        </w:rPr>
        <w:t>su</w:t>
      </w:r>
      <w:r w:rsidRPr="00C55852">
        <w:rPr>
          <w:spacing w:val="-2"/>
          <w:kern w:val="0"/>
        </w:rPr>
        <w:t>r</w:t>
      </w:r>
      <w:r w:rsidRPr="00C55852">
        <w:rPr>
          <w:kern w:val="0"/>
        </w:rPr>
        <w:t>e</w:t>
      </w:r>
      <w:r w:rsidRPr="00C55852">
        <w:t xml:space="preserve"> </w:t>
      </w:r>
      <w:r w:rsidRPr="00C55852">
        <w:rPr>
          <w:spacing w:val="-1"/>
          <w:kern w:val="0"/>
        </w:rPr>
        <w:t>t</w:t>
      </w:r>
      <w:r w:rsidRPr="00C55852">
        <w:rPr>
          <w:kern w:val="0"/>
        </w:rPr>
        <w:t>hat</w:t>
      </w:r>
      <w:r w:rsidRPr="00C55852">
        <w:t xml:space="preserve"> </w:t>
      </w:r>
      <w:r w:rsidRPr="00C55852">
        <w:rPr>
          <w:spacing w:val="-2"/>
          <w:kern w:val="0"/>
        </w:rPr>
        <w:t>y</w:t>
      </w:r>
      <w:r w:rsidRPr="00C55852">
        <w:rPr>
          <w:kern w:val="0"/>
        </w:rPr>
        <w:t>our</w:t>
      </w:r>
      <w:r w:rsidRPr="00C55852">
        <w:t xml:space="preserve"> .</w:t>
      </w:r>
      <w:r w:rsidRPr="00C55852">
        <w:rPr>
          <w:spacing w:val="-2"/>
          <w:kern w:val="0"/>
        </w:rPr>
        <w:t>z</w:t>
      </w:r>
      <w:r w:rsidRPr="00C55852">
        <w:rPr>
          <w:spacing w:val="1"/>
          <w:kern w:val="0"/>
        </w:rPr>
        <w:t>i</w:t>
      </w:r>
      <w:r w:rsidRPr="00C55852">
        <w:rPr>
          <w:kern w:val="0"/>
        </w:rPr>
        <w:t xml:space="preserve">p </w:t>
      </w:r>
      <w:r w:rsidRPr="00C55852">
        <w:rPr>
          <w:spacing w:val="1"/>
          <w:kern w:val="0"/>
        </w:rPr>
        <w:t>f</w:t>
      </w:r>
      <w:r w:rsidRPr="00C55852">
        <w:rPr>
          <w:spacing w:val="-1"/>
          <w:kern w:val="0"/>
        </w:rPr>
        <w:t>i</w:t>
      </w:r>
      <w:r w:rsidRPr="00C55852">
        <w:rPr>
          <w:spacing w:val="1"/>
          <w:kern w:val="0"/>
        </w:rPr>
        <w:t>l</w:t>
      </w:r>
      <w:r w:rsidRPr="00C55852">
        <w:rPr>
          <w:kern w:val="0"/>
        </w:rPr>
        <w:t>e</w:t>
      </w:r>
      <w:r w:rsidRPr="00C55852">
        <w:t xml:space="preserve"> </w:t>
      </w:r>
      <w:r w:rsidRPr="00C55852">
        <w:rPr>
          <w:kern w:val="0"/>
        </w:rPr>
        <w:t>con</w:t>
      </w:r>
      <w:r w:rsidRPr="00C55852">
        <w:rPr>
          <w:spacing w:val="-1"/>
          <w:kern w:val="0"/>
        </w:rPr>
        <w:t>t</w:t>
      </w:r>
      <w:r w:rsidRPr="00C55852">
        <w:rPr>
          <w:kern w:val="0"/>
        </w:rPr>
        <w:t>a</w:t>
      </w:r>
      <w:r w:rsidRPr="00C55852">
        <w:rPr>
          <w:spacing w:val="1"/>
          <w:kern w:val="0"/>
        </w:rPr>
        <w:t>i</w:t>
      </w:r>
      <w:r w:rsidRPr="00C55852">
        <w:rPr>
          <w:spacing w:val="-2"/>
          <w:kern w:val="0"/>
        </w:rPr>
        <w:t>n</w:t>
      </w:r>
      <w:r w:rsidRPr="00C55852">
        <w:rPr>
          <w:kern w:val="0"/>
        </w:rPr>
        <w:t>s</w:t>
      </w:r>
      <w:r w:rsidRPr="00C55852">
        <w:t xml:space="preserve"> </w:t>
      </w:r>
      <w:r w:rsidRPr="00C55852">
        <w:rPr>
          <w:kern w:val="0"/>
        </w:rPr>
        <w:t>o</w:t>
      </w:r>
      <w:r w:rsidRPr="00C55852">
        <w:rPr>
          <w:spacing w:val="-2"/>
          <w:kern w:val="0"/>
        </w:rPr>
        <w:t>n</w:t>
      </w:r>
      <w:r w:rsidRPr="00C55852">
        <w:rPr>
          <w:kern w:val="0"/>
        </w:rPr>
        <w:t>e</w:t>
      </w:r>
      <w:r w:rsidRPr="00C55852">
        <w:t xml:space="preserve"> </w:t>
      </w:r>
      <w:r w:rsidRPr="00C55852">
        <w:rPr>
          <w:kern w:val="0"/>
        </w:rPr>
        <w:t>and o</w:t>
      </w:r>
      <w:r w:rsidRPr="00C55852">
        <w:rPr>
          <w:spacing w:val="-2"/>
          <w:kern w:val="0"/>
        </w:rPr>
        <w:t>n</w:t>
      </w:r>
      <w:r w:rsidRPr="00C55852">
        <w:rPr>
          <w:spacing w:val="1"/>
          <w:kern w:val="0"/>
        </w:rPr>
        <w:t>l</w:t>
      </w:r>
      <w:r w:rsidRPr="00C55852">
        <w:rPr>
          <w:kern w:val="0"/>
        </w:rPr>
        <w:t>y</w:t>
      </w:r>
      <w:r w:rsidRPr="00C55852">
        <w:t xml:space="preserve"> </w:t>
      </w:r>
      <w:r w:rsidRPr="00C55852">
        <w:rPr>
          <w:kern w:val="0"/>
        </w:rPr>
        <w:t>one shap</w:t>
      </w:r>
      <w:r w:rsidRPr="00C55852">
        <w:rPr>
          <w:spacing w:val="-2"/>
          <w:kern w:val="0"/>
        </w:rPr>
        <w:t>e</w:t>
      </w:r>
      <w:r w:rsidRPr="00C55852">
        <w:rPr>
          <w:spacing w:val="1"/>
          <w:kern w:val="0"/>
        </w:rPr>
        <w:t>f</w:t>
      </w:r>
      <w:r w:rsidRPr="00C55852">
        <w:rPr>
          <w:spacing w:val="-1"/>
          <w:kern w:val="0"/>
        </w:rPr>
        <w:t>i</w:t>
      </w:r>
      <w:r w:rsidRPr="00C55852">
        <w:rPr>
          <w:spacing w:val="1"/>
          <w:kern w:val="0"/>
        </w:rPr>
        <w:t>l</w:t>
      </w:r>
      <w:r w:rsidRPr="00C55852">
        <w:rPr>
          <w:kern w:val="0"/>
        </w:rPr>
        <w:t>e.  The folder and all files within should be named with the (1) Admin SAC number in filing, (2) underscore, and (3) year that the information is filed (</w:t>
      </w:r>
      <w:r w:rsidRPr="00F56BFB">
        <w:rPr>
          <w:kern w:val="0"/>
        </w:rPr>
        <w:t>e.g</w:t>
      </w:r>
      <w:r w:rsidRPr="00C55852">
        <w:rPr>
          <w:kern w:val="0"/>
        </w:rPr>
        <w:t xml:space="preserve">., 613000_2018). </w:t>
      </w:r>
    </w:p>
    <w:p w:rsidR="00C55852" w:rsidRPr="00C55852" w14:paraId="46074208" w14:textId="77777777">
      <w:pPr>
        <w:widowControl/>
        <w:ind w:left="360"/>
        <w:rPr>
          <w:kern w:val="0"/>
          <w:szCs w:val="22"/>
        </w:rPr>
      </w:pPr>
    </w:p>
    <w:p w:rsidR="00C55852" w:rsidRPr="00C55852" w14:paraId="1F7D13EF" w14:textId="77777777">
      <w:pPr>
        <w:widowControl/>
        <w:rPr>
          <w:rFonts w:eastAsia="Calibri"/>
          <w:kern w:val="0"/>
          <w:szCs w:val="22"/>
        </w:rPr>
      </w:pPr>
    </w:p>
    <w:tbl>
      <w:tblPr>
        <w:tblW w:w="93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00"/>
        <w:gridCol w:w="3510"/>
        <w:gridCol w:w="1088"/>
        <w:gridCol w:w="892"/>
        <w:gridCol w:w="2070"/>
      </w:tblGrid>
      <w:tr w14:paraId="70E3A898" w14:textId="77777777" w:rsidTr="00AE4901">
        <w:tblPrEx>
          <w:tblW w:w="93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6"/>
          <w:jc w:val="center"/>
        </w:trPr>
        <w:tc>
          <w:tcPr>
            <w:tcW w:w="9360" w:type="dxa"/>
            <w:gridSpan w:val="5"/>
            <w:tcBorders>
              <w:left w:val="nil"/>
              <w:bottom w:val="single" w:sz="4" w:space="0" w:color="auto"/>
              <w:right w:val="nil"/>
            </w:tcBorders>
            <w:shd w:val="clear" w:color="auto" w:fill="auto"/>
            <w:vAlign w:val="center"/>
          </w:tcPr>
          <w:p w:rsidR="00C55852" w:rsidRPr="00C55852" w14:paraId="1C72884D" w14:textId="77777777">
            <w:pPr>
              <w:widowControl/>
              <w:jc w:val="center"/>
              <w:rPr>
                <w:rStyle w:val="DefaultParagraphFont"/>
                <w:rFonts w:ascii="Calibri" w:eastAsia="Calibri" w:hAnsi="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Shapefile Record Format for Fiber/Microwave Links</w:t>
            </w:r>
          </w:p>
        </w:tc>
      </w:tr>
      <w:tr w14:paraId="72A226F6"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left w:val="nil"/>
              <w:bottom w:val="single" w:sz="4" w:space="0" w:color="auto"/>
            </w:tcBorders>
            <w:shd w:val="clear" w:color="auto" w:fill="auto"/>
            <w:vAlign w:val="center"/>
          </w:tcPr>
          <w:p w:rsidR="00C55852" w:rsidRPr="00C55852" w:rsidP="008D3D95" w14:paraId="68C7B904" w14:textId="77777777">
            <w:pPr>
              <w:widowControl/>
              <w:rPr>
                <w:rStyle w:val="DefaultParagraphFont"/>
                <w:rFonts w:eastAsia="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Field Name</w:t>
            </w:r>
          </w:p>
        </w:tc>
        <w:tc>
          <w:tcPr>
            <w:tcW w:w="3510" w:type="dxa"/>
            <w:tcBorders>
              <w:bottom w:val="single" w:sz="4" w:space="0" w:color="auto"/>
            </w:tcBorders>
            <w:shd w:val="clear" w:color="auto" w:fill="auto"/>
            <w:vAlign w:val="center"/>
          </w:tcPr>
          <w:p w:rsidR="00C55852" w:rsidRPr="00C55852" w14:paraId="5111BA93" w14:textId="77777777">
            <w:pPr>
              <w:widowControl/>
              <w:rPr>
                <w:rStyle w:val="DefaultParagraphFont"/>
                <w:rFonts w:eastAsia="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Description</w:t>
            </w:r>
          </w:p>
        </w:tc>
        <w:tc>
          <w:tcPr>
            <w:tcW w:w="1088" w:type="dxa"/>
            <w:tcBorders>
              <w:bottom w:val="single" w:sz="4" w:space="0" w:color="auto"/>
            </w:tcBorders>
            <w:shd w:val="clear" w:color="auto" w:fill="auto"/>
            <w:vAlign w:val="center"/>
          </w:tcPr>
          <w:p w:rsidR="00C55852" w:rsidRPr="00C55852" w14:paraId="302F775D" w14:textId="77777777">
            <w:pPr>
              <w:widowControl/>
              <w:rPr>
                <w:rStyle w:val="DefaultParagraphFont"/>
                <w:rFonts w:ascii="Calibri" w:eastAsia="Calibri" w:hAnsi="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Type</w:t>
            </w:r>
          </w:p>
        </w:tc>
        <w:tc>
          <w:tcPr>
            <w:tcW w:w="892" w:type="dxa"/>
            <w:tcBorders>
              <w:bottom w:val="single" w:sz="4" w:space="0" w:color="auto"/>
            </w:tcBorders>
            <w:shd w:val="clear" w:color="auto" w:fill="auto"/>
            <w:vAlign w:val="center"/>
          </w:tcPr>
          <w:p w:rsidR="00C55852" w:rsidRPr="00C55852" w14:paraId="2802FC16" w14:textId="77777777">
            <w:pPr>
              <w:widowControl/>
              <w:rPr>
                <w:rStyle w:val="DefaultParagraphFont"/>
                <w:rFonts w:ascii="Calibri" w:eastAsia="Calibri" w:hAnsi="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Length</w:t>
            </w:r>
          </w:p>
        </w:tc>
        <w:tc>
          <w:tcPr>
            <w:tcW w:w="2070" w:type="dxa"/>
            <w:tcBorders>
              <w:bottom w:val="single" w:sz="4" w:space="0" w:color="auto"/>
              <w:right w:val="nil"/>
            </w:tcBorders>
            <w:shd w:val="clear" w:color="auto" w:fill="auto"/>
            <w:vAlign w:val="center"/>
          </w:tcPr>
          <w:p w:rsidR="00C55852" w:rsidRPr="00C55852" w14:paraId="158D8E8B" w14:textId="77777777">
            <w:pPr>
              <w:widowControl/>
              <w:rPr>
                <w:rStyle w:val="DefaultParagraphFont"/>
                <w:rFonts w:eastAsia="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Example</w:t>
            </w:r>
          </w:p>
        </w:tc>
      </w:tr>
      <w:tr w14:paraId="6CC06E90"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51BD9B9C"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SAC Number </w:t>
            </w:r>
          </w:p>
        </w:tc>
        <w:tc>
          <w:tcPr>
            <w:tcW w:w="3510" w:type="dxa"/>
            <w:tcBorders>
              <w:top w:val="nil"/>
              <w:left w:val="nil"/>
              <w:bottom w:val="nil"/>
              <w:right w:val="nil"/>
            </w:tcBorders>
            <w:shd w:val="clear" w:color="auto" w:fill="auto"/>
          </w:tcPr>
          <w:p w:rsidR="00C55852" w:rsidRPr="00C55852" w14:paraId="72078D68"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Admin Study Area Code that amounts to a unique identifier for each Alaska Plan filer </w:t>
            </w:r>
          </w:p>
          <w:p w:rsidR="00C55852" w:rsidRPr="00C55852" w14:paraId="26C8B18A" w14:textId="77777777">
            <w:pPr>
              <w:widowControl/>
              <w:rPr>
                <w:rStyle w:val="DefaultParagraphFont"/>
                <w:rFonts w:eastAsia="Calibri"/>
                <w:snapToGrid w:val="0"/>
                <w:kern w:val="0"/>
                <w:sz w:val="22"/>
                <w:szCs w:val="22"/>
                <w:lang w:val="en-US" w:eastAsia="en-US" w:bidi="ar-SA"/>
              </w:rPr>
            </w:pPr>
          </w:p>
        </w:tc>
        <w:tc>
          <w:tcPr>
            <w:tcW w:w="1088" w:type="dxa"/>
            <w:tcBorders>
              <w:top w:val="nil"/>
              <w:left w:val="nil"/>
              <w:bottom w:val="nil"/>
              <w:right w:val="nil"/>
            </w:tcBorders>
            <w:shd w:val="clear" w:color="auto" w:fill="auto"/>
          </w:tcPr>
          <w:p w:rsidR="00C55852" w:rsidRPr="00C55852" w14:paraId="7C4FBE31"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Text </w:t>
            </w:r>
          </w:p>
        </w:tc>
        <w:tc>
          <w:tcPr>
            <w:tcW w:w="892" w:type="dxa"/>
            <w:tcBorders>
              <w:top w:val="nil"/>
              <w:left w:val="nil"/>
              <w:bottom w:val="nil"/>
              <w:right w:val="nil"/>
            </w:tcBorders>
            <w:shd w:val="clear" w:color="auto" w:fill="auto"/>
          </w:tcPr>
          <w:p w:rsidR="00C55852" w:rsidRPr="00C55852" w14:paraId="1A404D72"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6</w:t>
            </w:r>
          </w:p>
        </w:tc>
        <w:tc>
          <w:tcPr>
            <w:tcW w:w="2070" w:type="dxa"/>
            <w:tcBorders>
              <w:top w:val="nil"/>
              <w:left w:val="nil"/>
              <w:bottom w:val="nil"/>
              <w:right w:val="nil"/>
            </w:tcBorders>
            <w:shd w:val="clear" w:color="auto" w:fill="auto"/>
          </w:tcPr>
          <w:p w:rsidR="00C55852" w:rsidRPr="00C55852" w14:paraId="2FE7DAC4"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613000</w:t>
            </w:r>
          </w:p>
        </w:tc>
      </w:tr>
      <w:tr w14:paraId="537FC04E"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2D5E7097"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Carrier</w:t>
            </w:r>
          </w:p>
          <w:p w:rsidR="00C55852" w:rsidRPr="00C55852" w14:paraId="1B122873" w14:textId="77777777">
            <w:pPr>
              <w:widowControl/>
              <w:rPr>
                <w:rStyle w:val="DefaultParagraphFont"/>
                <w:rFonts w:ascii="Calibri" w:eastAsia="Calibri" w:hAnsi="Calibri"/>
                <w:snapToGrid w:val="0"/>
                <w:kern w:val="0"/>
                <w:sz w:val="22"/>
                <w:szCs w:val="22"/>
                <w:lang w:val="en-US" w:eastAsia="en-US" w:bidi="ar-SA"/>
              </w:rPr>
            </w:pPr>
          </w:p>
        </w:tc>
        <w:tc>
          <w:tcPr>
            <w:tcW w:w="3510" w:type="dxa"/>
            <w:tcBorders>
              <w:top w:val="nil"/>
              <w:left w:val="nil"/>
              <w:bottom w:val="nil"/>
              <w:right w:val="nil"/>
            </w:tcBorders>
            <w:shd w:val="clear" w:color="auto" w:fill="auto"/>
          </w:tcPr>
          <w:p w:rsidR="00C55852" w:rsidRPr="00C55852" w14:paraId="22A68438"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D/B/A Carrier Name(s)</w:t>
            </w:r>
          </w:p>
          <w:p w:rsidR="00C55852" w:rsidRPr="00C55852" w14:paraId="692B13E9" w14:textId="77777777">
            <w:pPr>
              <w:widowControl/>
              <w:rPr>
                <w:rStyle w:val="DefaultParagraphFont"/>
                <w:rFonts w:ascii="Calibri" w:eastAsia="Calibri" w:hAnsi="Calibri"/>
                <w:snapToGrid w:val="0"/>
                <w:kern w:val="0"/>
                <w:sz w:val="22"/>
                <w:szCs w:val="22"/>
                <w:lang w:val="en-US" w:eastAsia="en-US" w:bidi="ar-SA"/>
              </w:rPr>
            </w:pPr>
          </w:p>
        </w:tc>
        <w:tc>
          <w:tcPr>
            <w:tcW w:w="1088" w:type="dxa"/>
            <w:tcBorders>
              <w:top w:val="nil"/>
              <w:left w:val="nil"/>
              <w:bottom w:val="nil"/>
              <w:right w:val="nil"/>
            </w:tcBorders>
            <w:shd w:val="clear" w:color="auto" w:fill="auto"/>
          </w:tcPr>
          <w:p w:rsidR="00C55852" w:rsidRPr="00C55852" w14:paraId="34A7BAFF"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p w:rsidR="00C55852" w:rsidRPr="00C55852" w14:paraId="21BD8AF3" w14:textId="77777777">
            <w:pPr>
              <w:widowControl/>
              <w:rPr>
                <w:rStyle w:val="DefaultParagraphFont"/>
                <w:rFonts w:ascii="Calibri" w:eastAsia="Calibri" w:hAnsi="Calibri"/>
                <w:snapToGrid w:val="0"/>
                <w:kern w:val="0"/>
                <w:sz w:val="22"/>
                <w:szCs w:val="22"/>
                <w:lang w:val="en-US" w:eastAsia="en-US" w:bidi="ar-SA"/>
              </w:rPr>
            </w:pPr>
          </w:p>
        </w:tc>
        <w:tc>
          <w:tcPr>
            <w:tcW w:w="892" w:type="dxa"/>
            <w:tcBorders>
              <w:top w:val="nil"/>
              <w:left w:val="nil"/>
              <w:bottom w:val="nil"/>
              <w:right w:val="nil"/>
            </w:tcBorders>
            <w:shd w:val="clear" w:color="auto" w:fill="auto"/>
          </w:tcPr>
          <w:p w:rsidR="00C55852" w:rsidRPr="00C55852" w14:paraId="7F885C99"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255</w:t>
            </w:r>
          </w:p>
        </w:tc>
        <w:tc>
          <w:tcPr>
            <w:tcW w:w="2070" w:type="dxa"/>
            <w:tcBorders>
              <w:top w:val="nil"/>
              <w:left w:val="nil"/>
              <w:bottom w:val="nil"/>
              <w:right w:val="nil"/>
            </w:tcBorders>
            <w:shd w:val="clear" w:color="auto" w:fill="auto"/>
          </w:tcPr>
          <w:p w:rsidR="00C55852" w:rsidRPr="00C55852" w14:paraId="2D554EFF"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ABC Wired; ABC Cellular</w:t>
            </w:r>
          </w:p>
          <w:p w:rsidR="00C55852" w:rsidRPr="00C55852" w14:paraId="3CC45864" w14:textId="77777777">
            <w:pPr>
              <w:widowControl/>
              <w:rPr>
                <w:rStyle w:val="DefaultParagraphFont"/>
                <w:rFonts w:ascii="Calibri" w:eastAsia="Calibri" w:hAnsi="Calibri"/>
                <w:snapToGrid w:val="0"/>
                <w:kern w:val="0"/>
                <w:sz w:val="22"/>
                <w:szCs w:val="22"/>
                <w:lang w:val="en-US" w:eastAsia="en-US" w:bidi="ar-SA"/>
              </w:rPr>
            </w:pPr>
          </w:p>
        </w:tc>
      </w:tr>
      <w:tr w14:paraId="5E376528"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67015137"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ID</w:t>
            </w:r>
          </w:p>
        </w:tc>
        <w:tc>
          <w:tcPr>
            <w:tcW w:w="3510" w:type="dxa"/>
            <w:tcBorders>
              <w:top w:val="nil"/>
              <w:left w:val="nil"/>
              <w:bottom w:val="nil"/>
              <w:right w:val="nil"/>
            </w:tcBorders>
            <w:shd w:val="clear" w:color="auto" w:fill="auto"/>
          </w:tcPr>
          <w:p w:rsidR="00C55852" w:rsidRPr="00C55852" w14:paraId="3895A5DD"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Sequential record number</w:t>
            </w:r>
          </w:p>
          <w:p w:rsidR="00C55852" w:rsidRPr="00C55852" w14:paraId="6008E4ED" w14:textId="77777777">
            <w:pPr>
              <w:widowControl/>
              <w:rPr>
                <w:rStyle w:val="DefaultParagraphFont"/>
                <w:rFonts w:eastAsia="Calibri"/>
                <w:snapToGrid w:val="0"/>
                <w:kern w:val="0"/>
                <w:sz w:val="22"/>
                <w:szCs w:val="22"/>
                <w:lang w:val="en-US" w:eastAsia="en-US" w:bidi="ar-SA"/>
              </w:rPr>
            </w:pPr>
          </w:p>
        </w:tc>
        <w:tc>
          <w:tcPr>
            <w:tcW w:w="1088" w:type="dxa"/>
            <w:tcBorders>
              <w:top w:val="nil"/>
              <w:left w:val="nil"/>
              <w:bottom w:val="nil"/>
              <w:right w:val="nil"/>
            </w:tcBorders>
            <w:shd w:val="clear" w:color="auto" w:fill="auto"/>
          </w:tcPr>
          <w:p w:rsidR="00C55852" w:rsidRPr="00C55852" w14:paraId="5043498A"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Long </w:t>
            </w:r>
          </w:p>
        </w:tc>
        <w:tc>
          <w:tcPr>
            <w:tcW w:w="892" w:type="dxa"/>
            <w:tcBorders>
              <w:top w:val="nil"/>
              <w:left w:val="nil"/>
              <w:bottom w:val="nil"/>
              <w:right w:val="nil"/>
            </w:tcBorders>
            <w:shd w:val="clear" w:color="auto" w:fill="auto"/>
          </w:tcPr>
          <w:p w:rsidR="00C55852" w:rsidRPr="00C55852" w14:paraId="40690D1F" w14:textId="77777777">
            <w:pPr>
              <w:widowControl/>
              <w:rPr>
                <w:rStyle w:val="DefaultParagraphFont"/>
                <w:rFonts w:ascii="Calibri" w:eastAsia="Calibri" w:hAnsi="Calibri"/>
                <w:snapToGrid w:val="0"/>
                <w:kern w:val="0"/>
                <w:sz w:val="22"/>
                <w:szCs w:val="22"/>
                <w:lang w:val="en-US" w:eastAsia="en-US" w:bidi="ar-SA"/>
              </w:rPr>
            </w:pPr>
          </w:p>
        </w:tc>
        <w:tc>
          <w:tcPr>
            <w:tcW w:w="2070" w:type="dxa"/>
            <w:tcBorders>
              <w:top w:val="nil"/>
              <w:left w:val="nil"/>
              <w:bottom w:val="nil"/>
              <w:right w:val="nil"/>
            </w:tcBorders>
            <w:shd w:val="clear" w:color="auto" w:fill="auto"/>
          </w:tcPr>
          <w:p w:rsidR="00C55852" w:rsidRPr="00C55852" w14:paraId="19293DDF"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w:t>
            </w:r>
          </w:p>
        </w:tc>
      </w:tr>
      <w:tr w14:paraId="034DDAF5"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0E30A4DF"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TypeofLink </w:t>
            </w:r>
          </w:p>
        </w:tc>
        <w:tc>
          <w:tcPr>
            <w:tcW w:w="3510" w:type="dxa"/>
            <w:tcBorders>
              <w:top w:val="nil"/>
              <w:left w:val="nil"/>
              <w:bottom w:val="nil"/>
              <w:right w:val="nil"/>
            </w:tcBorders>
            <w:shd w:val="clear" w:color="auto" w:fill="auto"/>
          </w:tcPr>
          <w:p w:rsidR="00C55852" w:rsidRPr="00C55852" w14:paraId="7B31C3B8"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Provide whether the link is microwave (M), lit fiber (F), or dark fiber (D)</w:t>
            </w:r>
          </w:p>
          <w:p w:rsidR="00C55852" w:rsidRPr="00C55852" w14:paraId="3F2E5956" w14:textId="77777777">
            <w:pPr>
              <w:widowControl/>
              <w:rPr>
                <w:rStyle w:val="DefaultParagraphFont"/>
                <w:rFonts w:eastAsia="Calibri"/>
                <w:snapToGrid w:val="0"/>
                <w:kern w:val="0"/>
                <w:sz w:val="22"/>
                <w:szCs w:val="22"/>
                <w:lang w:val="en-US" w:eastAsia="en-US" w:bidi="ar-SA"/>
              </w:rPr>
            </w:pPr>
          </w:p>
        </w:tc>
        <w:tc>
          <w:tcPr>
            <w:tcW w:w="1088" w:type="dxa"/>
            <w:tcBorders>
              <w:top w:val="nil"/>
              <w:left w:val="nil"/>
              <w:bottom w:val="nil"/>
              <w:right w:val="nil"/>
            </w:tcBorders>
            <w:shd w:val="clear" w:color="auto" w:fill="auto"/>
          </w:tcPr>
          <w:p w:rsidR="00C55852" w:rsidRPr="00C55852" w14:paraId="70261CDE"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892" w:type="dxa"/>
            <w:tcBorders>
              <w:top w:val="nil"/>
              <w:left w:val="nil"/>
              <w:bottom w:val="nil"/>
              <w:right w:val="nil"/>
            </w:tcBorders>
            <w:shd w:val="clear" w:color="auto" w:fill="auto"/>
          </w:tcPr>
          <w:p w:rsidR="00C55852" w:rsidRPr="00C55852" w14:paraId="012E6EAF"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w:t>
            </w:r>
          </w:p>
        </w:tc>
        <w:tc>
          <w:tcPr>
            <w:tcW w:w="2070" w:type="dxa"/>
            <w:tcBorders>
              <w:top w:val="nil"/>
              <w:left w:val="nil"/>
              <w:bottom w:val="nil"/>
              <w:right w:val="nil"/>
            </w:tcBorders>
            <w:shd w:val="clear" w:color="auto" w:fill="auto"/>
          </w:tcPr>
          <w:p w:rsidR="00C55852" w:rsidRPr="00C55852" w14:paraId="6D58D0C4"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F</w:t>
            </w:r>
          </w:p>
        </w:tc>
      </w:tr>
      <w:tr w14:paraId="79E21EBC"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5CD5894C"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LinkYear</w:t>
            </w:r>
          </w:p>
        </w:tc>
        <w:tc>
          <w:tcPr>
            <w:tcW w:w="3510" w:type="dxa"/>
            <w:tcBorders>
              <w:top w:val="nil"/>
              <w:left w:val="nil"/>
              <w:bottom w:val="nil"/>
              <w:right w:val="nil"/>
            </w:tcBorders>
            <w:shd w:val="clear" w:color="auto" w:fill="auto"/>
          </w:tcPr>
          <w:p w:rsidR="00C55852" w:rsidRPr="00C55852" w14:paraId="07010D78"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Year link went live or was leased</w:t>
            </w:r>
          </w:p>
          <w:p w:rsidR="00C55852" w:rsidRPr="00C55852" w14:paraId="4E6E6B71" w14:textId="77777777">
            <w:pPr>
              <w:widowControl/>
              <w:rPr>
                <w:rStyle w:val="DefaultParagraphFont"/>
                <w:rFonts w:eastAsia="Calibri"/>
                <w:snapToGrid w:val="0"/>
                <w:kern w:val="0"/>
                <w:sz w:val="22"/>
                <w:szCs w:val="22"/>
                <w:lang w:val="en-US" w:eastAsia="en-US" w:bidi="ar-SA"/>
              </w:rPr>
            </w:pPr>
          </w:p>
        </w:tc>
        <w:tc>
          <w:tcPr>
            <w:tcW w:w="1088" w:type="dxa"/>
            <w:tcBorders>
              <w:top w:val="nil"/>
              <w:left w:val="nil"/>
              <w:bottom w:val="nil"/>
              <w:right w:val="nil"/>
            </w:tcBorders>
            <w:shd w:val="clear" w:color="auto" w:fill="auto"/>
          </w:tcPr>
          <w:p w:rsidR="00C55852" w:rsidRPr="00C55852" w14:paraId="7D1CA663"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Short </w:t>
            </w:r>
          </w:p>
        </w:tc>
        <w:tc>
          <w:tcPr>
            <w:tcW w:w="892" w:type="dxa"/>
            <w:tcBorders>
              <w:top w:val="nil"/>
              <w:left w:val="nil"/>
              <w:bottom w:val="nil"/>
              <w:right w:val="nil"/>
            </w:tcBorders>
            <w:shd w:val="clear" w:color="auto" w:fill="auto"/>
          </w:tcPr>
          <w:p w:rsidR="00C55852" w:rsidRPr="00C55852" w14:paraId="4F282A16" w14:textId="77777777">
            <w:pPr>
              <w:widowControl/>
              <w:rPr>
                <w:rStyle w:val="DefaultParagraphFont"/>
                <w:rFonts w:ascii="Calibri" w:eastAsia="Calibri" w:hAnsi="Calibri"/>
                <w:snapToGrid w:val="0"/>
                <w:kern w:val="0"/>
                <w:sz w:val="22"/>
                <w:szCs w:val="22"/>
                <w:lang w:val="en-US" w:eastAsia="en-US" w:bidi="ar-SA"/>
              </w:rPr>
            </w:pPr>
          </w:p>
        </w:tc>
        <w:tc>
          <w:tcPr>
            <w:tcW w:w="2070" w:type="dxa"/>
            <w:tcBorders>
              <w:top w:val="nil"/>
              <w:left w:val="nil"/>
              <w:bottom w:val="nil"/>
              <w:right w:val="nil"/>
            </w:tcBorders>
            <w:shd w:val="clear" w:color="auto" w:fill="auto"/>
          </w:tcPr>
          <w:p w:rsidR="00C55852" w:rsidRPr="00C55852" w14:paraId="52E36D3A"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2014</w:t>
            </w:r>
          </w:p>
        </w:tc>
      </w:tr>
      <w:tr w14:paraId="7BDF8519"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72C21C3D"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Ownership</w:t>
            </w:r>
          </w:p>
        </w:tc>
        <w:tc>
          <w:tcPr>
            <w:tcW w:w="3510" w:type="dxa"/>
            <w:tcBorders>
              <w:top w:val="nil"/>
              <w:left w:val="nil"/>
              <w:bottom w:val="nil"/>
              <w:right w:val="nil"/>
            </w:tcBorders>
            <w:shd w:val="clear" w:color="auto" w:fill="auto"/>
          </w:tcPr>
          <w:p w:rsidR="00C55852" w:rsidRPr="00C55852" w14:paraId="1BC23970"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Is this Link Owned (O) or Leased (L)</w:t>
            </w:r>
          </w:p>
          <w:p w:rsidR="00C55852" w:rsidRPr="00C55852" w14:paraId="0522391C" w14:textId="77777777">
            <w:pPr>
              <w:widowControl/>
              <w:rPr>
                <w:rStyle w:val="DefaultParagraphFont"/>
                <w:rFonts w:ascii="Calibri" w:eastAsia="Calibri" w:hAnsi="Calibri"/>
                <w:snapToGrid w:val="0"/>
                <w:kern w:val="0"/>
                <w:sz w:val="22"/>
                <w:szCs w:val="22"/>
                <w:lang w:val="en-US" w:eastAsia="en-US" w:bidi="ar-SA"/>
              </w:rPr>
            </w:pPr>
          </w:p>
        </w:tc>
        <w:tc>
          <w:tcPr>
            <w:tcW w:w="1088" w:type="dxa"/>
            <w:tcBorders>
              <w:top w:val="nil"/>
              <w:left w:val="nil"/>
              <w:bottom w:val="nil"/>
              <w:right w:val="nil"/>
            </w:tcBorders>
            <w:shd w:val="clear" w:color="auto" w:fill="auto"/>
          </w:tcPr>
          <w:p w:rsidR="00C55852" w:rsidRPr="00C55852" w14:paraId="0CF59C39"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892" w:type="dxa"/>
            <w:tcBorders>
              <w:top w:val="nil"/>
              <w:left w:val="nil"/>
              <w:bottom w:val="nil"/>
              <w:right w:val="nil"/>
            </w:tcBorders>
            <w:shd w:val="clear" w:color="auto" w:fill="auto"/>
          </w:tcPr>
          <w:p w:rsidR="00C55852" w:rsidRPr="00C55852" w14:paraId="45770143"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w:t>
            </w:r>
          </w:p>
        </w:tc>
        <w:tc>
          <w:tcPr>
            <w:tcW w:w="2070" w:type="dxa"/>
            <w:tcBorders>
              <w:top w:val="nil"/>
              <w:left w:val="nil"/>
              <w:bottom w:val="nil"/>
              <w:right w:val="nil"/>
            </w:tcBorders>
            <w:shd w:val="clear" w:color="auto" w:fill="auto"/>
          </w:tcPr>
          <w:p w:rsidR="00C55852" w:rsidRPr="00C55852" w14:paraId="017836EB"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L</w:t>
            </w:r>
          </w:p>
        </w:tc>
      </w:tr>
      <w:tr w14:paraId="3558281E"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490204F9"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ConceptLink</w:t>
            </w:r>
          </w:p>
          <w:p w:rsidR="00C55852" w:rsidRPr="00C55852" w14:paraId="6D859142" w14:textId="77777777">
            <w:pPr>
              <w:widowControl/>
              <w:rPr>
                <w:rStyle w:val="DefaultParagraphFont"/>
                <w:rFonts w:eastAsia="Calibri"/>
                <w:snapToGrid w:val="0"/>
                <w:kern w:val="0"/>
                <w:sz w:val="22"/>
                <w:szCs w:val="22"/>
                <w:lang w:val="en-US" w:eastAsia="en-US" w:bidi="ar-SA"/>
              </w:rPr>
            </w:pPr>
          </w:p>
          <w:p w:rsidR="00C55852" w:rsidRPr="00C55852" w14:paraId="382271C9" w14:textId="77777777">
            <w:pPr>
              <w:widowControl/>
              <w:rPr>
                <w:rStyle w:val="DefaultParagraphFont"/>
                <w:rFonts w:eastAsia="Calibri"/>
                <w:snapToGrid w:val="0"/>
                <w:kern w:val="0"/>
                <w:sz w:val="22"/>
                <w:szCs w:val="22"/>
                <w:lang w:val="en-US" w:eastAsia="en-US" w:bidi="ar-SA"/>
              </w:rPr>
            </w:pPr>
          </w:p>
        </w:tc>
        <w:tc>
          <w:tcPr>
            <w:tcW w:w="3510" w:type="dxa"/>
            <w:tcBorders>
              <w:top w:val="nil"/>
              <w:left w:val="nil"/>
              <w:bottom w:val="nil"/>
              <w:right w:val="nil"/>
            </w:tcBorders>
            <w:shd w:val="clear" w:color="auto" w:fill="auto"/>
          </w:tcPr>
          <w:p w:rsidR="00C55852" w:rsidRPr="00C55852" w14:paraId="1C73F993"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For lessees: Is the depiction of the link conceptual between nodes? (Y)/(N)</w:t>
            </w:r>
          </w:p>
          <w:p w:rsidR="00C55852" w:rsidRPr="00C55852" w14:paraId="283A2FCE" w14:textId="77777777">
            <w:pPr>
              <w:widowControl/>
              <w:rPr>
                <w:rStyle w:val="DefaultParagraphFont"/>
                <w:rFonts w:eastAsia="Calibri"/>
                <w:snapToGrid w:val="0"/>
                <w:kern w:val="0"/>
                <w:sz w:val="22"/>
                <w:szCs w:val="22"/>
                <w:lang w:val="en-US" w:eastAsia="en-US" w:bidi="ar-SA"/>
              </w:rPr>
            </w:pPr>
            <w:r w:rsidRPr="00C55852">
              <w:rPr>
                <w:rFonts w:ascii="Calibri" w:eastAsia="Calibri" w:hAnsi="Calibri"/>
                <w:snapToGrid w:val="0"/>
                <w:kern w:val="0"/>
                <w:sz w:val="22"/>
                <w:szCs w:val="22"/>
                <w:lang w:val="en-US" w:eastAsia="en-US" w:bidi="ar-SA"/>
              </w:rPr>
              <w:t xml:space="preserve"> </w:t>
            </w:r>
          </w:p>
        </w:tc>
        <w:tc>
          <w:tcPr>
            <w:tcW w:w="1088" w:type="dxa"/>
            <w:tcBorders>
              <w:top w:val="nil"/>
              <w:left w:val="nil"/>
              <w:bottom w:val="nil"/>
              <w:right w:val="nil"/>
            </w:tcBorders>
            <w:shd w:val="clear" w:color="auto" w:fill="auto"/>
          </w:tcPr>
          <w:p w:rsidR="00C55852" w:rsidRPr="00C55852" w14:paraId="5B48BC8A"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p w:rsidR="00C55852" w:rsidRPr="00C55852" w14:paraId="1075D7A6" w14:textId="77777777">
            <w:pPr>
              <w:widowControl/>
              <w:rPr>
                <w:rStyle w:val="DefaultParagraphFont"/>
                <w:rFonts w:eastAsia="Calibri"/>
                <w:snapToGrid w:val="0"/>
                <w:kern w:val="0"/>
                <w:sz w:val="22"/>
                <w:szCs w:val="22"/>
                <w:lang w:val="en-US" w:eastAsia="en-US" w:bidi="ar-SA"/>
              </w:rPr>
            </w:pPr>
          </w:p>
          <w:p w:rsidR="00C55852" w:rsidRPr="00C55852" w14:paraId="13DEA2CC" w14:textId="77777777">
            <w:pPr>
              <w:widowControl/>
              <w:rPr>
                <w:rStyle w:val="DefaultParagraphFont"/>
                <w:rFonts w:eastAsia="Calibri"/>
                <w:snapToGrid w:val="0"/>
                <w:kern w:val="0"/>
                <w:sz w:val="22"/>
                <w:szCs w:val="22"/>
                <w:lang w:val="en-US" w:eastAsia="en-US" w:bidi="ar-SA"/>
              </w:rPr>
            </w:pPr>
          </w:p>
          <w:p w:rsidR="00C55852" w:rsidRPr="00C55852" w14:paraId="5F181505" w14:textId="77777777">
            <w:pPr>
              <w:widowControl/>
              <w:rPr>
                <w:rStyle w:val="DefaultParagraphFont"/>
                <w:rFonts w:eastAsia="Calibri"/>
                <w:snapToGrid w:val="0"/>
                <w:kern w:val="0"/>
                <w:sz w:val="22"/>
                <w:szCs w:val="22"/>
                <w:lang w:val="en-US" w:eastAsia="en-US" w:bidi="ar-SA"/>
              </w:rPr>
            </w:pPr>
          </w:p>
        </w:tc>
        <w:tc>
          <w:tcPr>
            <w:tcW w:w="892" w:type="dxa"/>
            <w:tcBorders>
              <w:top w:val="nil"/>
              <w:left w:val="nil"/>
              <w:bottom w:val="nil"/>
              <w:right w:val="nil"/>
            </w:tcBorders>
            <w:shd w:val="clear" w:color="auto" w:fill="auto"/>
          </w:tcPr>
          <w:p w:rsidR="00C55852" w:rsidRPr="00C55852" w14:paraId="39EB4166"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w:t>
            </w:r>
          </w:p>
        </w:tc>
        <w:tc>
          <w:tcPr>
            <w:tcW w:w="2070" w:type="dxa"/>
            <w:tcBorders>
              <w:top w:val="nil"/>
              <w:left w:val="nil"/>
              <w:bottom w:val="nil"/>
              <w:right w:val="nil"/>
            </w:tcBorders>
            <w:shd w:val="clear" w:color="auto" w:fill="auto"/>
          </w:tcPr>
          <w:p w:rsidR="00C55852" w:rsidRPr="00C55852" w14:paraId="1138C511" w14:textId="77777777">
            <w:pPr>
              <w:widowControl/>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Y</w:t>
            </w:r>
          </w:p>
          <w:p w:rsidR="00C55852" w:rsidRPr="00C55852" w14:paraId="49ECDCF1" w14:textId="77777777">
            <w:pPr>
              <w:widowControl/>
              <w:rPr>
                <w:rStyle w:val="DefaultParagraphFont"/>
                <w:rFonts w:eastAsia="Calibri"/>
                <w:snapToGrid w:val="0"/>
                <w:kern w:val="0"/>
                <w:sz w:val="22"/>
                <w:szCs w:val="22"/>
                <w:lang w:val="en-US" w:eastAsia="en-US" w:bidi="ar-SA"/>
              </w:rPr>
            </w:pPr>
          </w:p>
          <w:p w:rsidR="00C55852" w:rsidRPr="00C55852" w14:paraId="1EE4D322" w14:textId="77777777">
            <w:pPr>
              <w:widowControl/>
              <w:rPr>
                <w:rStyle w:val="DefaultParagraphFont"/>
                <w:rFonts w:eastAsia="Calibri"/>
                <w:snapToGrid w:val="0"/>
                <w:kern w:val="0"/>
                <w:sz w:val="22"/>
                <w:szCs w:val="22"/>
                <w:lang w:val="en-US" w:eastAsia="en-US" w:bidi="ar-SA"/>
              </w:rPr>
            </w:pPr>
          </w:p>
          <w:p w:rsidR="00C55852" w:rsidRPr="00C55852" w14:paraId="4B848110" w14:textId="77777777">
            <w:pPr>
              <w:widowControl/>
              <w:rPr>
                <w:rStyle w:val="DefaultParagraphFont"/>
                <w:rFonts w:eastAsia="Calibri"/>
                <w:snapToGrid w:val="0"/>
                <w:kern w:val="0"/>
                <w:sz w:val="22"/>
                <w:szCs w:val="22"/>
                <w:lang w:val="en-US" w:eastAsia="en-US" w:bidi="ar-SA"/>
              </w:rPr>
            </w:pPr>
          </w:p>
        </w:tc>
      </w:tr>
      <w:tr w14:paraId="60F48ED3"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1207D08E"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Capacity</w:t>
            </w:r>
          </w:p>
          <w:p w:rsidR="00C55852" w:rsidRPr="00C55852" w14:paraId="50D8A044" w14:textId="77777777">
            <w:pPr>
              <w:widowControl/>
              <w:rPr>
                <w:rStyle w:val="DefaultParagraphFont"/>
                <w:rFonts w:ascii="Calibri" w:eastAsia="Calibri" w:hAnsi="Calibri"/>
                <w:snapToGrid w:val="0"/>
                <w:kern w:val="0"/>
                <w:sz w:val="22"/>
                <w:szCs w:val="22"/>
                <w:lang w:val="en-US" w:eastAsia="en-US" w:bidi="ar-SA"/>
              </w:rPr>
            </w:pPr>
          </w:p>
        </w:tc>
        <w:tc>
          <w:tcPr>
            <w:tcW w:w="3510" w:type="dxa"/>
            <w:tcBorders>
              <w:top w:val="nil"/>
              <w:left w:val="nil"/>
              <w:bottom w:val="nil"/>
              <w:right w:val="nil"/>
            </w:tcBorders>
            <w:shd w:val="clear" w:color="auto" w:fill="auto"/>
          </w:tcPr>
          <w:p w:rsidR="00C55852" w:rsidRPr="00C55852" w14:paraId="218931E3"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The data throughput the link is currently configured to transmit in Mbps</w:t>
            </w:r>
          </w:p>
        </w:tc>
        <w:tc>
          <w:tcPr>
            <w:tcW w:w="1088" w:type="dxa"/>
            <w:tcBorders>
              <w:top w:val="nil"/>
              <w:left w:val="nil"/>
              <w:bottom w:val="nil"/>
              <w:right w:val="nil"/>
            </w:tcBorders>
            <w:shd w:val="clear" w:color="auto" w:fill="auto"/>
          </w:tcPr>
          <w:p w:rsidR="00C55852" w:rsidRPr="00C55852" w14:paraId="274B9B7F"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Integer</w:t>
            </w:r>
          </w:p>
          <w:p w:rsidR="00C55852" w:rsidRPr="00C55852" w14:paraId="1A991C4C" w14:textId="77777777">
            <w:pPr>
              <w:widowControl/>
              <w:rPr>
                <w:rStyle w:val="DefaultParagraphFont"/>
                <w:rFonts w:ascii="Calibri" w:eastAsia="Calibri" w:hAnsi="Calibri"/>
                <w:snapToGrid w:val="0"/>
                <w:kern w:val="0"/>
                <w:sz w:val="22"/>
                <w:szCs w:val="22"/>
                <w:lang w:val="en-US" w:eastAsia="en-US" w:bidi="ar-SA"/>
              </w:rPr>
            </w:pPr>
          </w:p>
        </w:tc>
        <w:tc>
          <w:tcPr>
            <w:tcW w:w="892" w:type="dxa"/>
            <w:tcBorders>
              <w:top w:val="nil"/>
              <w:left w:val="nil"/>
              <w:bottom w:val="nil"/>
              <w:right w:val="nil"/>
            </w:tcBorders>
            <w:shd w:val="clear" w:color="auto" w:fill="auto"/>
          </w:tcPr>
          <w:p w:rsidR="00C55852" w:rsidRPr="00C55852" w14:paraId="7EDF5C2F" w14:textId="77777777">
            <w:pPr>
              <w:widowControl/>
              <w:rPr>
                <w:rStyle w:val="DefaultParagraphFont"/>
                <w:rFonts w:ascii="Calibri" w:eastAsia="Calibri" w:hAnsi="Calibri"/>
                <w:snapToGrid w:val="0"/>
                <w:kern w:val="0"/>
                <w:sz w:val="22"/>
                <w:szCs w:val="22"/>
                <w:lang w:val="en-US" w:eastAsia="en-US" w:bidi="ar-SA"/>
              </w:rPr>
            </w:pPr>
          </w:p>
        </w:tc>
        <w:tc>
          <w:tcPr>
            <w:tcW w:w="2070" w:type="dxa"/>
            <w:tcBorders>
              <w:top w:val="nil"/>
              <w:left w:val="nil"/>
              <w:bottom w:val="nil"/>
              <w:right w:val="nil"/>
            </w:tcBorders>
            <w:shd w:val="clear" w:color="auto" w:fill="auto"/>
          </w:tcPr>
          <w:p w:rsidR="00C55852" w:rsidRPr="00C55852" w14:paraId="59E06957"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10000</w:t>
            </w:r>
          </w:p>
          <w:p w:rsidR="00C55852" w:rsidRPr="00C55852" w14:paraId="11360899" w14:textId="77777777">
            <w:pPr>
              <w:widowControl/>
              <w:rPr>
                <w:rStyle w:val="DefaultParagraphFont"/>
                <w:rFonts w:ascii="Calibri" w:eastAsia="Calibri" w:hAnsi="Calibri"/>
                <w:snapToGrid w:val="0"/>
                <w:kern w:val="0"/>
                <w:sz w:val="22"/>
                <w:szCs w:val="22"/>
                <w:lang w:val="en-US" w:eastAsia="en-US" w:bidi="ar-SA"/>
              </w:rPr>
            </w:pPr>
          </w:p>
        </w:tc>
      </w:tr>
      <w:tr w14:paraId="0119669C"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nil"/>
              <w:right w:val="nil"/>
            </w:tcBorders>
            <w:shd w:val="clear" w:color="auto" w:fill="auto"/>
          </w:tcPr>
          <w:p w:rsidR="00C55852" w:rsidRPr="00C55852" w:rsidP="008D3D95" w14:paraId="21182C2A"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Estimate</w:t>
            </w:r>
          </w:p>
        </w:tc>
        <w:tc>
          <w:tcPr>
            <w:tcW w:w="3510" w:type="dxa"/>
            <w:tcBorders>
              <w:top w:val="nil"/>
              <w:left w:val="nil"/>
              <w:bottom w:val="nil"/>
              <w:right w:val="nil"/>
            </w:tcBorders>
            <w:shd w:val="clear" w:color="auto" w:fill="auto"/>
          </w:tcPr>
          <w:p w:rsidR="00C55852" w:rsidRPr="00C55852" w14:paraId="3763163C"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If the data for the initial submission is an estimate which does not meet the 7.6m accuracy requirement, put (E). If not, put (N)</w:t>
            </w:r>
          </w:p>
        </w:tc>
        <w:tc>
          <w:tcPr>
            <w:tcW w:w="1088" w:type="dxa"/>
            <w:tcBorders>
              <w:top w:val="nil"/>
              <w:left w:val="nil"/>
              <w:bottom w:val="nil"/>
              <w:right w:val="nil"/>
            </w:tcBorders>
            <w:shd w:val="clear" w:color="auto" w:fill="auto"/>
          </w:tcPr>
          <w:p w:rsidR="00C55852" w:rsidRPr="00C55852" w14:paraId="6F58C081"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892" w:type="dxa"/>
            <w:tcBorders>
              <w:top w:val="nil"/>
              <w:left w:val="nil"/>
              <w:bottom w:val="nil"/>
              <w:right w:val="nil"/>
            </w:tcBorders>
            <w:shd w:val="clear" w:color="auto" w:fill="auto"/>
          </w:tcPr>
          <w:p w:rsidR="00C55852" w:rsidRPr="00C55852" w14:paraId="3ADE045B"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w:t>
            </w:r>
          </w:p>
        </w:tc>
        <w:tc>
          <w:tcPr>
            <w:tcW w:w="2070" w:type="dxa"/>
            <w:tcBorders>
              <w:top w:val="nil"/>
              <w:left w:val="nil"/>
              <w:bottom w:val="nil"/>
              <w:right w:val="nil"/>
            </w:tcBorders>
            <w:shd w:val="clear" w:color="auto" w:fill="auto"/>
          </w:tcPr>
          <w:p w:rsidR="00C55852" w:rsidRPr="00C55852" w14:paraId="7259FBAF"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N</w:t>
            </w:r>
          </w:p>
        </w:tc>
      </w:tr>
      <w:tr w14:paraId="07E1A40A" w14:textId="77777777" w:rsidTr="00AE4901">
        <w:tblPrEx>
          <w:tblW w:w="9360" w:type="dxa"/>
          <w:jc w:val="center"/>
          <w:tblInd w:w="0" w:type="dxa"/>
          <w:tblCellMar>
            <w:top w:w="0" w:type="dxa"/>
            <w:left w:w="108" w:type="dxa"/>
            <w:bottom w:w="0" w:type="dxa"/>
            <w:right w:w="108" w:type="dxa"/>
          </w:tblCellMar>
          <w:tblLook w:val="04A0"/>
        </w:tblPrEx>
        <w:trPr>
          <w:trHeight w:val="506"/>
          <w:jc w:val="center"/>
        </w:trPr>
        <w:tc>
          <w:tcPr>
            <w:tcW w:w="1800" w:type="dxa"/>
            <w:tcBorders>
              <w:top w:val="nil"/>
              <w:left w:val="nil"/>
              <w:bottom w:val="single" w:sz="4" w:space="0" w:color="auto"/>
              <w:right w:val="nil"/>
            </w:tcBorders>
            <w:shd w:val="clear" w:color="auto" w:fill="auto"/>
          </w:tcPr>
          <w:p w:rsidR="00C55852" w:rsidRPr="00C55852" w:rsidP="008D3D95" w14:paraId="46820FDD"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Data Set</w:t>
            </w:r>
          </w:p>
        </w:tc>
        <w:tc>
          <w:tcPr>
            <w:tcW w:w="3510" w:type="dxa"/>
            <w:tcBorders>
              <w:top w:val="nil"/>
              <w:left w:val="nil"/>
              <w:bottom w:val="single" w:sz="4" w:space="0" w:color="auto"/>
              <w:right w:val="nil"/>
            </w:tcBorders>
            <w:shd w:val="clear" w:color="auto" w:fill="auto"/>
          </w:tcPr>
          <w:p w:rsidR="00C55852" w:rsidRPr="00C55852" w14:paraId="06A77D09" w14:textId="046D48F8">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Describe the data set relied upon.  If the data set relied upon resulted </w:t>
            </w:r>
            <w:r w:rsidR="008E50E9">
              <w:rPr>
                <w:rFonts w:ascii="Calibri" w:eastAsia="Calibri" w:hAnsi="Calibri"/>
                <w:snapToGrid w:val="0"/>
                <w:kern w:val="0"/>
                <w:sz w:val="22"/>
                <w:szCs w:val="20"/>
                <w:lang w:val="en-US" w:eastAsia="en-US" w:bidi="ar-SA"/>
              </w:rPr>
              <w:t>from</w:t>
            </w:r>
            <w:r w:rsidRPr="00C55852" w:rsidR="008E50E9">
              <w:rPr>
                <w:rFonts w:ascii="Calibri" w:eastAsia="Calibri" w:hAnsi="Calibri"/>
                <w:snapToGrid w:val="0"/>
                <w:kern w:val="0"/>
                <w:sz w:val="22"/>
                <w:szCs w:val="20"/>
                <w:lang w:val="en-US" w:eastAsia="en-US" w:bidi="ar-SA"/>
              </w:rPr>
              <w:t xml:space="preserve"> </w:t>
            </w:r>
            <w:r w:rsidRPr="00C55852">
              <w:rPr>
                <w:rFonts w:ascii="Calibri" w:eastAsia="Calibri" w:hAnsi="Calibri"/>
                <w:snapToGrid w:val="0"/>
                <w:kern w:val="0"/>
                <w:sz w:val="22"/>
                <w:szCs w:val="20"/>
                <w:lang w:val="en-US" w:eastAsia="en-US" w:bidi="ar-SA"/>
              </w:rPr>
              <w:t xml:space="preserve">an estimate, describe the software used.  If the data set relied upon is </w:t>
            </w:r>
            <w:r w:rsidRPr="00C55852">
              <w:rPr>
                <w:rFonts w:ascii="Calibri" w:eastAsia="Calibri" w:hAnsi="Calibri"/>
                <w:i/>
                <w:snapToGrid w:val="0"/>
                <w:kern w:val="0"/>
                <w:sz w:val="22"/>
                <w:szCs w:val="20"/>
                <w:lang w:val="en-US" w:eastAsia="en-US" w:bidi="ar-SA"/>
              </w:rPr>
              <w:t>not</w:t>
            </w:r>
            <w:r w:rsidRPr="00C55852">
              <w:rPr>
                <w:rFonts w:ascii="Calibri" w:eastAsia="Calibri" w:hAnsi="Calibri"/>
                <w:snapToGrid w:val="0"/>
                <w:kern w:val="0"/>
                <w:sz w:val="22"/>
                <w:szCs w:val="20"/>
                <w:lang w:val="en-US" w:eastAsia="en-US" w:bidi="ar-SA"/>
              </w:rPr>
              <w:t xml:space="preserve"> an estimate, put (I) for internal data</w:t>
            </w:r>
          </w:p>
        </w:tc>
        <w:tc>
          <w:tcPr>
            <w:tcW w:w="1088" w:type="dxa"/>
            <w:tcBorders>
              <w:top w:val="nil"/>
              <w:left w:val="nil"/>
              <w:bottom w:val="single" w:sz="4" w:space="0" w:color="auto"/>
              <w:right w:val="nil"/>
            </w:tcBorders>
            <w:shd w:val="clear" w:color="auto" w:fill="auto"/>
          </w:tcPr>
          <w:p w:rsidR="00C55852" w:rsidRPr="00C55852" w14:paraId="627488DA"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892" w:type="dxa"/>
            <w:tcBorders>
              <w:top w:val="nil"/>
              <w:left w:val="nil"/>
              <w:bottom w:val="single" w:sz="4" w:space="0" w:color="auto"/>
              <w:right w:val="nil"/>
            </w:tcBorders>
            <w:shd w:val="clear" w:color="auto" w:fill="auto"/>
          </w:tcPr>
          <w:p w:rsidR="00C55852" w:rsidRPr="00C55852" w14:paraId="2BB2F115"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255</w:t>
            </w:r>
          </w:p>
        </w:tc>
        <w:tc>
          <w:tcPr>
            <w:tcW w:w="2070" w:type="dxa"/>
            <w:tcBorders>
              <w:top w:val="nil"/>
              <w:left w:val="nil"/>
              <w:bottom w:val="single" w:sz="4" w:space="0" w:color="auto"/>
              <w:right w:val="nil"/>
            </w:tcBorders>
            <w:shd w:val="clear" w:color="auto" w:fill="auto"/>
          </w:tcPr>
          <w:p w:rsidR="00C55852" w:rsidRPr="00C55852" w14:paraId="0AD77CF6"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w:t>
            </w:r>
          </w:p>
        </w:tc>
      </w:tr>
    </w:tbl>
    <w:p w:rsidR="00C55852" w:rsidRPr="00C55852" w:rsidP="008D3D95" w14:paraId="765ECFB9" w14:textId="77777777">
      <w:pPr>
        <w:widowControl/>
        <w:autoSpaceDE w:val="0"/>
        <w:autoSpaceDN w:val="0"/>
        <w:adjustRightInd w:val="0"/>
        <w:contextualSpacing/>
        <w:rPr>
          <w:rFonts w:eastAsia="Calibri"/>
          <w:kern w:val="0"/>
          <w:szCs w:val="22"/>
        </w:rPr>
      </w:pPr>
    </w:p>
    <w:p w:rsidR="00C55852" w:rsidRPr="00C55852" w14:paraId="2E53DFF9" w14:textId="77777777">
      <w:pPr>
        <w:widowControl/>
        <w:autoSpaceDE w:val="0"/>
        <w:autoSpaceDN w:val="0"/>
        <w:adjustRightInd w:val="0"/>
        <w:contextualSpacing/>
        <w:rPr>
          <w:rFonts w:eastAsia="Calibri"/>
          <w:kern w:val="0"/>
          <w:szCs w:val="22"/>
        </w:rPr>
      </w:pPr>
    </w:p>
    <w:p w:rsidR="00C55852" w:rsidRPr="00C55852" w14:paraId="62C41F5C" w14:textId="77777777">
      <w:pPr>
        <w:widowControl/>
        <w:numPr>
          <w:ilvl w:val="0"/>
          <w:numId w:val="13"/>
        </w:numPr>
        <w:autoSpaceDE w:val="0"/>
        <w:autoSpaceDN w:val="0"/>
        <w:adjustRightInd w:val="0"/>
        <w:contextualSpacing/>
        <w:rPr>
          <w:rFonts w:eastAsia="Calibri"/>
        </w:rPr>
      </w:pPr>
      <w:r w:rsidRPr="00C55852">
        <w:rPr>
          <w:rFonts w:eastAsia="Calibri"/>
          <w:kern w:val="0"/>
          <w:u w:val="single"/>
        </w:rPr>
        <w:t>SAC Number</w:t>
      </w:r>
      <w:r w:rsidRPr="00C55852">
        <w:rPr>
          <w:rFonts w:eastAsia="Calibri"/>
          <w:kern w:val="0"/>
        </w:rPr>
        <w:t>: the Study Area Code used by USAC that amounts to a unique identifier for each Alaska Plan participant.  For entities with multiple SAC numbers, an “Admin SAC” number that represents the multiple SAC numbers will be provided by USAC.  Filers that do not wish all of their SAC numbers combined should contact USAC to request multiple “Admin SAC” numbers.</w:t>
      </w:r>
      <w:r w:rsidRPr="00C55852">
        <w:t xml:space="preserve"> </w:t>
      </w:r>
    </w:p>
    <w:p w:rsidR="00C55852" w:rsidRPr="00C55852" w14:paraId="18F3E657" w14:textId="77777777">
      <w:pPr>
        <w:widowControl/>
        <w:numPr>
          <w:ilvl w:val="0"/>
          <w:numId w:val="13"/>
        </w:numPr>
        <w:autoSpaceDE w:val="0"/>
        <w:autoSpaceDN w:val="0"/>
        <w:adjustRightInd w:val="0"/>
        <w:contextualSpacing/>
        <w:rPr>
          <w:rFonts w:eastAsia="Calibri"/>
        </w:rPr>
      </w:pPr>
      <w:r w:rsidRPr="00C55852">
        <w:rPr>
          <w:rFonts w:eastAsia="Calibri"/>
          <w:kern w:val="0"/>
          <w:u w:val="single"/>
        </w:rPr>
        <w:t>Carrier name</w:t>
      </w:r>
      <w:r w:rsidRPr="00C55852">
        <w:rPr>
          <w:rFonts w:eastAsia="Calibri"/>
          <w:kern w:val="0"/>
        </w:rPr>
        <w:t xml:space="preserve">: the D/B/A name of the carrier receiving support under the Alaska Plan.  If filing the map on behalf of multiple carriers, provide all carriers’ names in the “Carrier” field and separate each carrier with a semi-colon.  A filer may—but is not required to—submit one filing per carrier, even if the separate carriers share the same holding company, so long as each filing has a distinct Admin SAC.  Carrier names should be provided in alphabetical order.  </w:t>
      </w:r>
    </w:p>
    <w:p w:rsidR="00C55852" w:rsidRPr="00C55852" w14:paraId="5FD849E1" w14:textId="11DC1406">
      <w:pPr>
        <w:widowControl/>
        <w:numPr>
          <w:ilvl w:val="0"/>
          <w:numId w:val="13"/>
        </w:numPr>
        <w:autoSpaceDE w:val="0"/>
        <w:autoSpaceDN w:val="0"/>
        <w:adjustRightInd w:val="0"/>
        <w:contextualSpacing/>
        <w:rPr>
          <w:rFonts w:eastAsia="Calibri"/>
        </w:rPr>
      </w:pPr>
      <w:r w:rsidRPr="00C55852">
        <w:rPr>
          <w:rFonts w:eastAsia="Calibri"/>
          <w:kern w:val="0"/>
          <w:u w:val="single"/>
        </w:rPr>
        <w:t>The ID field</w:t>
      </w:r>
      <w:r w:rsidRPr="00C55852">
        <w:rPr>
          <w:rFonts w:eastAsia="Calibri"/>
          <w:kern w:val="0"/>
        </w:rPr>
        <w:t xml:space="preserve">: </w:t>
      </w:r>
      <w:r w:rsidR="00825375">
        <w:rPr>
          <w:rFonts w:eastAsia="Calibri"/>
          <w:kern w:val="0"/>
        </w:rPr>
        <w:t xml:space="preserve">This is a </w:t>
      </w:r>
      <w:r w:rsidRPr="00C55852">
        <w:rPr>
          <w:rFonts w:eastAsia="Calibri"/>
          <w:kern w:val="0"/>
        </w:rPr>
        <w:t>sequential integer ranging from 1 to the total number of link features.  No two link features should be given the same ID.</w:t>
      </w:r>
    </w:p>
    <w:p w:rsidR="00C55852" w:rsidRPr="00C55852" w14:paraId="07973860" w14:textId="77777777">
      <w:pPr>
        <w:widowControl/>
        <w:numPr>
          <w:ilvl w:val="0"/>
          <w:numId w:val="13"/>
        </w:numPr>
        <w:autoSpaceDE w:val="0"/>
        <w:autoSpaceDN w:val="0"/>
        <w:adjustRightInd w:val="0"/>
        <w:contextualSpacing/>
        <w:rPr>
          <w:rFonts w:eastAsia="Calibri"/>
        </w:rPr>
      </w:pPr>
      <w:r w:rsidRPr="00C55852">
        <w:rPr>
          <w:rFonts w:eastAsia="Calibri"/>
          <w:kern w:val="0"/>
          <w:u w:val="single"/>
        </w:rPr>
        <w:t>TypeofLink</w:t>
      </w:r>
      <w:r w:rsidRPr="00C55852">
        <w:rPr>
          <w:rFonts w:eastAsia="Calibri"/>
          <w:kern w:val="0"/>
        </w:rPr>
        <w:t>: Provide the link type, consistent with the description.  If two different types of links share the same geographic path (</w:t>
      </w:r>
      <w:r w:rsidRPr="00F56BFB">
        <w:rPr>
          <w:rFonts w:eastAsia="Calibri"/>
          <w:kern w:val="0"/>
        </w:rPr>
        <w:t>e.g</w:t>
      </w:r>
      <w:r w:rsidRPr="00C55852">
        <w:rPr>
          <w:rFonts w:eastAsia="Calibri"/>
          <w:kern w:val="0"/>
        </w:rPr>
        <w:t xml:space="preserve">., lit fiber and dark fiber), a separate record is required of each.  </w:t>
      </w:r>
    </w:p>
    <w:p w:rsidR="00C55852" w:rsidRPr="00C55852" w14:paraId="4F5A631C" w14:textId="77777777">
      <w:pPr>
        <w:widowControl/>
        <w:numPr>
          <w:ilvl w:val="0"/>
          <w:numId w:val="13"/>
        </w:numPr>
        <w:autoSpaceDE w:val="0"/>
        <w:autoSpaceDN w:val="0"/>
        <w:adjustRightInd w:val="0"/>
        <w:contextualSpacing/>
        <w:rPr>
          <w:rFonts w:eastAsia="Calibri"/>
        </w:rPr>
      </w:pPr>
      <w:r w:rsidRPr="00C55852">
        <w:rPr>
          <w:rFonts w:eastAsia="Calibri"/>
          <w:kern w:val="0"/>
          <w:u w:val="single"/>
        </w:rPr>
        <w:t>LinkYear</w:t>
      </w:r>
      <w:r w:rsidRPr="00C55852">
        <w:rPr>
          <w:rFonts w:eastAsia="Calibri"/>
          <w:kern w:val="0"/>
        </w:rPr>
        <w:t xml:space="preserve">: For dark fiber, put a 9999.  If the link was first used by the carrier in 2014 or any year prior to 2014, the LinkYear will be 2014.  Otherwise filers will enter the actual year the path went live or was leased.  </w:t>
      </w:r>
    </w:p>
    <w:p w:rsidR="00C55852" w:rsidRPr="00C55852" w14:paraId="599917C4" w14:textId="77777777">
      <w:pPr>
        <w:widowControl/>
        <w:numPr>
          <w:ilvl w:val="0"/>
          <w:numId w:val="13"/>
        </w:numPr>
        <w:autoSpaceDE w:val="0"/>
        <w:autoSpaceDN w:val="0"/>
        <w:adjustRightInd w:val="0"/>
        <w:contextualSpacing/>
        <w:rPr>
          <w:rFonts w:eastAsia="Calibri"/>
        </w:rPr>
      </w:pPr>
      <w:r w:rsidRPr="00C55852">
        <w:rPr>
          <w:rFonts w:eastAsia="Calibri"/>
          <w:kern w:val="0"/>
          <w:u w:val="single"/>
        </w:rPr>
        <w:t>Ownership</w:t>
      </w:r>
      <w:r w:rsidRPr="00C55852">
        <w:rPr>
          <w:rFonts w:eastAsia="Calibri"/>
          <w:kern w:val="0"/>
        </w:rPr>
        <w:t xml:space="preserve">: Is the link owned (i.e., any ownership interest regardless of how </w:t>
      </w:r>
      <w:r w:rsidRPr="00C55852">
        <w:rPr>
          <w:rFonts w:eastAsia="Calibri"/>
          <w:i/>
          <w:kern w:val="0"/>
        </w:rPr>
        <w:t>de minimis</w:t>
      </w:r>
      <w:r w:rsidRPr="00C55852">
        <w:rPr>
          <w:rFonts w:eastAsia="Calibri"/>
          <w:kern w:val="0"/>
        </w:rPr>
        <w:t xml:space="preserve">) by the company that is filing?  If so, put “O.”  If leased—even if the lease is for just a portion of the capacity on the link—put “L.”    </w:t>
      </w:r>
    </w:p>
    <w:p w:rsidR="00C55852" w:rsidRPr="00C55852" w14:paraId="613197F0" w14:textId="77777777">
      <w:pPr>
        <w:widowControl/>
        <w:numPr>
          <w:ilvl w:val="0"/>
          <w:numId w:val="13"/>
        </w:numPr>
        <w:autoSpaceDE w:val="0"/>
        <w:autoSpaceDN w:val="0"/>
        <w:adjustRightInd w:val="0"/>
        <w:contextualSpacing/>
        <w:rPr>
          <w:rFonts w:eastAsia="Calibri"/>
        </w:rPr>
      </w:pPr>
      <w:r w:rsidRPr="00C55852">
        <w:rPr>
          <w:rFonts w:eastAsia="Calibri"/>
          <w:kern w:val="0"/>
          <w:u w:val="single"/>
        </w:rPr>
        <w:t>ConceptLink</w:t>
      </w:r>
      <w:r w:rsidRPr="00C55852">
        <w:rPr>
          <w:rFonts w:eastAsia="Calibri"/>
          <w:kern w:val="0"/>
        </w:rPr>
        <w:t xml:space="preserve">: Lessees may not know where the link actually is located.  For lessees that do not know where the link actually is located, conceptual depictions of the link may be made and should be made as a straight line between two known and provided nodes.  Filers that own the line or lessees that provide the actual location information of the link should mark it with a “N.” </w:t>
      </w:r>
    </w:p>
    <w:p w:rsidR="00C55852" w:rsidRPr="00C55852" w14:paraId="469EB4F1" w14:textId="77777777">
      <w:pPr>
        <w:widowControl/>
        <w:numPr>
          <w:ilvl w:val="0"/>
          <w:numId w:val="13"/>
        </w:numPr>
        <w:autoSpaceDE w:val="0"/>
        <w:autoSpaceDN w:val="0"/>
        <w:adjustRightInd w:val="0"/>
        <w:contextualSpacing/>
        <w:rPr>
          <w:rFonts w:eastAsia="Calibri"/>
        </w:rPr>
      </w:pPr>
      <w:r w:rsidRPr="00C55852">
        <w:rPr>
          <w:rFonts w:eastAsia="Calibri"/>
          <w:kern w:val="0"/>
          <w:u w:val="single"/>
        </w:rPr>
        <w:t>Capacity</w:t>
      </w:r>
      <w:r w:rsidRPr="00C55852">
        <w:rPr>
          <w:rFonts w:eastAsia="Calibri"/>
          <w:kern w:val="0"/>
        </w:rPr>
        <w:t>: This reflects the maximum data transmission capability the link is currently configured to transmit.  For data throughput capability that is less than 0.5 Mbps or dark fiber, put a 0.  Round to the nearest integer.  For leased lines, if the amount of capacity is restricted, put the amount of capacity that is leased; otherwise, provide the maximum data throughput rate that your company has been able to transmit over the link.</w:t>
      </w:r>
    </w:p>
    <w:p w:rsidR="00C55852" w:rsidRPr="00C55852" w14:paraId="51906AD3" w14:textId="414BB77F">
      <w:pPr>
        <w:widowControl/>
        <w:numPr>
          <w:ilvl w:val="0"/>
          <w:numId w:val="13"/>
        </w:numPr>
        <w:autoSpaceDE w:val="0"/>
        <w:autoSpaceDN w:val="0"/>
        <w:adjustRightInd w:val="0"/>
        <w:contextualSpacing/>
        <w:rPr>
          <w:rFonts w:eastAsia="Calibri"/>
        </w:rPr>
      </w:pPr>
      <w:r w:rsidRPr="00C55852">
        <w:rPr>
          <w:rFonts w:eastAsia="Calibri"/>
          <w:kern w:val="0"/>
          <w:u w:val="single"/>
        </w:rPr>
        <w:t>Estimate</w:t>
      </w:r>
      <w:r w:rsidRPr="00C55852">
        <w:rPr>
          <w:rFonts w:eastAsia="Calibri"/>
          <w:kern w:val="0"/>
        </w:rPr>
        <w:t>: Only available for filings due July 1, 2018</w:t>
      </w:r>
      <w:r w:rsidR="00601D85">
        <w:rPr>
          <w:rFonts w:eastAsia="Calibri"/>
          <w:kern w:val="0"/>
        </w:rPr>
        <w:t>.</w:t>
      </w:r>
      <w:r>
        <w:rPr>
          <w:rFonts w:eastAsia="Calibri"/>
          <w:kern w:val="0"/>
          <w:vertAlign w:val="superscript"/>
        </w:rPr>
        <w:footnoteReference w:id="102"/>
      </w:r>
      <w:r w:rsidRPr="00C55852">
        <w:rPr>
          <w:rFonts w:eastAsia="Calibri"/>
          <w:kern w:val="0"/>
        </w:rPr>
        <w:t xml:space="preserve">  If the data set relied on is not accurate to within 7.6m CE95 (FGDC-STD-007, 3-1998), put (E) to indicate that the link information is based on an estimate of best available data.  This estimate should not be less accurate than 50 meters.  </w:t>
      </w:r>
      <w:r w:rsidR="00F24528">
        <w:rPr>
          <w:rFonts w:eastAsia="Calibri"/>
          <w:kern w:val="0"/>
        </w:rPr>
        <w:t xml:space="preserve">These estimates must be updated to </w:t>
      </w:r>
      <w:r w:rsidRPr="00C55852" w:rsidR="00F24528">
        <w:rPr>
          <w:rFonts w:eastAsia="Calibri"/>
          <w:kern w:val="0"/>
        </w:rPr>
        <w:t>the accuracy requirements of 7.6m CE95 (FGDC-STD-007, 3-1998)</w:t>
      </w:r>
      <w:r w:rsidR="00F24528">
        <w:rPr>
          <w:rFonts w:eastAsia="Calibri"/>
          <w:kern w:val="0"/>
        </w:rPr>
        <w:t xml:space="preserve"> by the filing due March 1, 2019.</w:t>
      </w:r>
    </w:p>
    <w:p w:rsidR="00C55852" w:rsidRPr="00C55852" w14:paraId="2C5F025C" w14:textId="10CB6D50">
      <w:pPr>
        <w:widowControl/>
        <w:numPr>
          <w:ilvl w:val="0"/>
          <w:numId w:val="13"/>
        </w:numPr>
        <w:autoSpaceDE w:val="0"/>
        <w:autoSpaceDN w:val="0"/>
        <w:adjustRightInd w:val="0"/>
        <w:contextualSpacing/>
        <w:rPr>
          <w:b/>
        </w:rPr>
      </w:pPr>
      <w:r w:rsidRPr="00C55852">
        <w:rPr>
          <w:rFonts w:eastAsia="Calibri"/>
          <w:kern w:val="0"/>
          <w:u w:val="single"/>
        </w:rPr>
        <w:t>Data Set</w:t>
      </w:r>
      <w:r w:rsidRPr="00C55852">
        <w:rPr>
          <w:rFonts w:eastAsia="Calibri"/>
          <w:kern w:val="0"/>
        </w:rPr>
        <w:t xml:space="preserve">: For filings due July 1, 2018, describe the data set relied upon.  If the data set relied upon </w:t>
      </w:r>
      <w:r w:rsidR="008E50E9">
        <w:rPr>
          <w:rFonts w:eastAsia="Calibri"/>
          <w:kern w:val="0"/>
        </w:rPr>
        <w:t>is from</w:t>
      </w:r>
      <w:r w:rsidRPr="00C55852">
        <w:rPr>
          <w:rFonts w:eastAsia="Calibri"/>
          <w:kern w:val="0"/>
        </w:rPr>
        <w:t xml:space="preserve"> an estimate, describe the software used (e.g., Google Earth).  If the data set relied upon is </w:t>
      </w:r>
      <w:r w:rsidRPr="00C55852">
        <w:rPr>
          <w:rFonts w:eastAsia="Calibri"/>
          <w:i/>
          <w:kern w:val="0"/>
        </w:rPr>
        <w:t>not</w:t>
      </w:r>
      <w:r w:rsidRPr="00C55852">
        <w:rPr>
          <w:rFonts w:eastAsia="Calibri"/>
          <w:kern w:val="0"/>
        </w:rPr>
        <w:t xml:space="preserve"> </w:t>
      </w:r>
      <w:r w:rsidR="008E50E9">
        <w:rPr>
          <w:rFonts w:eastAsia="Calibri"/>
          <w:kern w:val="0"/>
        </w:rPr>
        <w:t xml:space="preserve">from </w:t>
      </w:r>
      <w:r w:rsidRPr="00C55852">
        <w:rPr>
          <w:rFonts w:eastAsia="Calibri"/>
          <w:kern w:val="0"/>
        </w:rPr>
        <w:t>an estimate, put (I) for Internal Data.  For subsequent years’ filings, may only rely on internal data sets which meet the accuracy requirements of 7.6m CE95 (FGDC-STD-007, 3-1998).</w:t>
      </w:r>
    </w:p>
    <w:p w:rsidR="00C55852" w:rsidRPr="00C55852" w14:paraId="53EA57DD" w14:textId="77777777">
      <w:pPr>
        <w:widowControl/>
        <w:autoSpaceDE w:val="0"/>
        <w:autoSpaceDN w:val="0"/>
        <w:adjustRightInd w:val="0"/>
        <w:rPr>
          <w:rFonts w:eastAsia="Calibri"/>
          <w:i/>
          <w:kern w:val="0"/>
          <w:szCs w:val="22"/>
        </w:rPr>
      </w:pPr>
    </w:p>
    <w:p w:rsidR="00C55852" w:rsidRPr="00C55852" w14:paraId="6039AE52" w14:textId="77777777">
      <w:pPr>
        <w:keepNext/>
        <w:widowControl/>
        <w:numPr>
          <w:ilvl w:val="0"/>
          <w:numId w:val="1"/>
        </w:numPr>
        <w:suppressAutoHyphens/>
        <w:spacing w:after="120"/>
        <w:outlineLvl w:val="0"/>
        <w:rPr>
          <w:rFonts w:eastAsia="Calibri"/>
          <w:b/>
          <w:caps/>
        </w:rPr>
      </w:pPr>
      <w:r w:rsidRPr="00C55852">
        <w:rPr>
          <w:rFonts w:eastAsia="Calibri"/>
          <w:b/>
          <w:caps/>
          <w:kern w:val="0"/>
        </w:rPr>
        <w:t>nodes</w:t>
      </w:r>
    </w:p>
    <w:p w:rsidR="00825375" w:rsidRPr="00C55852" w14:paraId="5A587863" w14:textId="4C6C5BD1">
      <w:pPr>
        <w:widowControl/>
        <w:ind w:left="360"/>
        <w:rPr>
          <w:rFonts w:eastAsia="Calibri"/>
        </w:rPr>
      </w:pPr>
      <w:r w:rsidRPr="00C55852">
        <w:rPr>
          <w:rFonts w:eastAsia="Calibri"/>
          <w:kern w:val="0"/>
        </w:rPr>
        <w:t>Alaska Plan</w:t>
      </w:r>
      <w:r w:rsidRPr="00C55852">
        <w:rPr>
          <w:rFonts w:eastAsia="Calibri"/>
          <w:i/>
          <w:kern w:val="0"/>
        </w:rPr>
        <w:t xml:space="preserve"> </w:t>
      </w:r>
      <w:r w:rsidRPr="00C55852">
        <w:rPr>
          <w:rFonts w:eastAsia="Calibri"/>
          <w:kern w:val="0"/>
        </w:rPr>
        <w:t>participants must also provide the location (latitude and longitude coordinates) of the nodes</w:t>
      </w:r>
      <w:r>
        <w:rPr>
          <w:rFonts w:eastAsia="Calibri"/>
          <w:kern w:val="0"/>
        </w:rPr>
        <w:t xml:space="preserve"> covering eligible areas and update such maps if the participant deploys middle-mile facilities in the prior calendar year that are or will be used to support service in eligible areas</w:t>
      </w:r>
      <w:r w:rsidRPr="00C55852">
        <w:rPr>
          <w:rFonts w:eastAsia="Calibri"/>
          <w:kern w:val="0"/>
        </w:rPr>
        <w:t>.</w:t>
      </w:r>
    </w:p>
    <w:p w:rsidR="00825375" w:rsidRPr="00C55852" w14:paraId="0F0F463C" w14:textId="77777777">
      <w:pPr>
        <w:widowControl/>
        <w:ind w:left="360"/>
        <w:rPr>
          <w:rFonts w:eastAsia="Calibri"/>
          <w:kern w:val="0"/>
          <w:szCs w:val="22"/>
        </w:rPr>
      </w:pPr>
    </w:p>
    <w:p w:rsidR="00C55852" w:rsidRPr="00C55852" w14:paraId="22D3D4D5" w14:textId="384BDAF5">
      <w:pPr>
        <w:widowControl/>
        <w:autoSpaceDE w:val="0"/>
        <w:autoSpaceDN w:val="0"/>
        <w:adjustRightInd w:val="0"/>
        <w:ind w:left="360"/>
        <w:rPr>
          <w:rFonts w:eastAsia="Calibri"/>
        </w:rPr>
      </w:pPr>
      <w:r>
        <w:rPr>
          <w:rFonts w:eastAsia="Calibri"/>
          <w:kern w:val="0"/>
        </w:rPr>
        <w:t>These nodes</w:t>
      </w:r>
      <w:r w:rsidRPr="00C55852">
        <w:rPr>
          <w:rFonts w:eastAsia="Calibri"/>
          <w:kern w:val="0"/>
        </w:rPr>
        <w:t xml:space="preserve"> can be (1) a “major node”—for the purposes of this collection: a central office, cable headend, mobile switching center, earth station, point of presence, landing station, peering point, or Internet gateway within Alaska—(2) an outdoor cell site; (3) a community anchor institution,</w:t>
      </w:r>
      <w:r>
        <w:rPr>
          <w:rFonts w:eastAsia="Calibri"/>
          <w:kern w:val="0"/>
          <w:sz w:val="20"/>
          <w:vertAlign w:val="superscript"/>
        </w:rPr>
        <w:footnoteReference w:id="103"/>
      </w:r>
      <w:r w:rsidRPr="00C55852">
        <w:rPr>
          <w:rFonts w:eastAsia="Calibri"/>
          <w:kern w:val="0"/>
        </w:rPr>
        <w:t xml:space="preserve"> or; (4) a terminating location of a link.  If multiple functions are performed at the same node (e.g., the same facility houses the central office and a mobile switching center), the carrier should report multiple facilities at that location.  </w:t>
      </w:r>
    </w:p>
    <w:p w:rsidR="00C55852" w:rsidRPr="00C55852" w14:paraId="3398AEC5" w14:textId="77777777">
      <w:pPr>
        <w:widowControl/>
        <w:autoSpaceDE w:val="0"/>
        <w:autoSpaceDN w:val="0"/>
        <w:adjustRightInd w:val="0"/>
        <w:ind w:left="360"/>
        <w:rPr>
          <w:rFonts w:eastAsia="Calibri"/>
          <w:kern w:val="0"/>
          <w:szCs w:val="22"/>
        </w:rPr>
      </w:pPr>
    </w:p>
    <w:p w:rsidR="00C55852" w:rsidRPr="00C55852" w14:paraId="037588AC" w14:textId="511BB535">
      <w:pPr>
        <w:widowControl/>
        <w:autoSpaceDE w:val="0"/>
        <w:autoSpaceDN w:val="0"/>
        <w:adjustRightInd w:val="0"/>
        <w:ind w:left="360"/>
        <w:rPr>
          <w:rFonts w:eastAsia="Calibri"/>
        </w:rPr>
      </w:pPr>
      <w:r w:rsidRPr="00C55852">
        <w:rPr>
          <w:rFonts w:eastAsia="Calibri"/>
          <w:kern w:val="0"/>
        </w:rPr>
        <w:t xml:space="preserve">Alaska Plan participants should include those nodes where they own (i.e., any ownership interest regardless of how </w:t>
      </w:r>
      <w:r w:rsidRPr="00C55852">
        <w:rPr>
          <w:rFonts w:eastAsia="Calibri"/>
          <w:i/>
          <w:kern w:val="0"/>
        </w:rPr>
        <w:t>de minimis</w:t>
      </w:r>
      <w:r w:rsidRPr="00C55852">
        <w:rPr>
          <w:rFonts w:eastAsia="Calibri"/>
          <w:kern w:val="0"/>
        </w:rPr>
        <w:t xml:space="preserve">) or lease a facility or equipment, as well as those nodes that are the terminating location for a link where the filer does not own or lease node equipment or facilities at the termination point. </w:t>
      </w:r>
    </w:p>
    <w:p w:rsidR="00C55852" w:rsidRPr="00C55852" w14:paraId="4F08DE70" w14:textId="77777777">
      <w:pPr>
        <w:widowControl/>
        <w:rPr>
          <w:rFonts w:eastAsia="Calibri"/>
          <w:snapToGrid/>
          <w:kern w:val="0"/>
          <w:szCs w:val="22"/>
        </w:rPr>
      </w:pPr>
    </w:p>
    <w:p w:rsidR="00C55852" w:rsidRPr="00C55852" w14:paraId="224A521F" w14:textId="77777777">
      <w:pPr>
        <w:widowControl/>
        <w:autoSpaceDE w:val="0"/>
        <w:autoSpaceDN w:val="0"/>
        <w:adjustRightInd w:val="0"/>
        <w:rPr>
          <w:rFonts w:eastAsia="Calibri"/>
        </w:rPr>
      </w:pPr>
      <w:r w:rsidRPr="00C55852">
        <w:rPr>
          <w:rFonts w:eastAsia="Calibri"/>
          <w:kern w:val="0"/>
          <w:u w:val="single"/>
        </w:rPr>
        <w:t xml:space="preserve">Filing Guidance for </w:t>
      </w:r>
      <w:r w:rsidRPr="00C55852">
        <w:rPr>
          <w:rFonts w:eastAsia="Calibri"/>
          <w:i/>
          <w:kern w:val="0"/>
          <w:u w:val="single"/>
        </w:rPr>
        <w:t>Nodes</w:t>
      </w:r>
      <w:r w:rsidRPr="00C55852">
        <w:rPr>
          <w:rFonts w:eastAsia="Calibri"/>
          <w:i/>
          <w:kern w:val="0"/>
        </w:rPr>
        <w:t>:</w:t>
      </w:r>
    </w:p>
    <w:p w:rsidR="00C55852" w:rsidRPr="00C55852" w14:paraId="183D242A" w14:textId="77777777">
      <w:pPr>
        <w:widowControl/>
        <w:autoSpaceDE w:val="0"/>
        <w:autoSpaceDN w:val="0"/>
        <w:adjustRightInd w:val="0"/>
        <w:rPr>
          <w:rFonts w:eastAsia="Calibri"/>
          <w:kern w:val="0"/>
          <w:szCs w:val="22"/>
        </w:rPr>
      </w:pPr>
    </w:p>
    <w:p w:rsidR="00C55852" w:rsidRPr="00C55852" w14:paraId="7CA11BDF" w14:textId="77777777">
      <w:pPr>
        <w:widowControl/>
        <w:numPr>
          <w:ilvl w:val="0"/>
          <w:numId w:val="14"/>
        </w:numPr>
        <w:autoSpaceDE w:val="0"/>
        <w:autoSpaceDN w:val="0"/>
        <w:adjustRightInd w:val="0"/>
        <w:contextualSpacing/>
        <w:rPr>
          <w:rFonts w:eastAsia="Calibri"/>
        </w:rPr>
      </w:pPr>
      <w:r w:rsidRPr="00C55852">
        <w:rPr>
          <w:rFonts w:eastAsia="Calibri"/>
          <w:kern w:val="0"/>
        </w:rPr>
        <w:t xml:space="preserve">Submit the file as a CSV.  </w:t>
      </w:r>
      <w:r w:rsidRPr="00C55852">
        <w:rPr>
          <w:kern w:val="0"/>
        </w:rPr>
        <w:t>The file should be named with the (1) Admin SAC number in filing, (2) underscore, and (3) year that the information is filed (</w:t>
      </w:r>
      <w:r w:rsidRPr="00F56BFB">
        <w:rPr>
          <w:kern w:val="0"/>
        </w:rPr>
        <w:t>e.g</w:t>
      </w:r>
      <w:r w:rsidRPr="00C55852">
        <w:rPr>
          <w:kern w:val="0"/>
        </w:rPr>
        <w:t>., 613000_2018).</w:t>
      </w:r>
    </w:p>
    <w:p w:rsidR="00C55852" w:rsidRPr="00C55852" w14:paraId="4BB73831" w14:textId="77777777">
      <w:pPr>
        <w:widowControl/>
        <w:numPr>
          <w:ilvl w:val="0"/>
          <w:numId w:val="14"/>
        </w:numPr>
        <w:autoSpaceDE w:val="0"/>
        <w:autoSpaceDN w:val="0"/>
        <w:adjustRightInd w:val="0"/>
        <w:contextualSpacing/>
        <w:rPr>
          <w:rFonts w:eastAsia="Calibri"/>
        </w:rPr>
      </w:pPr>
      <w:r w:rsidRPr="00C55852">
        <w:rPr>
          <w:rFonts w:eastAsia="Calibri"/>
          <w:kern w:val="0"/>
        </w:rPr>
        <w:t xml:space="preserve">The horizontal (latitude and longitude) accuracy of nodes must meet National Standard for Spatial Data Accuracy: accurate to within 7.6m CE95 (FGDC-STD-007, 3-1998), or labeled as an “estimate,” as indicated below.   </w:t>
      </w:r>
    </w:p>
    <w:p w:rsidR="00C55852" w:rsidRPr="00C55852" w14:paraId="4EF38525" w14:textId="77777777">
      <w:pPr>
        <w:widowControl/>
        <w:autoSpaceDE w:val="0"/>
        <w:autoSpaceDN w:val="0"/>
        <w:adjustRightInd w:val="0"/>
        <w:ind w:left="360"/>
        <w:rPr>
          <w:kern w:val="0"/>
          <w:szCs w:val="2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04"/>
        <w:gridCol w:w="3443"/>
        <w:gridCol w:w="1306"/>
        <w:gridCol w:w="2307"/>
      </w:tblGrid>
      <w:tr w14:paraId="2C84E134" w14:textId="77777777" w:rsidTr="00AE490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6"/>
        </w:trPr>
        <w:tc>
          <w:tcPr>
            <w:tcW w:w="9360" w:type="dxa"/>
            <w:gridSpan w:val="4"/>
            <w:tcBorders>
              <w:left w:val="nil"/>
              <w:bottom w:val="single" w:sz="4" w:space="0" w:color="auto"/>
              <w:right w:val="nil"/>
            </w:tcBorders>
            <w:shd w:val="clear" w:color="auto" w:fill="auto"/>
            <w:vAlign w:val="center"/>
          </w:tcPr>
          <w:p w:rsidR="00C55852" w:rsidRPr="00C55852" w14:paraId="6F47B202" w14:textId="77777777">
            <w:pPr>
              <w:widowControl/>
              <w:autoSpaceDE w:val="0"/>
              <w:autoSpaceDN w:val="0"/>
              <w:adjustRightInd w:val="0"/>
              <w:jc w:val="center"/>
              <w:rPr>
                <w:rStyle w:val="DefaultParagraphFont"/>
                <w:rFonts w:eastAsia="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Record Format for Nodes</w:t>
            </w:r>
          </w:p>
        </w:tc>
      </w:tr>
      <w:tr w14:paraId="02103022" w14:textId="77777777" w:rsidTr="00AE4901">
        <w:tblPrEx>
          <w:tblW w:w="0" w:type="auto"/>
          <w:tblInd w:w="0" w:type="dxa"/>
          <w:tblCellMar>
            <w:top w:w="0" w:type="dxa"/>
            <w:left w:w="108" w:type="dxa"/>
            <w:bottom w:w="0" w:type="dxa"/>
            <w:right w:w="108" w:type="dxa"/>
          </w:tblCellMar>
          <w:tblLook w:val="04A0"/>
        </w:tblPrEx>
        <w:trPr>
          <w:trHeight w:val="506"/>
        </w:trPr>
        <w:tc>
          <w:tcPr>
            <w:tcW w:w="2304" w:type="dxa"/>
            <w:tcBorders>
              <w:left w:val="nil"/>
              <w:bottom w:val="single" w:sz="4" w:space="0" w:color="auto"/>
            </w:tcBorders>
            <w:shd w:val="clear" w:color="auto" w:fill="auto"/>
            <w:vAlign w:val="center"/>
          </w:tcPr>
          <w:p w:rsidR="00C55852" w:rsidRPr="00C55852" w:rsidP="008D3D95" w14:paraId="00C03FB7" w14:textId="77777777">
            <w:pPr>
              <w:widowControl/>
              <w:autoSpaceDE w:val="0"/>
              <w:autoSpaceDN w:val="0"/>
              <w:adjustRightInd w:val="0"/>
              <w:rPr>
                <w:rStyle w:val="DefaultParagraphFont"/>
                <w:rFonts w:eastAsia="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Field Name</w:t>
            </w:r>
          </w:p>
        </w:tc>
        <w:tc>
          <w:tcPr>
            <w:tcW w:w="3443" w:type="dxa"/>
            <w:tcBorders>
              <w:bottom w:val="single" w:sz="4" w:space="0" w:color="auto"/>
            </w:tcBorders>
            <w:shd w:val="clear" w:color="auto" w:fill="auto"/>
            <w:vAlign w:val="center"/>
          </w:tcPr>
          <w:p w:rsidR="00C55852" w:rsidRPr="00C55852" w14:paraId="6A590F51" w14:textId="77777777">
            <w:pPr>
              <w:widowControl/>
              <w:autoSpaceDE w:val="0"/>
              <w:autoSpaceDN w:val="0"/>
              <w:adjustRightInd w:val="0"/>
              <w:rPr>
                <w:rStyle w:val="DefaultParagraphFont"/>
                <w:rFonts w:eastAsia="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Description</w:t>
            </w:r>
          </w:p>
        </w:tc>
        <w:tc>
          <w:tcPr>
            <w:tcW w:w="1306" w:type="dxa"/>
            <w:tcBorders>
              <w:bottom w:val="single" w:sz="4" w:space="0" w:color="auto"/>
            </w:tcBorders>
            <w:shd w:val="clear" w:color="auto" w:fill="auto"/>
            <w:vAlign w:val="center"/>
          </w:tcPr>
          <w:p w:rsidR="00C55852" w:rsidRPr="00C55852" w14:paraId="75AD8D56" w14:textId="77777777">
            <w:pPr>
              <w:widowControl/>
              <w:autoSpaceDE w:val="0"/>
              <w:autoSpaceDN w:val="0"/>
              <w:adjustRightInd w:val="0"/>
              <w:rPr>
                <w:rStyle w:val="DefaultParagraphFont"/>
                <w:rFonts w:eastAsia="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Type</w:t>
            </w:r>
          </w:p>
        </w:tc>
        <w:tc>
          <w:tcPr>
            <w:tcW w:w="2307" w:type="dxa"/>
            <w:tcBorders>
              <w:bottom w:val="single" w:sz="4" w:space="0" w:color="auto"/>
              <w:right w:val="nil"/>
            </w:tcBorders>
            <w:shd w:val="clear" w:color="auto" w:fill="auto"/>
            <w:vAlign w:val="center"/>
          </w:tcPr>
          <w:p w:rsidR="00C55852" w:rsidRPr="00C55852" w14:paraId="1E140BAA" w14:textId="77777777">
            <w:pPr>
              <w:widowControl/>
              <w:autoSpaceDE w:val="0"/>
              <w:autoSpaceDN w:val="0"/>
              <w:adjustRightInd w:val="0"/>
              <w:rPr>
                <w:rStyle w:val="DefaultParagraphFont"/>
                <w:rFonts w:eastAsia="Calibri"/>
                <w:b/>
                <w:snapToGrid w:val="0"/>
                <w:kern w:val="28"/>
                <w:sz w:val="22"/>
                <w:szCs w:val="20"/>
                <w:lang w:val="en-US" w:eastAsia="en-US" w:bidi="ar-SA"/>
              </w:rPr>
            </w:pPr>
            <w:r w:rsidRPr="00C55852">
              <w:rPr>
                <w:rFonts w:ascii="Calibri" w:eastAsia="Calibri" w:hAnsi="Calibri"/>
                <w:b/>
                <w:snapToGrid w:val="0"/>
                <w:kern w:val="0"/>
                <w:sz w:val="22"/>
                <w:szCs w:val="20"/>
                <w:lang w:val="en-US" w:eastAsia="en-US" w:bidi="ar-SA"/>
              </w:rPr>
              <w:t>Example</w:t>
            </w:r>
          </w:p>
        </w:tc>
      </w:tr>
      <w:tr w14:paraId="31889A39" w14:textId="77777777" w:rsidTr="00AE4901">
        <w:tblPrEx>
          <w:tblW w:w="0" w:type="auto"/>
          <w:tblInd w:w="0" w:type="dxa"/>
          <w:tblCellMar>
            <w:top w:w="0" w:type="dxa"/>
            <w:left w:w="108" w:type="dxa"/>
            <w:bottom w:w="0" w:type="dxa"/>
            <w:right w:w="108" w:type="dxa"/>
          </w:tblCellMar>
          <w:tblLook w:val="04A0"/>
        </w:tblPrEx>
        <w:trPr>
          <w:trHeight w:val="506"/>
        </w:trPr>
        <w:tc>
          <w:tcPr>
            <w:tcW w:w="2304" w:type="dxa"/>
            <w:tcBorders>
              <w:top w:val="nil"/>
              <w:left w:val="nil"/>
              <w:bottom w:val="nil"/>
              <w:right w:val="nil"/>
            </w:tcBorders>
            <w:shd w:val="clear" w:color="auto" w:fill="auto"/>
          </w:tcPr>
          <w:p w:rsidR="00C55852" w:rsidRPr="00C55852" w:rsidP="008D3D95" w14:paraId="421344BE"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SAC Number </w:t>
            </w:r>
          </w:p>
        </w:tc>
        <w:tc>
          <w:tcPr>
            <w:tcW w:w="3443" w:type="dxa"/>
            <w:tcBorders>
              <w:top w:val="nil"/>
              <w:left w:val="nil"/>
              <w:bottom w:val="nil"/>
              <w:right w:val="nil"/>
            </w:tcBorders>
            <w:shd w:val="clear" w:color="auto" w:fill="auto"/>
          </w:tcPr>
          <w:p w:rsidR="00C55852" w:rsidRPr="00C55852" w14:paraId="7841164C" w14:textId="77777777">
            <w:pPr>
              <w:widowControl/>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Admin Study Area Code that amounts to a unique identifier for each Alaska Plan filer </w:t>
            </w:r>
          </w:p>
          <w:p w:rsidR="00C55852" w:rsidRPr="00C55852" w14:paraId="74015A51"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1306" w:type="dxa"/>
            <w:tcBorders>
              <w:top w:val="nil"/>
              <w:left w:val="nil"/>
              <w:bottom w:val="nil"/>
              <w:right w:val="nil"/>
            </w:tcBorders>
            <w:shd w:val="clear" w:color="auto" w:fill="auto"/>
          </w:tcPr>
          <w:p w:rsidR="00C55852" w:rsidRPr="00C55852" w14:paraId="72F2C73D"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Text </w:t>
            </w:r>
          </w:p>
        </w:tc>
        <w:tc>
          <w:tcPr>
            <w:tcW w:w="2307" w:type="dxa"/>
            <w:tcBorders>
              <w:top w:val="nil"/>
              <w:left w:val="nil"/>
              <w:bottom w:val="nil"/>
              <w:right w:val="nil"/>
            </w:tcBorders>
            <w:shd w:val="clear" w:color="auto" w:fill="auto"/>
          </w:tcPr>
          <w:p w:rsidR="00C55852" w:rsidRPr="00C55852" w14:paraId="66D26C10"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613000</w:t>
            </w:r>
          </w:p>
        </w:tc>
      </w:tr>
      <w:tr w14:paraId="6176EA84" w14:textId="77777777" w:rsidTr="00AE4901">
        <w:tblPrEx>
          <w:tblW w:w="0" w:type="auto"/>
          <w:tblInd w:w="0" w:type="dxa"/>
          <w:tblCellMar>
            <w:top w:w="0" w:type="dxa"/>
            <w:left w:w="108" w:type="dxa"/>
            <w:bottom w:w="0" w:type="dxa"/>
            <w:right w:w="108" w:type="dxa"/>
          </w:tblCellMar>
          <w:tblLook w:val="04A0"/>
        </w:tblPrEx>
        <w:trPr>
          <w:trHeight w:val="506"/>
        </w:trPr>
        <w:tc>
          <w:tcPr>
            <w:tcW w:w="2304" w:type="dxa"/>
            <w:tcBorders>
              <w:top w:val="nil"/>
              <w:left w:val="nil"/>
              <w:bottom w:val="nil"/>
              <w:right w:val="nil"/>
            </w:tcBorders>
            <w:shd w:val="clear" w:color="auto" w:fill="auto"/>
          </w:tcPr>
          <w:p w:rsidR="00C55852" w:rsidRPr="00C55852" w:rsidP="008D3D95" w14:paraId="60915293"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Carrier</w:t>
            </w:r>
          </w:p>
        </w:tc>
        <w:tc>
          <w:tcPr>
            <w:tcW w:w="3443" w:type="dxa"/>
            <w:tcBorders>
              <w:top w:val="nil"/>
              <w:left w:val="nil"/>
              <w:bottom w:val="nil"/>
              <w:right w:val="nil"/>
            </w:tcBorders>
            <w:shd w:val="clear" w:color="auto" w:fill="auto"/>
          </w:tcPr>
          <w:p w:rsidR="00C55852" w:rsidRPr="00C55852" w14:paraId="4219B163"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Carrier Name(s)</w:t>
            </w:r>
          </w:p>
        </w:tc>
        <w:tc>
          <w:tcPr>
            <w:tcW w:w="1306" w:type="dxa"/>
            <w:tcBorders>
              <w:top w:val="nil"/>
              <w:left w:val="nil"/>
              <w:bottom w:val="nil"/>
              <w:right w:val="nil"/>
            </w:tcBorders>
            <w:shd w:val="clear" w:color="auto" w:fill="auto"/>
          </w:tcPr>
          <w:p w:rsidR="00C55852" w:rsidRPr="00C55852" w14:paraId="6EB6F097"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2307" w:type="dxa"/>
            <w:tcBorders>
              <w:top w:val="nil"/>
              <w:left w:val="nil"/>
              <w:bottom w:val="nil"/>
              <w:right w:val="nil"/>
            </w:tcBorders>
            <w:shd w:val="clear" w:color="auto" w:fill="auto"/>
          </w:tcPr>
          <w:p w:rsidR="00C55852" w:rsidRPr="00C55852" w14:paraId="7B38B196"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ABC; ABC Mobile</w:t>
            </w:r>
          </w:p>
          <w:p w:rsidR="00C55852" w:rsidRPr="00C55852" w14:paraId="4901B483"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r>
      <w:tr w14:paraId="0A6043FF" w14:textId="77777777" w:rsidTr="00AE4901">
        <w:tblPrEx>
          <w:tblW w:w="0" w:type="auto"/>
          <w:tblInd w:w="0" w:type="dxa"/>
          <w:tblCellMar>
            <w:top w:w="0" w:type="dxa"/>
            <w:left w:w="108" w:type="dxa"/>
            <w:bottom w:w="0" w:type="dxa"/>
            <w:right w:w="108" w:type="dxa"/>
          </w:tblCellMar>
          <w:tblLook w:val="04A0"/>
        </w:tblPrEx>
        <w:trPr>
          <w:trHeight w:val="506"/>
        </w:trPr>
        <w:tc>
          <w:tcPr>
            <w:tcW w:w="2304" w:type="dxa"/>
            <w:tcBorders>
              <w:top w:val="nil"/>
              <w:left w:val="nil"/>
              <w:bottom w:val="nil"/>
              <w:right w:val="nil"/>
            </w:tcBorders>
            <w:shd w:val="clear" w:color="auto" w:fill="auto"/>
          </w:tcPr>
          <w:p w:rsidR="00C55852" w:rsidRPr="00C55852" w:rsidP="008D3D95" w14:paraId="2A0FBD7F"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ID</w:t>
            </w:r>
          </w:p>
        </w:tc>
        <w:tc>
          <w:tcPr>
            <w:tcW w:w="3443" w:type="dxa"/>
            <w:tcBorders>
              <w:top w:val="nil"/>
              <w:left w:val="nil"/>
              <w:bottom w:val="nil"/>
              <w:right w:val="nil"/>
            </w:tcBorders>
            <w:shd w:val="clear" w:color="auto" w:fill="auto"/>
          </w:tcPr>
          <w:p w:rsidR="00C55852" w:rsidRPr="00C55852" w14:paraId="38E5680F"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Sequential record number</w:t>
            </w:r>
          </w:p>
        </w:tc>
        <w:tc>
          <w:tcPr>
            <w:tcW w:w="1306" w:type="dxa"/>
            <w:tcBorders>
              <w:top w:val="nil"/>
              <w:left w:val="nil"/>
              <w:bottom w:val="nil"/>
              <w:right w:val="nil"/>
            </w:tcBorders>
            <w:shd w:val="clear" w:color="auto" w:fill="auto"/>
          </w:tcPr>
          <w:p w:rsidR="00C55852" w:rsidRPr="00C55852" w14:paraId="53D5E6C2"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Integer</w:t>
            </w:r>
          </w:p>
        </w:tc>
        <w:tc>
          <w:tcPr>
            <w:tcW w:w="2307" w:type="dxa"/>
            <w:tcBorders>
              <w:top w:val="nil"/>
              <w:left w:val="nil"/>
              <w:bottom w:val="nil"/>
              <w:right w:val="nil"/>
            </w:tcBorders>
            <w:shd w:val="clear" w:color="auto" w:fill="auto"/>
          </w:tcPr>
          <w:p w:rsidR="00C55852" w:rsidRPr="00C55852" w14:paraId="50027C1D"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w:t>
            </w:r>
          </w:p>
        </w:tc>
      </w:tr>
      <w:tr w14:paraId="2179CDDD" w14:textId="77777777" w:rsidTr="00AE4901">
        <w:tblPrEx>
          <w:tblW w:w="0" w:type="auto"/>
          <w:tblInd w:w="0" w:type="dxa"/>
          <w:tblCellMar>
            <w:top w:w="0" w:type="dxa"/>
            <w:left w:w="108" w:type="dxa"/>
            <w:bottom w:w="0" w:type="dxa"/>
            <w:right w:w="108" w:type="dxa"/>
          </w:tblCellMar>
          <w:tblLook w:val="04A0"/>
        </w:tblPrEx>
        <w:trPr>
          <w:trHeight w:val="506"/>
        </w:trPr>
        <w:tc>
          <w:tcPr>
            <w:tcW w:w="2304" w:type="dxa"/>
            <w:tcBorders>
              <w:top w:val="nil"/>
              <w:left w:val="nil"/>
              <w:bottom w:val="nil"/>
              <w:right w:val="nil"/>
            </w:tcBorders>
            <w:shd w:val="clear" w:color="auto" w:fill="auto"/>
          </w:tcPr>
          <w:p w:rsidR="00C55852" w:rsidRPr="00C55852" w:rsidP="008D3D95" w14:paraId="2A1D50D9"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Lat</w:t>
            </w:r>
          </w:p>
        </w:tc>
        <w:tc>
          <w:tcPr>
            <w:tcW w:w="3443" w:type="dxa"/>
            <w:tcBorders>
              <w:top w:val="nil"/>
              <w:left w:val="nil"/>
              <w:bottom w:val="nil"/>
              <w:right w:val="nil"/>
            </w:tcBorders>
            <w:shd w:val="clear" w:color="auto" w:fill="auto"/>
          </w:tcPr>
          <w:p w:rsidR="00C55852" w:rsidRPr="00C55852" w14:paraId="41B36C0C"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Latitude</w:t>
            </w:r>
          </w:p>
        </w:tc>
        <w:tc>
          <w:tcPr>
            <w:tcW w:w="1306" w:type="dxa"/>
            <w:tcBorders>
              <w:top w:val="nil"/>
              <w:left w:val="nil"/>
              <w:bottom w:val="nil"/>
              <w:right w:val="nil"/>
            </w:tcBorders>
            <w:shd w:val="clear" w:color="auto" w:fill="auto"/>
          </w:tcPr>
          <w:p w:rsidR="00C55852" w:rsidRPr="00C55852" w14:paraId="1B44F2AF"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Double</w:t>
            </w:r>
          </w:p>
        </w:tc>
        <w:tc>
          <w:tcPr>
            <w:tcW w:w="2307" w:type="dxa"/>
            <w:tcBorders>
              <w:top w:val="nil"/>
              <w:left w:val="nil"/>
              <w:bottom w:val="nil"/>
              <w:right w:val="nil"/>
            </w:tcBorders>
            <w:shd w:val="clear" w:color="auto" w:fill="auto"/>
          </w:tcPr>
          <w:p w:rsidR="00C55852" w:rsidRPr="00C55852" w14:paraId="3F1EF3BF"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43.907111</w:t>
            </w:r>
          </w:p>
        </w:tc>
      </w:tr>
      <w:tr w14:paraId="1E62D36A" w14:textId="77777777" w:rsidTr="00AE4901">
        <w:tblPrEx>
          <w:tblW w:w="0" w:type="auto"/>
          <w:tblInd w:w="0" w:type="dxa"/>
          <w:tblCellMar>
            <w:top w:w="0" w:type="dxa"/>
            <w:left w:w="108" w:type="dxa"/>
            <w:bottom w:w="0" w:type="dxa"/>
            <w:right w:w="108" w:type="dxa"/>
          </w:tblCellMar>
          <w:tblLook w:val="04A0"/>
        </w:tblPrEx>
        <w:trPr>
          <w:trHeight w:val="506"/>
        </w:trPr>
        <w:tc>
          <w:tcPr>
            <w:tcW w:w="2304" w:type="dxa"/>
            <w:tcBorders>
              <w:top w:val="nil"/>
              <w:left w:val="nil"/>
              <w:bottom w:val="nil"/>
              <w:right w:val="nil"/>
            </w:tcBorders>
            <w:shd w:val="clear" w:color="auto" w:fill="auto"/>
          </w:tcPr>
          <w:p w:rsidR="00C55852" w:rsidRPr="00C55852" w:rsidP="008D3D95" w14:paraId="58DB6B34"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Long</w:t>
            </w:r>
          </w:p>
        </w:tc>
        <w:tc>
          <w:tcPr>
            <w:tcW w:w="3443" w:type="dxa"/>
            <w:tcBorders>
              <w:top w:val="nil"/>
              <w:left w:val="nil"/>
              <w:bottom w:val="nil"/>
              <w:right w:val="nil"/>
            </w:tcBorders>
            <w:shd w:val="clear" w:color="auto" w:fill="auto"/>
          </w:tcPr>
          <w:p w:rsidR="00C55852" w:rsidRPr="00C55852" w14:paraId="74AC9483"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Longitude</w:t>
            </w:r>
          </w:p>
        </w:tc>
        <w:tc>
          <w:tcPr>
            <w:tcW w:w="1306" w:type="dxa"/>
            <w:tcBorders>
              <w:top w:val="nil"/>
              <w:left w:val="nil"/>
              <w:bottom w:val="nil"/>
              <w:right w:val="nil"/>
            </w:tcBorders>
            <w:shd w:val="clear" w:color="auto" w:fill="auto"/>
          </w:tcPr>
          <w:p w:rsidR="00C55852" w:rsidRPr="00C55852" w14:paraId="1BCA51A4"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Double</w:t>
            </w:r>
          </w:p>
        </w:tc>
        <w:tc>
          <w:tcPr>
            <w:tcW w:w="2307" w:type="dxa"/>
            <w:tcBorders>
              <w:top w:val="nil"/>
              <w:left w:val="nil"/>
              <w:bottom w:val="nil"/>
              <w:right w:val="nil"/>
            </w:tcBorders>
            <w:shd w:val="clear" w:color="auto" w:fill="auto"/>
          </w:tcPr>
          <w:p w:rsidR="00C55852" w:rsidRPr="00C55852" w14:paraId="3BAAB15B"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-103.760250</w:t>
            </w:r>
          </w:p>
        </w:tc>
      </w:tr>
      <w:tr w14:paraId="11963D16" w14:textId="77777777" w:rsidTr="00AE4901">
        <w:tblPrEx>
          <w:tblW w:w="0" w:type="auto"/>
          <w:tblInd w:w="0" w:type="dxa"/>
          <w:tblCellMar>
            <w:top w:w="0" w:type="dxa"/>
            <w:left w:w="108" w:type="dxa"/>
            <w:bottom w:w="0" w:type="dxa"/>
            <w:right w:w="108" w:type="dxa"/>
          </w:tblCellMar>
          <w:tblLook w:val="04A0"/>
        </w:tblPrEx>
        <w:trPr>
          <w:trHeight w:val="506"/>
        </w:trPr>
        <w:tc>
          <w:tcPr>
            <w:tcW w:w="2304" w:type="dxa"/>
            <w:tcBorders>
              <w:top w:val="nil"/>
              <w:left w:val="nil"/>
              <w:bottom w:val="nil"/>
              <w:right w:val="nil"/>
            </w:tcBorders>
            <w:shd w:val="clear" w:color="auto" w:fill="auto"/>
          </w:tcPr>
          <w:p w:rsidR="00C55852" w:rsidRPr="00C55852" w:rsidP="008D3D95" w14:paraId="50555DCD"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Node</w:t>
            </w:r>
          </w:p>
        </w:tc>
        <w:tc>
          <w:tcPr>
            <w:tcW w:w="3443" w:type="dxa"/>
            <w:tcBorders>
              <w:top w:val="nil"/>
              <w:left w:val="nil"/>
              <w:bottom w:val="nil"/>
              <w:right w:val="nil"/>
            </w:tcBorders>
            <w:shd w:val="clear" w:color="auto" w:fill="auto"/>
          </w:tcPr>
          <w:p w:rsidR="00C55852" w:rsidRPr="00C55852" w14:paraId="75FC6892"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Type of Facilities at the node: fiber (F), microwave (M), or both (B)</w:t>
            </w:r>
          </w:p>
          <w:p w:rsidR="00C55852" w:rsidRPr="00C55852" w14:paraId="6F44A6D7" w14:textId="77777777">
            <w:pPr>
              <w:widowControl/>
              <w:autoSpaceDE w:val="0"/>
              <w:autoSpaceDN w:val="0"/>
              <w:adjustRightInd w:val="0"/>
              <w:rPr>
                <w:rStyle w:val="DefaultParagraphFont"/>
                <w:rFonts w:eastAsia="Calibri"/>
                <w:snapToGrid w:val="0"/>
                <w:kern w:val="0"/>
                <w:sz w:val="22"/>
                <w:szCs w:val="22"/>
                <w:lang w:val="en-US" w:eastAsia="en-US" w:bidi="ar-SA"/>
              </w:rPr>
            </w:pPr>
          </w:p>
        </w:tc>
        <w:tc>
          <w:tcPr>
            <w:tcW w:w="1306" w:type="dxa"/>
            <w:tcBorders>
              <w:top w:val="nil"/>
              <w:left w:val="nil"/>
              <w:bottom w:val="nil"/>
              <w:right w:val="nil"/>
            </w:tcBorders>
            <w:shd w:val="clear" w:color="auto" w:fill="auto"/>
          </w:tcPr>
          <w:p w:rsidR="00C55852" w:rsidRPr="00C55852" w14:paraId="37C18569"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2307" w:type="dxa"/>
            <w:tcBorders>
              <w:top w:val="nil"/>
              <w:left w:val="nil"/>
              <w:bottom w:val="nil"/>
              <w:right w:val="nil"/>
            </w:tcBorders>
            <w:shd w:val="clear" w:color="auto" w:fill="auto"/>
          </w:tcPr>
          <w:p w:rsidR="00C55852" w:rsidRPr="00C55852" w14:paraId="1627D800"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F</w:t>
            </w:r>
          </w:p>
        </w:tc>
      </w:tr>
      <w:tr w14:paraId="7CC4B2F7" w14:textId="77777777" w:rsidTr="00AE4901">
        <w:tblPrEx>
          <w:tblW w:w="0" w:type="auto"/>
          <w:tblInd w:w="0" w:type="dxa"/>
          <w:tblCellMar>
            <w:top w:w="0" w:type="dxa"/>
            <w:left w:w="108" w:type="dxa"/>
            <w:bottom w:w="0" w:type="dxa"/>
            <w:right w:w="108" w:type="dxa"/>
          </w:tblCellMar>
          <w:tblLook w:val="04A0"/>
        </w:tblPrEx>
        <w:trPr>
          <w:trHeight w:val="540"/>
        </w:trPr>
        <w:tc>
          <w:tcPr>
            <w:tcW w:w="2304" w:type="dxa"/>
            <w:tcBorders>
              <w:top w:val="nil"/>
              <w:left w:val="nil"/>
              <w:bottom w:val="nil"/>
              <w:right w:val="nil"/>
            </w:tcBorders>
            <w:shd w:val="clear" w:color="auto" w:fill="auto"/>
          </w:tcPr>
          <w:p w:rsidR="00C55852" w:rsidRPr="00C55852" w:rsidP="008D3D95" w14:paraId="4BB23A9A"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NodeYear</w:t>
            </w:r>
          </w:p>
          <w:p w:rsidR="00C55852" w:rsidRPr="00C55852" w14:paraId="0F7EF5F9"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3443" w:type="dxa"/>
            <w:tcBorders>
              <w:top w:val="nil"/>
              <w:left w:val="nil"/>
              <w:bottom w:val="nil"/>
              <w:right w:val="nil"/>
            </w:tcBorders>
            <w:shd w:val="clear" w:color="auto" w:fill="auto"/>
          </w:tcPr>
          <w:p w:rsidR="00C55852" w:rsidRPr="00C55852" w14:paraId="14AF04A3"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Year Node went “live” or leased</w:t>
            </w:r>
          </w:p>
          <w:p w:rsidR="00C55852" w:rsidRPr="00C55852" w14:paraId="19519704"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1306" w:type="dxa"/>
            <w:tcBorders>
              <w:top w:val="nil"/>
              <w:left w:val="nil"/>
              <w:bottom w:val="nil"/>
              <w:right w:val="nil"/>
            </w:tcBorders>
            <w:shd w:val="clear" w:color="auto" w:fill="auto"/>
          </w:tcPr>
          <w:p w:rsidR="00C55852" w:rsidRPr="00C55852" w14:paraId="6A1B37F6"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Integer</w:t>
            </w:r>
          </w:p>
          <w:p w:rsidR="00C55852" w:rsidRPr="00C55852" w14:paraId="313ECB75"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2307" w:type="dxa"/>
            <w:tcBorders>
              <w:top w:val="nil"/>
              <w:left w:val="nil"/>
              <w:bottom w:val="nil"/>
              <w:right w:val="nil"/>
            </w:tcBorders>
            <w:shd w:val="clear" w:color="auto" w:fill="auto"/>
          </w:tcPr>
          <w:p w:rsidR="00C55852" w:rsidRPr="00C55852" w14:paraId="51102158"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2014</w:t>
            </w:r>
          </w:p>
          <w:p w:rsidR="00C55852" w:rsidRPr="00C55852" w14:paraId="72DBFEA3"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r>
      <w:tr w14:paraId="13F1170C" w14:textId="77777777" w:rsidTr="00AE4901">
        <w:tblPrEx>
          <w:tblW w:w="0" w:type="auto"/>
          <w:tblInd w:w="0" w:type="dxa"/>
          <w:tblCellMar>
            <w:top w:w="0" w:type="dxa"/>
            <w:left w:w="108" w:type="dxa"/>
            <w:bottom w:w="0" w:type="dxa"/>
            <w:right w:w="108" w:type="dxa"/>
          </w:tblCellMar>
          <w:tblLook w:val="04A0"/>
        </w:tblPrEx>
        <w:trPr>
          <w:trHeight w:val="540"/>
        </w:trPr>
        <w:tc>
          <w:tcPr>
            <w:tcW w:w="2304" w:type="dxa"/>
            <w:tcBorders>
              <w:top w:val="nil"/>
              <w:left w:val="nil"/>
              <w:bottom w:val="nil"/>
              <w:right w:val="nil"/>
            </w:tcBorders>
            <w:shd w:val="clear" w:color="auto" w:fill="auto"/>
          </w:tcPr>
          <w:p w:rsidR="00C55852" w:rsidRPr="00C55852" w:rsidP="008D3D95" w14:paraId="2112A265"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Ownership</w:t>
            </w:r>
          </w:p>
          <w:p w:rsidR="00C55852" w:rsidRPr="00C55852" w14:paraId="62ECCF7C"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3443" w:type="dxa"/>
            <w:tcBorders>
              <w:top w:val="nil"/>
              <w:left w:val="nil"/>
              <w:bottom w:val="nil"/>
              <w:right w:val="nil"/>
            </w:tcBorders>
            <w:shd w:val="clear" w:color="auto" w:fill="auto"/>
          </w:tcPr>
          <w:p w:rsidR="00C55852" w:rsidRPr="00C55852" w14:paraId="31E0BD3C"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Owned (O), Leased (L), Neither (N)</w:t>
            </w:r>
          </w:p>
        </w:tc>
        <w:tc>
          <w:tcPr>
            <w:tcW w:w="1306" w:type="dxa"/>
            <w:tcBorders>
              <w:top w:val="nil"/>
              <w:left w:val="nil"/>
              <w:bottom w:val="nil"/>
              <w:right w:val="nil"/>
            </w:tcBorders>
            <w:shd w:val="clear" w:color="auto" w:fill="auto"/>
          </w:tcPr>
          <w:p w:rsidR="00C55852" w:rsidRPr="00C55852" w14:paraId="15C883F0"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2307" w:type="dxa"/>
            <w:tcBorders>
              <w:top w:val="nil"/>
              <w:left w:val="nil"/>
              <w:bottom w:val="nil"/>
              <w:right w:val="nil"/>
            </w:tcBorders>
            <w:shd w:val="clear" w:color="auto" w:fill="auto"/>
          </w:tcPr>
          <w:p w:rsidR="00C55852" w:rsidRPr="00C55852" w14:paraId="487A3932"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O</w:t>
            </w:r>
          </w:p>
        </w:tc>
      </w:tr>
      <w:tr w14:paraId="58680D9C" w14:textId="77777777" w:rsidTr="00AE4901">
        <w:tblPrEx>
          <w:tblW w:w="0" w:type="auto"/>
          <w:tblInd w:w="0" w:type="dxa"/>
          <w:tblCellMar>
            <w:top w:w="0" w:type="dxa"/>
            <w:left w:w="108" w:type="dxa"/>
            <w:bottom w:w="0" w:type="dxa"/>
            <w:right w:w="108" w:type="dxa"/>
          </w:tblCellMar>
          <w:tblLook w:val="04A0"/>
        </w:tblPrEx>
        <w:trPr>
          <w:trHeight w:val="540"/>
        </w:trPr>
        <w:tc>
          <w:tcPr>
            <w:tcW w:w="2304" w:type="dxa"/>
            <w:tcBorders>
              <w:top w:val="nil"/>
              <w:left w:val="nil"/>
              <w:bottom w:val="nil"/>
              <w:right w:val="nil"/>
            </w:tcBorders>
            <w:shd w:val="clear" w:color="auto" w:fill="auto"/>
          </w:tcPr>
          <w:p w:rsidR="00C55852" w:rsidRPr="00C55852" w:rsidP="008D3D95" w14:paraId="230DDFB5"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Describe</w:t>
            </w:r>
          </w:p>
          <w:p w:rsidR="00C55852" w:rsidRPr="00C55852" w14:paraId="664BED01"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3443" w:type="dxa"/>
            <w:tcBorders>
              <w:top w:val="nil"/>
              <w:left w:val="nil"/>
              <w:bottom w:val="nil"/>
              <w:right w:val="nil"/>
            </w:tcBorders>
            <w:shd w:val="clear" w:color="auto" w:fill="auto"/>
          </w:tcPr>
          <w:p w:rsidR="00C55852" w:rsidRPr="00C55852" w14:paraId="09D03FCB"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Describe node</w:t>
            </w:r>
          </w:p>
          <w:p w:rsidR="00C55852" w:rsidRPr="00C55852" w14:paraId="152C0EF6"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1306" w:type="dxa"/>
            <w:tcBorders>
              <w:top w:val="nil"/>
              <w:left w:val="nil"/>
              <w:bottom w:val="nil"/>
              <w:right w:val="nil"/>
            </w:tcBorders>
            <w:shd w:val="clear" w:color="auto" w:fill="auto"/>
          </w:tcPr>
          <w:p w:rsidR="00C55852" w:rsidRPr="00C55852" w14:paraId="5646C064"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p w:rsidR="00C55852" w:rsidRPr="00C55852" w14:paraId="734FB20A"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2307" w:type="dxa"/>
            <w:tcBorders>
              <w:top w:val="nil"/>
              <w:left w:val="nil"/>
              <w:bottom w:val="nil"/>
              <w:right w:val="nil"/>
            </w:tcBorders>
            <w:shd w:val="clear" w:color="auto" w:fill="auto"/>
          </w:tcPr>
          <w:p w:rsidR="00C55852" w:rsidRPr="00C55852" w14:paraId="536E112F"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central office, cable headend </w:t>
            </w:r>
          </w:p>
          <w:p w:rsidR="00C55852" w:rsidRPr="00C55852" w14:paraId="4096131D"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r>
      <w:tr w14:paraId="41B4B539" w14:textId="77777777" w:rsidTr="00AE4901">
        <w:tblPrEx>
          <w:tblW w:w="0" w:type="auto"/>
          <w:tblInd w:w="0" w:type="dxa"/>
          <w:tblCellMar>
            <w:top w:w="0" w:type="dxa"/>
            <w:left w:w="108" w:type="dxa"/>
            <w:bottom w:w="0" w:type="dxa"/>
            <w:right w:w="108" w:type="dxa"/>
          </w:tblCellMar>
          <w:tblLook w:val="04A0"/>
        </w:tblPrEx>
        <w:trPr>
          <w:trHeight w:val="540"/>
        </w:trPr>
        <w:tc>
          <w:tcPr>
            <w:tcW w:w="2304" w:type="dxa"/>
            <w:tcBorders>
              <w:top w:val="nil"/>
              <w:left w:val="nil"/>
              <w:bottom w:val="nil"/>
              <w:right w:val="nil"/>
            </w:tcBorders>
            <w:shd w:val="clear" w:color="auto" w:fill="auto"/>
          </w:tcPr>
          <w:p w:rsidR="00C55852" w:rsidRPr="00C55852" w:rsidP="008D3D95" w14:paraId="2ADEFDDA"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Cell Site</w:t>
            </w:r>
          </w:p>
        </w:tc>
        <w:tc>
          <w:tcPr>
            <w:tcW w:w="3443" w:type="dxa"/>
            <w:tcBorders>
              <w:top w:val="nil"/>
              <w:left w:val="nil"/>
              <w:bottom w:val="nil"/>
              <w:right w:val="nil"/>
            </w:tcBorders>
            <w:shd w:val="clear" w:color="auto" w:fill="auto"/>
          </w:tcPr>
          <w:p w:rsidR="00C55852" w:rsidRPr="00C55852" w14:paraId="47BD686A"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Is this node the first aggregation point for mobile traffic?  Yes (Y) or No (N)</w:t>
            </w:r>
          </w:p>
          <w:p w:rsidR="00C55852" w:rsidRPr="00C55852" w14:paraId="485B8AA4" w14:textId="77777777">
            <w:pPr>
              <w:widowControl/>
              <w:autoSpaceDE w:val="0"/>
              <w:autoSpaceDN w:val="0"/>
              <w:adjustRightInd w:val="0"/>
              <w:rPr>
                <w:rStyle w:val="DefaultParagraphFont"/>
                <w:rFonts w:eastAsia="Calibri"/>
                <w:snapToGrid w:val="0"/>
                <w:kern w:val="0"/>
                <w:sz w:val="22"/>
                <w:szCs w:val="22"/>
                <w:lang w:val="en-US" w:eastAsia="en-US" w:bidi="ar-SA"/>
              </w:rPr>
            </w:pPr>
          </w:p>
        </w:tc>
        <w:tc>
          <w:tcPr>
            <w:tcW w:w="1306" w:type="dxa"/>
            <w:tcBorders>
              <w:top w:val="nil"/>
              <w:left w:val="nil"/>
              <w:bottom w:val="nil"/>
              <w:right w:val="nil"/>
            </w:tcBorders>
            <w:shd w:val="clear" w:color="auto" w:fill="auto"/>
          </w:tcPr>
          <w:p w:rsidR="00C55852" w:rsidRPr="00C55852" w14:paraId="7AE29123"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2307" w:type="dxa"/>
            <w:tcBorders>
              <w:top w:val="nil"/>
              <w:left w:val="nil"/>
              <w:bottom w:val="nil"/>
              <w:right w:val="nil"/>
            </w:tcBorders>
            <w:shd w:val="clear" w:color="auto" w:fill="auto"/>
          </w:tcPr>
          <w:p w:rsidR="00C55852" w:rsidRPr="00C55852" w14:paraId="60E6EA91" w14:textId="77777777">
            <w:pPr>
              <w:widowControl/>
              <w:autoSpaceDE w:val="0"/>
              <w:autoSpaceDN w:val="0"/>
              <w:adjustRightInd w:val="0"/>
              <w:rPr>
                <w:rStyle w:val="DefaultParagraphFont"/>
                <w:rFonts w:eastAsia="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N</w:t>
            </w:r>
          </w:p>
          <w:p w:rsidR="00C55852" w:rsidRPr="00C55852" w14:paraId="15C1AA73" w14:textId="77777777">
            <w:pPr>
              <w:widowControl/>
              <w:autoSpaceDE w:val="0"/>
              <w:autoSpaceDN w:val="0"/>
              <w:adjustRightInd w:val="0"/>
              <w:rPr>
                <w:rStyle w:val="DefaultParagraphFont"/>
                <w:rFonts w:eastAsia="Calibri"/>
                <w:snapToGrid w:val="0"/>
                <w:kern w:val="0"/>
                <w:sz w:val="22"/>
                <w:szCs w:val="22"/>
                <w:lang w:val="en-US" w:eastAsia="en-US" w:bidi="ar-SA"/>
              </w:rPr>
            </w:pPr>
          </w:p>
        </w:tc>
      </w:tr>
      <w:tr w14:paraId="448DEFC8" w14:textId="77777777" w:rsidTr="00AE4901">
        <w:tblPrEx>
          <w:tblW w:w="0" w:type="auto"/>
          <w:tblInd w:w="0" w:type="dxa"/>
          <w:tblCellMar>
            <w:top w:w="0" w:type="dxa"/>
            <w:left w:w="108" w:type="dxa"/>
            <w:bottom w:w="0" w:type="dxa"/>
            <w:right w:w="108" w:type="dxa"/>
          </w:tblCellMar>
          <w:tblLook w:val="04A0"/>
        </w:tblPrEx>
        <w:trPr>
          <w:trHeight w:val="540"/>
        </w:trPr>
        <w:tc>
          <w:tcPr>
            <w:tcW w:w="2304" w:type="dxa"/>
            <w:tcBorders>
              <w:top w:val="nil"/>
              <w:left w:val="nil"/>
              <w:bottom w:val="nil"/>
              <w:right w:val="nil"/>
            </w:tcBorders>
            <w:shd w:val="clear" w:color="auto" w:fill="auto"/>
          </w:tcPr>
          <w:p w:rsidR="00C55852" w:rsidRPr="00C55852" w:rsidP="008D3D95" w14:paraId="4C99356E"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Transit</w:t>
            </w:r>
          </w:p>
        </w:tc>
        <w:tc>
          <w:tcPr>
            <w:tcW w:w="3443" w:type="dxa"/>
            <w:tcBorders>
              <w:top w:val="nil"/>
              <w:left w:val="nil"/>
              <w:bottom w:val="nil"/>
              <w:right w:val="nil"/>
            </w:tcBorders>
            <w:shd w:val="clear" w:color="auto" w:fill="auto"/>
          </w:tcPr>
          <w:p w:rsidR="00C55852" w:rsidRPr="00C55852" w14:paraId="2CA3A21E"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If interconnection to a transit provider occurs at this node, what is the arranged data rate in Mbps.</w:t>
            </w:r>
          </w:p>
          <w:p w:rsidR="00C55852" w:rsidRPr="00C55852" w14:paraId="1C8F149E"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1306" w:type="dxa"/>
            <w:tcBorders>
              <w:top w:val="nil"/>
              <w:left w:val="nil"/>
              <w:bottom w:val="nil"/>
              <w:right w:val="nil"/>
            </w:tcBorders>
            <w:shd w:val="clear" w:color="auto" w:fill="auto"/>
          </w:tcPr>
          <w:p w:rsidR="00C55852" w:rsidRPr="00C55852" w14:paraId="3816C252"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Integer</w:t>
            </w:r>
          </w:p>
        </w:tc>
        <w:tc>
          <w:tcPr>
            <w:tcW w:w="2307" w:type="dxa"/>
            <w:tcBorders>
              <w:top w:val="nil"/>
              <w:left w:val="nil"/>
              <w:bottom w:val="nil"/>
              <w:right w:val="nil"/>
            </w:tcBorders>
            <w:shd w:val="clear" w:color="auto" w:fill="auto"/>
          </w:tcPr>
          <w:p w:rsidR="00C55852" w:rsidRPr="00C55852" w14:paraId="5C29A438"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10</w:t>
            </w:r>
          </w:p>
        </w:tc>
      </w:tr>
      <w:tr w14:paraId="27E24759" w14:textId="77777777" w:rsidTr="00AE4901">
        <w:tblPrEx>
          <w:tblW w:w="0" w:type="auto"/>
          <w:tblInd w:w="0" w:type="dxa"/>
          <w:tblCellMar>
            <w:top w:w="0" w:type="dxa"/>
            <w:left w:w="108" w:type="dxa"/>
            <w:bottom w:w="0" w:type="dxa"/>
            <w:right w:w="108" w:type="dxa"/>
          </w:tblCellMar>
          <w:tblLook w:val="04A0"/>
        </w:tblPrEx>
        <w:trPr>
          <w:trHeight w:val="540"/>
        </w:trPr>
        <w:tc>
          <w:tcPr>
            <w:tcW w:w="2304" w:type="dxa"/>
            <w:tcBorders>
              <w:top w:val="nil"/>
              <w:left w:val="nil"/>
              <w:bottom w:val="nil"/>
              <w:right w:val="nil"/>
            </w:tcBorders>
            <w:shd w:val="clear" w:color="auto" w:fill="auto"/>
          </w:tcPr>
          <w:p w:rsidR="00C55852" w:rsidRPr="00C55852" w:rsidP="008D3D95" w14:paraId="143493AA"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Homing</w:t>
            </w:r>
          </w:p>
        </w:tc>
        <w:tc>
          <w:tcPr>
            <w:tcW w:w="3443" w:type="dxa"/>
            <w:tcBorders>
              <w:top w:val="nil"/>
              <w:left w:val="nil"/>
              <w:bottom w:val="nil"/>
              <w:right w:val="nil"/>
            </w:tcBorders>
            <w:shd w:val="clear" w:color="auto" w:fill="auto"/>
          </w:tcPr>
          <w:p w:rsidR="00C55852" w:rsidRPr="00C55852" w14:paraId="4011A997"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How many different transit providers does the filer have agreements with at this node</w:t>
            </w:r>
          </w:p>
          <w:p w:rsidR="00C55852" w:rsidRPr="00C55852" w14:paraId="00A3CE9D"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1306" w:type="dxa"/>
            <w:tcBorders>
              <w:top w:val="nil"/>
              <w:left w:val="nil"/>
              <w:bottom w:val="nil"/>
              <w:right w:val="nil"/>
            </w:tcBorders>
            <w:shd w:val="clear" w:color="auto" w:fill="auto"/>
          </w:tcPr>
          <w:p w:rsidR="00C55852" w:rsidRPr="00C55852" w14:paraId="273A1ED3"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Integer</w:t>
            </w:r>
          </w:p>
        </w:tc>
        <w:tc>
          <w:tcPr>
            <w:tcW w:w="2307" w:type="dxa"/>
            <w:tcBorders>
              <w:top w:val="nil"/>
              <w:left w:val="nil"/>
              <w:bottom w:val="nil"/>
              <w:right w:val="nil"/>
            </w:tcBorders>
            <w:shd w:val="clear" w:color="auto" w:fill="auto"/>
          </w:tcPr>
          <w:p w:rsidR="00C55852" w:rsidRPr="00C55852" w14:paraId="7BBD4A8F"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3</w:t>
            </w:r>
          </w:p>
        </w:tc>
      </w:tr>
      <w:tr w14:paraId="507C7B5C" w14:textId="77777777" w:rsidTr="00AE4901">
        <w:tblPrEx>
          <w:tblW w:w="0" w:type="auto"/>
          <w:tblInd w:w="0" w:type="dxa"/>
          <w:tblCellMar>
            <w:top w:w="0" w:type="dxa"/>
            <w:left w:w="108" w:type="dxa"/>
            <w:bottom w:w="0" w:type="dxa"/>
            <w:right w:w="108" w:type="dxa"/>
          </w:tblCellMar>
          <w:tblLook w:val="04A0"/>
        </w:tblPrEx>
        <w:trPr>
          <w:trHeight w:val="540"/>
        </w:trPr>
        <w:tc>
          <w:tcPr>
            <w:tcW w:w="2304" w:type="dxa"/>
            <w:tcBorders>
              <w:top w:val="nil"/>
              <w:left w:val="nil"/>
              <w:bottom w:val="nil"/>
              <w:right w:val="nil"/>
            </w:tcBorders>
            <w:shd w:val="clear" w:color="auto" w:fill="auto"/>
          </w:tcPr>
          <w:p w:rsidR="00C55852" w:rsidRPr="00C55852" w:rsidP="008D3D95" w14:paraId="2ED7F913"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Estimate</w:t>
            </w:r>
          </w:p>
        </w:tc>
        <w:tc>
          <w:tcPr>
            <w:tcW w:w="3443" w:type="dxa"/>
            <w:tcBorders>
              <w:top w:val="nil"/>
              <w:left w:val="nil"/>
              <w:bottom w:val="nil"/>
              <w:right w:val="nil"/>
            </w:tcBorders>
            <w:shd w:val="clear" w:color="auto" w:fill="auto"/>
          </w:tcPr>
          <w:p w:rsidR="00C55852" w:rsidRPr="00C55852" w14:paraId="2E7B1C47"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If the data for the initial submission is an estimate which does not meet the 7.6m accuracy requirement, put (E). If not, put (N)</w:t>
            </w:r>
          </w:p>
          <w:p w:rsidR="00C55852" w:rsidRPr="00C55852" w14:paraId="43F8A97B" w14:textId="77777777">
            <w:pPr>
              <w:widowControl/>
              <w:autoSpaceDE w:val="0"/>
              <w:autoSpaceDN w:val="0"/>
              <w:adjustRightInd w:val="0"/>
              <w:rPr>
                <w:rStyle w:val="DefaultParagraphFont"/>
                <w:rFonts w:ascii="Calibri" w:eastAsia="Calibri" w:hAnsi="Calibri"/>
                <w:snapToGrid w:val="0"/>
                <w:kern w:val="0"/>
                <w:sz w:val="22"/>
                <w:szCs w:val="22"/>
                <w:lang w:val="en-US" w:eastAsia="en-US" w:bidi="ar-SA"/>
              </w:rPr>
            </w:pPr>
          </w:p>
        </w:tc>
        <w:tc>
          <w:tcPr>
            <w:tcW w:w="1306" w:type="dxa"/>
            <w:tcBorders>
              <w:top w:val="nil"/>
              <w:left w:val="nil"/>
              <w:bottom w:val="nil"/>
              <w:right w:val="nil"/>
            </w:tcBorders>
            <w:shd w:val="clear" w:color="auto" w:fill="auto"/>
          </w:tcPr>
          <w:p w:rsidR="00C55852" w:rsidRPr="00C55852" w14:paraId="358ABDC8"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Text</w:t>
            </w:r>
          </w:p>
        </w:tc>
        <w:tc>
          <w:tcPr>
            <w:tcW w:w="2307" w:type="dxa"/>
            <w:tcBorders>
              <w:top w:val="nil"/>
              <w:left w:val="nil"/>
              <w:bottom w:val="nil"/>
              <w:right w:val="nil"/>
            </w:tcBorders>
            <w:shd w:val="clear" w:color="auto" w:fill="auto"/>
          </w:tcPr>
          <w:p w:rsidR="00C55852" w:rsidRPr="00C55852" w14:paraId="269F834A"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E</w:t>
            </w:r>
          </w:p>
        </w:tc>
      </w:tr>
      <w:tr w14:paraId="632657B6" w14:textId="77777777" w:rsidTr="00AE4901">
        <w:tblPrEx>
          <w:tblW w:w="0" w:type="auto"/>
          <w:tblInd w:w="0" w:type="dxa"/>
          <w:tblCellMar>
            <w:top w:w="0" w:type="dxa"/>
            <w:left w:w="108" w:type="dxa"/>
            <w:bottom w:w="0" w:type="dxa"/>
            <w:right w:w="108" w:type="dxa"/>
          </w:tblCellMar>
          <w:tblLook w:val="04A0"/>
        </w:tblPrEx>
        <w:trPr>
          <w:trHeight w:val="540"/>
        </w:trPr>
        <w:tc>
          <w:tcPr>
            <w:tcW w:w="2304" w:type="dxa"/>
            <w:tcBorders>
              <w:top w:val="nil"/>
              <w:left w:val="nil"/>
              <w:bottom w:val="single" w:sz="4" w:space="0" w:color="auto"/>
              <w:right w:val="nil"/>
            </w:tcBorders>
            <w:shd w:val="clear" w:color="auto" w:fill="auto"/>
          </w:tcPr>
          <w:p w:rsidR="00C55852" w:rsidRPr="00C55852" w:rsidP="008D3D95" w14:paraId="52954B38"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Data Set</w:t>
            </w:r>
          </w:p>
        </w:tc>
        <w:tc>
          <w:tcPr>
            <w:tcW w:w="3443" w:type="dxa"/>
            <w:tcBorders>
              <w:top w:val="nil"/>
              <w:left w:val="nil"/>
              <w:bottom w:val="single" w:sz="4" w:space="0" w:color="auto"/>
              <w:right w:val="nil"/>
            </w:tcBorders>
            <w:shd w:val="clear" w:color="auto" w:fill="auto"/>
          </w:tcPr>
          <w:p w:rsidR="00C55852" w:rsidRPr="00C55852" w14:paraId="4473722B" w14:textId="672D584C">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Describe the data set relied upon.  If the data set relied upon resulted </w:t>
            </w:r>
            <w:r w:rsidR="00F24528">
              <w:rPr>
                <w:rFonts w:ascii="Calibri" w:eastAsia="Calibri" w:hAnsi="Calibri"/>
                <w:snapToGrid w:val="0"/>
                <w:kern w:val="0"/>
                <w:sz w:val="22"/>
                <w:szCs w:val="20"/>
                <w:lang w:val="en-US" w:eastAsia="en-US" w:bidi="ar-SA"/>
              </w:rPr>
              <w:t>from</w:t>
            </w:r>
            <w:r w:rsidRPr="00C55852" w:rsidR="00F24528">
              <w:rPr>
                <w:rFonts w:ascii="Calibri" w:eastAsia="Calibri" w:hAnsi="Calibri"/>
                <w:snapToGrid w:val="0"/>
                <w:kern w:val="0"/>
                <w:sz w:val="22"/>
                <w:szCs w:val="20"/>
                <w:lang w:val="en-US" w:eastAsia="en-US" w:bidi="ar-SA"/>
              </w:rPr>
              <w:t xml:space="preserve"> </w:t>
            </w:r>
            <w:r w:rsidRPr="00C55852">
              <w:rPr>
                <w:rFonts w:ascii="Calibri" w:eastAsia="Calibri" w:hAnsi="Calibri"/>
                <w:snapToGrid w:val="0"/>
                <w:kern w:val="0"/>
                <w:sz w:val="22"/>
                <w:szCs w:val="20"/>
                <w:lang w:val="en-US" w:eastAsia="en-US" w:bidi="ar-SA"/>
              </w:rPr>
              <w:t xml:space="preserve">an estimate, describe the software used.  If the data set relied upon is </w:t>
            </w:r>
            <w:r w:rsidRPr="00C55852">
              <w:rPr>
                <w:rFonts w:ascii="Calibri" w:eastAsia="Calibri" w:hAnsi="Calibri"/>
                <w:i/>
                <w:snapToGrid w:val="0"/>
                <w:kern w:val="0"/>
                <w:sz w:val="22"/>
                <w:szCs w:val="20"/>
                <w:lang w:val="en-US" w:eastAsia="en-US" w:bidi="ar-SA"/>
              </w:rPr>
              <w:t>not</w:t>
            </w:r>
            <w:r w:rsidRPr="00C55852">
              <w:rPr>
                <w:rFonts w:ascii="Calibri" w:eastAsia="Calibri" w:hAnsi="Calibri"/>
                <w:snapToGrid w:val="0"/>
                <w:kern w:val="0"/>
                <w:sz w:val="22"/>
                <w:szCs w:val="20"/>
                <w:lang w:val="en-US" w:eastAsia="en-US" w:bidi="ar-SA"/>
              </w:rPr>
              <w:t xml:space="preserve"> an estimate, put (I) for internal data</w:t>
            </w:r>
          </w:p>
        </w:tc>
        <w:tc>
          <w:tcPr>
            <w:tcW w:w="1306" w:type="dxa"/>
            <w:tcBorders>
              <w:top w:val="nil"/>
              <w:left w:val="nil"/>
              <w:bottom w:val="single" w:sz="4" w:space="0" w:color="auto"/>
              <w:right w:val="nil"/>
            </w:tcBorders>
            <w:shd w:val="clear" w:color="auto" w:fill="auto"/>
          </w:tcPr>
          <w:p w:rsidR="00C55852" w:rsidRPr="00C55852" w14:paraId="1BEFB8C2"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val="0"/>
                <w:kern w:val="0"/>
                <w:sz w:val="22"/>
                <w:szCs w:val="20"/>
                <w:lang w:val="en-US" w:eastAsia="en-US" w:bidi="ar-SA"/>
              </w:rPr>
              <w:t xml:space="preserve">Text </w:t>
            </w:r>
          </w:p>
        </w:tc>
        <w:tc>
          <w:tcPr>
            <w:tcW w:w="2307" w:type="dxa"/>
            <w:tcBorders>
              <w:top w:val="nil"/>
              <w:left w:val="nil"/>
              <w:bottom w:val="single" w:sz="4" w:space="0" w:color="auto"/>
              <w:right w:val="nil"/>
            </w:tcBorders>
            <w:shd w:val="clear" w:color="auto" w:fill="auto"/>
          </w:tcPr>
          <w:p w:rsidR="00C55852" w:rsidRPr="00C55852" w14:paraId="568FBBD9" w14:textId="77777777">
            <w:pPr>
              <w:widowControl/>
              <w:autoSpaceDE w:val="0"/>
              <w:autoSpaceDN w:val="0"/>
              <w:adjustRightInd w:val="0"/>
              <w:rPr>
                <w:rStyle w:val="DefaultParagraphFont"/>
                <w:rFonts w:ascii="Calibri" w:eastAsia="Calibri" w:hAnsi="Calibri"/>
                <w:snapToGrid w:val="0"/>
                <w:kern w:val="28"/>
                <w:sz w:val="22"/>
                <w:szCs w:val="20"/>
                <w:lang w:val="en-US" w:eastAsia="en-US" w:bidi="ar-SA"/>
              </w:rPr>
            </w:pPr>
            <w:r w:rsidRPr="00C55852">
              <w:rPr>
                <w:rFonts w:ascii="Calibri" w:eastAsia="Calibri" w:hAnsi="Calibri"/>
                <w:snapToGrid/>
                <w:kern w:val="0"/>
                <w:sz w:val="22"/>
                <w:szCs w:val="20"/>
                <w:lang w:val="en-US" w:eastAsia="en-US" w:bidi="ar-SA"/>
              </w:rPr>
              <w:t>Google Earth</w:t>
            </w:r>
          </w:p>
        </w:tc>
      </w:tr>
    </w:tbl>
    <w:p w:rsidR="00C55852" w:rsidRPr="00C55852" w:rsidP="008D3D95" w14:paraId="50FFBFD3" w14:textId="77777777">
      <w:pPr>
        <w:widowControl/>
        <w:autoSpaceDE w:val="0"/>
        <w:autoSpaceDN w:val="0"/>
        <w:adjustRightInd w:val="0"/>
        <w:contextualSpacing/>
        <w:rPr>
          <w:kern w:val="0"/>
          <w:szCs w:val="22"/>
        </w:rPr>
      </w:pPr>
    </w:p>
    <w:p w:rsidR="00C55852" w:rsidRPr="00C55852" w14:paraId="7E6EF244" w14:textId="77777777">
      <w:pPr>
        <w:widowControl/>
        <w:autoSpaceDE w:val="0"/>
        <w:autoSpaceDN w:val="0"/>
        <w:adjustRightInd w:val="0"/>
        <w:ind w:firstLine="360"/>
        <w:contextualSpacing/>
        <w:rPr>
          <w:rFonts w:eastAsia="Calibri"/>
          <w:kern w:val="0"/>
          <w:szCs w:val="22"/>
        </w:rPr>
      </w:pPr>
    </w:p>
    <w:p w:rsidR="00C55852" w:rsidRPr="00C55852" w14:paraId="01511B22" w14:textId="77777777">
      <w:pPr>
        <w:widowControl/>
        <w:numPr>
          <w:ilvl w:val="0"/>
          <w:numId w:val="14"/>
        </w:numPr>
        <w:autoSpaceDE w:val="0"/>
        <w:autoSpaceDN w:val="0"/>
        <w:adjustRightInd w:val="0"/>
        <w:contextualSpacing/>
        <w:rPr>
          <w:rFonts w:eastAsia="Calibri"/>
        </w:rPr>
      </w:pPr>
      <w:r w:rsidRPr="00C55852">
        <w:rPr>
          <w:rFonts w:eastAsia="Calibri"/>
          <w:kern w:val="0"/>
          <w:u w:val="single"/>
        </w:rPr>
        <w:t>SAC Number</w:t>
      </w:r>
      <w:r w:rsidRPr="00C55852">
        <w:rPr>
          <w:rFonts w:eastAsia="Calibri"/>
          <w:kern w:val="0"/>
        </w:rPr>
        <w:t>: The Study Area Code used by USAC that amounts to a unique identifier for each Alaska Plan participant.  For entities with multiple SAC numbers, an “Admin SAC” number that represents the multiple SAC numbers will be provided by USAC.  Filers that do not wish all of their SAC numbers combined should contact USAC to request multiple “Admin SAC” numbers.</w:t>
      </w:r>
    </w:p>
    <w:p w:rsidR="00C55852" w:rsidRPr="00C55852" w14:paraId="1F8AA7B8" w14:textId="77777777">
      <w:pPr>
        <w:widowControl/>
        <w:numPr>
          <w:ilvl w:val="0"/>
          <w:numId w:val="14"/>
        </w:numPr>
        <w:autoSpaceDE w:val="0"/>
        <w:autoSpaceDN w:val="0"/>
        <w:adjustRightInd w:val="0"/>
        <w:contextualSpacing/>
        <w:rPr>
          <w:rFonts w:eastAsia="Calibri"/>
        </w:rPr>
      </w:pPr>
      <w:r w:rsidRPr="00C55852">
        <w:rPr>
          <w:rFonts w:eastAsia="Calibri"/>
          <w:kern w:val="0"/>
          <w:u w:val="single"/>
        </w:rPr>
        <w:t>Carrier name</w:t>
      </w:r>
      <w:r w:rsidRPr="00C55852">
        <w:rPr>
          <w:rFonts w:eastAsia="Calibri"/>
          <w:kern w:val="0"/>
        </w:rPr>
        <w:t>: The D/B/A name of the carrier receiving support under the Alaska Plan.  If filing the node-file on behalf of multiple carriers, provide all carriers’ names in the “Carrier” field and separate each carrier with a semi-colon.  A filer may—but is not required to—submit one filing per carrier, even if the separate carriers share the same holding company, so long as each filing has a distinct Admin SAC.  Carrier names should be provided in alphabetical order.</w:t>
      </w:r>
    </w:p>
    <w:p w:rsidR="00C55852" w:rsidRPr="00C55852" w14:paraId="2550F272" w14:textId="77777777">
      <w:pPr>
        <w:widowControl/>
        <w:numPr>
          <w:ilvl w:val="0"/>
          <w:numId w:val="14"/>
        </w:numPr>
        <w:autoSpaceDE w:val="0"/>
        <w:autoSpaceDN w:val="0"/>
        <w:adjustRightInd w:val="0"/>
        <w:contextualSpacing/>
        <w:rPr>
          <w:rFonts w:eastAsia="Calibri"/>
        </w:rPr>
      </w:pPr>
      <w:r w:rsidRPr="00C55852">
        <w:rPr>
          <w:rFonts w:eastAsia="Calibri"/>
          <w:kern w:val="0"/>
          <w:u w:val="single"/>
        </w:rPr>
        <w:t>The ID field</w:t>
      </w:r>
      <w:r w:rsidRPr="00C55852">
        <w:rPr>
          <w:rFonts w:eastAsia="Calibri"/>
          <w:kern w:val="0"/>
        </w:rPr>
        <w:t>:  A sequential integer ranging from 1 to the total number of node features.  No two nodes should be given the same ID.</w:t>
      </w:r>
    </w:p>
    <w:p w:rsidR="00C55852" w:rsidRPr="00C55852" w14:paraId="2D71D206" w14:textId="3A2BB91A">
      <w:pPr>
        <w:widowControl/>
        <w:numPr>
          <w:ilvl w:val="0"/>
          <w:numId w:val="14"/>
        </w:numPr>
        <w:autoSpaceDE w:val="0"/>
        <w:autoSpaceDN w:val="0"/>
        <w:adjustRightInd w:val="0"/>
        <w:contextualSpacing/>
        <w:rPr>
          <w:rFonts w:eastAsia="Calibri"/>
        </w:rPr>
      </w:pPr>
      <w:r w:rsidRPr="00C55852">
        <w:rPr>
          <w:rFonts w:eastAsia="Calibri"/>
          <w:kern w:val="0"/>
          <w:u w:val="single"/>
        </w:rPr>
        <w:t>Latitude and Longitude</w:t>
      </w:r>
      <w:r w:rsidRPr="00C55852">
        <w:rPr>
          <w:rFonts w:eastAsia="Calibri"/>
          <w:kern w:val="0"/>
        </w:rPr>
        <w:t>: Provide the full value of the latitude and longitude in decimal degrees—all digits after the decimal with at least six digits after the decimal provided (i.e., no “trailing zeros</w:t>
      </w:r>
      <w:r w:rsidR="00F24528">
        <w:rPr>
          <w:rFonts w:eastAsia="Calibri"/>
          <w:kern w:val="0"/>
        </w:rPr>
        <w:t>”</w:t>
      </w:r>
      <w:r w:rsidRPr="00C55852">
        <w:rPr>
          <w:rFonts w:eastAsia="Calibri"/>
          <w:kern w:val="0"/>
        </w:rPr>
        <w:t xml:space="preserve"> or rounding before the 7</w:t>
      </w:r>
      <w:r w:rsidRPr="00C55852">
        <w:rPr>
          <w:rFonts w:eastAsia="Calibri"/>
          <w:kern w:val="0"/>
          <w:vertAlign w:val="superscript"/>
        </w:rPr>
        <w:t>th</w:t>
      </w:r>
      <w:r w:rsidRPr="00C55852">
        <w:rPr>
          <w:rFonts w:eastAsia="Calibri"/>
          <w:kern w:val="0"/>
        </w:rPr>
        <w:t xml:space="preserve"> decimal place).  Coordinates will be in the WGS84 geographic coordinate system.  </w:t>
      </w:r>
    </w:p>
    <w:p w:rsidR="00C55852" w:rsidRPr="00C55852" w14:paraId="029300C5" w14:textId="77777777">
      <w:pPr>
        <w:widowControl/>
        <w:numPr>
          <w:ilvl w:val="0"/>
          <w:numId w:val="14"/>
        </w:numPr>
        <w:autoSpaceDE w:val="0"/>
        <w:autoSpaceDN w:val="0"/>
        <w:adjustRightInd w:val="0"/>
        <w:contextualSpacing/>
        <w:rPr>
          <w:rFonts w:eastAsia="Calibri"/>
        </w:rPr>
      </w:pPr>
      <w:r w:rsidRPr="00C55852">
        <w:rPr>
          <w:rFonts w:eastAsia="Calibri"/>
          <w:kern w:val="0"/>
          <w:u w:val="single"/>
        </w:rPr>
        <w:t>NodeYear</w:t>
      </w:r>
      <w:r w:rsidRPr="00C55852">
        <w:rPr>
          <w:rFonts w:eastAsia="Calibri"/>
          <w:kern w:val="0"/>
        </w:rPr>
        <w:t>: If the node went live in 2014 or any year prior to 2014, the NodeYear will be 2014.  Otherwise filers will enter the actual year the node went live.  For lessees, put the year the filer began the lease.  For termination location nodes where no facilities or equipment are owned or leased, put 9999.</w:t>
      </w:r>
    </w:p>
    <w:p w:rsidR="00C55852" w:rsidRPr="00C55852" w14:paraId="5C913375" w14:textId="77777777">
      <w:pPr>
        <w:widowControl/>
        <w:numPr>
          <w:ilvl w:val="0"/>
          <w:numId w:val="14"/>
        </w:numPr>
        <w:autoSpaceDE w:val="0"/>
        <w:autoSpaceDN w:val="0"/>
        <w:adjustRightInd w:val="0"/>
        <w:contextualSpacing/>
        <w:rPr>
          <w:rFonts w:eastAsia="Calibri"/>
        </w:rPr>
      </w:pPr>
      <w:r w:rsidRPr="00C55852">
        <w:rPr>
          <w:rFonts w:eastAsia="Calibri"/>
          <w:kern w:val="0"/>
          <w:u w:val="single"/>
        </w:rPr>
        <w:t>Ownership</w:t>
      </w:r>
      <w:r w:rsidRPr="00C55852">
        <w:rPr>
          <w:rFonts w:eastAsia="Calibri"/>
          <w:kern w:val="0"/>
        </w:rPr>
        <w:t>: If any equipment or any part of the facility is owned at the node, put (O).  If no part of the node is owned, but some equipment or part of the facility is leased, put (L).  “Leased” nodes include any facilities or equipment at a node that is provided due to a contractual arrangement.  If no part of the node is leased or owned, but the node is being provided because it is, for example, a terminating location for a link, put (N).</w:t>
      </w:r>
    </w:p>
    <w:p w:rsidR="00C55852" w:rsidRPr="00C55852" w14:paraId="4970064E" w14:textId="77777777">
      <w:pPr>
        <w:widowControl/>
        <w:numPr>
          <w:ilvl w:val="0"/>
          <w:numId w:val="14"/>
        </w:numPr>
        <w:autoSpaceDE w:val="0"/>
        <w:autoSpaceDN w:val="0"/>
        <w:adjustRightInd w:val="0"/>
        <w:contextualSpacing/>
        <w:rPr>
          <w:rFonts w:eastAsia="Calibri"/>
        </w:rPr>
      </w:pPr>
      <w:r w:rsidRPr="00C55852">
        <w:rPr>
          <w:rFonts w:eastAsia="Calibri"/>
          <w:kern w:val="0"/>
          <w:u w:val="single"/>
        </w:rPr>
        <w:t>Describe</w:t>
      </w:r>
      <w:r w:rsidRPr="00C55852">
        <w:rPr>
          <w:rFonts w:eastAsia="Calibri"/>
          <w:kern w:val="0"/>
        </w:rPr>
        <w:t xml:space="preserve">: Describe the types of nodes at this location using one or more of the following terms: central office, cable headend, mobile switching center, cell site, earth station, point of presence, landing station, peering point, community anchor institution, microwave repeater, or Internet gateway.  Put “other” if the node does not match any of the preceding descriptions but is a terminating location for a link.  </w:t>
      </w:r>
    </w:p>
    <w:p w:rsidR="00C55852" w:rsidRPr="00C55852" w14:paraId="69AEBB9F" w14:textId="3492B85E">
      <w:pPr>
        <w:widowControl/>
        <w:numPr>
          <w:ilvl w:val="0"/>
          <w:numId w:val="14"/>
        </w:numPr>
        <w:autoSpaceDE w:val="0"/>
        <w:autoSpaceDN w:val="0"/>
        <w:adjustRightInd w:val="0"/>
        <w:contextualSpacing/>
        <w:rPr>
          <w:rFonts w:eastAsia="Calibri"/>
        </w:rPr>
      </w:pPr>
      <w:r w:rsidRPr="00C55852">
        <w:rPr>
          <w:rFonts w:eastAsia="Calibri"/>
          <w:kern w:val="0"/>
          <w:u w:val="single"/>
        </w:rPr>
        <w:t>Cell Site</w:t>
      </w:r>
      <w:r w:rsidRPr="00C55852">
        <w:rPr>
          <w:rFonts w:eastAsia="Calibri"/>
          <w:kern w:val="0"/>
        </w:rPr>
        <w:t xml:space="preserve">: Cell sites—while also providing last-mile services—serve as an initial aggregation point for traffic to be backhauled and are nodes that are to be included in the </w:t>
      </w:r>
      <w:r w:rsidR="004D45A9">
        <w:rPr>
          <w:rFonts w:eastAsia="Calibri"/>
          <w:kern w:val="0"/>
        </w:rPr>
        <w:t>reportable</w:t>
      </w:r>
      <w:r w:rsidRPr="00C55852">
        <w:rPr>
          <w:rFonts w:eastAsia="Calibri"/>
          <w:kern w:val="0"/>
        </w:rPr>
        <w:t xml:space="preserve"> map.  Denote whether this node is a cell site placing a “Y” or “N” in the column.</w:t>
      </w:r>
    </w:p>
    <w:p w:rsidR="00C55852" w:rsidRPr="00C55852" w14:paraId="6F60A211" w14:textId="77777777">
      <w:pPr>
        <w:widowControl/>
        <w:numPr>
          <w:ilvl w:val="0"/>
          <w:numId w:val="14"/>
        </w:numPr>
        <w:autoSpaceDE w:val="0"/>
        <w:autoSpaceDN w:val="0"/>
        <w:adjustRightInd w:val="0"/>
        <w:contextualSpacing/>
        <w:rPr>
          <w:rFonts w:eastAsia="Calibri"/>
        </w:rPr>
      </w:pPr>
      <w:r w:rsidRPr="00C55852">
        <w:rPr>
          <w:rFonts w:eastAsia="Calibri"/>
          <w:kern w:val="0"/>
          <w:u w:val="single"/>
        </w:rPr>
        <w:t>Transit</w:t>
      </w:r>
      <w:r w:rsidRPr="00C55852">
        <w:rPr>
          <w:rFonts w:eastAsia="Calibri"/>
          <w:kern w:val="0"/>
        </w:rPr>
        <w:t>: At nodes where the filing network interconnects with a transit provider to obtain Internet access, what is the transmission data rate that has been arranged for delivery to the transit provider.  In other words, how much capacity is being purchased for transit at this node for the filer.  For arranged capacity that is less than 0.5 Mbps, put a 0.  For multiple interconnections at the node, put the aggregated capacity that is provisioned for transit.  If this is not a node where interconnection for transit occurs, leave blank.</w:t>
      </w:r>
    </w:p>
    <w:p w:rsidR="00C55852" w:rsidRPr="00C55852" w14:paraId="6936682D" w14:textId="77777777">
      <w:pPr>
        <w:widowControl/>
        <w:numPr>
          <w:ilvl w:val="0"/>
          <w:numId w:val="14"/>
        </w:numPr>
        <w:autoSpaceDE w:val="0"/>
        <w:autoSpaceDN w:val="0"/>
        <w:adjustRightInd w:val="0"/>
        <w:contextualSpacing/>
        <w:rPr>
          <w:rFonts w:eastAsia="Calibri"/>
        </w:rPr>
      </w:pPr>
      <w:r w:rsidRPr="00C55852">
        <w:rPr>
          <w:rFonts w:eastAsia="Calibri"/>
          <w:kern w:val="0"/>
          <w:u w:val="single"/>
        </w:rPr>
        <w:t>Homing</w:t>
      </w:r>
      <w:r w:rsidRPr="00C55852">
        <w:rPr>
          <w:rFonts w:eastAsia="Calibri"/>
          <w:kern w:val="0"/>
        </w:rPr>
        <w:t>: If the filer has agreements with one or more transit providers at this node, put the number of transit providers that the filer has agreements with to interconnect at this node.  If this is not a node where interconnection for transit occurs, leave blank.</w:t>
      </w:r>
    </w:p>
    <w:p w:rsidR="00C55852" w:rsidRPr="00C55852" w14:paraId="674765E1" w14:textId="157A66AA">
      <w:pPr>
        <w:widowControl/>
        <w:numPr>
          <w:ilvl w:val="0"/>
          <w:numId w:val="14"/>
        </w:numPr>
        <w:autoSpaceDE w:val="0"/>
        <w:autoSpaceDN w:val="0"/>
        <w:adjustRightInd w:val="0"/>
        <w:contextualSpacing/>
        <w:rPr>
          <w:rFonts w:eastAsia="Calibri"/>
        </w:rPr>
      </w:pPr>
      <w:r w:rsidRPr="00C55852">
        <w:rPr>
          <w:rFonts w:eastAsia="Calibri"/>
          <w:kern w:val="0"/>
          <w:u w:val="single"/>
        </w:rPr>
        <w:t>Estimate</w:t>
      </w:r>
      <w:r w:rsidRPr="00C55852">
        <w:rPr>
          <w:rFonts w:eastAsia="Calibri"/>
          <w:kern w:val="0"/>
        </w:rPr>
        <w:t xml:space="preserve">: Only available for filings due July 1, 2018.  If the data set relied on is certified to not be accurate within 7.6m CE95 (FGDC-STD-007, 3-1998), put (E) to indicate that that that node is based on an estimate of best available data.  This estimate should not be less accurate than 50 meters.  </w:t>
      </w:r>
      <w:r w:rsidR="00F24528">
        <w:rPr>
          <w:rFonts w:eastAsia="Calibri"/>
          <w:kern w:val="0"/>
        </w:rPr>
        <w:t xml:space="preserve">These estimates must be updated to </w:t>
      </w:r>
      <w:r w:rsidRPr="00C55852">
        <w:rPr>
          <w:rFonts w:eastAsia="Calibri"/>
          <w:kern w:val="0"/>
        </w:rPr>
        <w:t>the accuracy requirements of 7.6m CE95 (FGDC-STD-007, 3-1998)</w:t>
      </w:r>
      <w:r w:rsidR="00F24528">
        <w:rPr>
          <w:rFonts w:eastAsia="Calibri"/>
          <w:kern w:val="0"/>
        </w:rPr>
        <w:t xml:space="preserve"> by the filing due March 1, 2019. </w:t>
      </w:r>
    </w:p>
    <w:p w:rsidR="00C55852" w:rsidRPr="00C55852" w14:paraId="391C5948" w14:textId="13C13A6A">
      <w:pPr>
        <w:widowControl/>
        <w:numPr>
          <w:ilvl w:val="0"/>
          <w:numId w:val="13"/>
        </w:numPr>
        <w:autoSpaceDE w:val="0"/>
        <w:autoSpaceDN w:val="0"/>
        <w:adjustRightInd w:val="0"/>
        <w:contextualSpacing/>
        <w:rPr>
          <w:b/>
        </w:rPr>
      </w:pPr>
      <w:r w:rsidRPr="00C55852">
        <w:rPr>
          <w:rFonts w:eastAsia="Calibri"/>
          <w:kern w:val="0"/>
          <w:u w:val="single"/>
        </w:rPr>
        <w:t>Data Set</w:t>
      </w:r>
      <w:r w:rsidRPr="00C55852">
        <w:rPr>
          <w:rFonts w:eastAsia="Calibri"/>
          <w:kern w:val="0"/>
        </w:rPr>
        <w:t xml:space="preserve">: For filings due July 1, 2018, describe the data set relied upon.  If the data set relied upon </w:t>
      </w:r>
      <w:r w:rsidR="00F24528">
        <w:rPr>
          <w:rFonts w:eastAsia="Calibri"/>
          <w:kern w:val="0"/>
        </w:rPr>
        <w:t>is from</w:t>
      </w:r>
      <w:r w:rsidRPr="00C55852" w:rsidR="00F24528">
        <w:rPr>
          <w:rFonts w:eastAsia="Calibri"/>
          <w:kern w:val="0"/>
        </w:rPr>
        <w:t xml:space="preserve"> </w:t>
      </w:r>
      <w:r w:rsidRPr="00C55852">
        <w:rPr>
          <w:rFonts w:eastAsia="Calibri"/>
          <w:kern w:val="0"/>
        </w:rPr>
        <w:t xml:space="preserve">in an estimate, describe the software used (e.g., Google Earth).  If the data set relied upon is </w:t>
      </w:r>
      <w:r w:rsidRPr="00C55852">
        <w:rPr>
          <w:rFonts w:eastAsia="Calibri"/>
          <w:i/>
          <w:kern w:val="0"/>
        </w:rPr>
        <w:t>not</w:t>
      </w:r>
      <w:r w:rsidRPr="00C55852">
        <w:rPr>
          <w:rFonts w:eastAsia="Calibri"/>
          <w:kern w:val="0"/>
        </w:rPr>
        <w:t xml:space="preserve"> </w:t>
      </w:r>
      <w:r w:rsidR="00F24528">
        <w:rPr>
          <w:rFonts w:eastAsia="Calibri"/>
          <w:kern w:val="0"/>
        </w:rPr>
        <w:t xml:space="preserve">from </w:t>
      </w:r>
      <w:r w:rsidRPr="00C55852">
        <w:rPr>
          <w:rFonts w:eastAsia="Calibri"/>
          <w:kern w:val="0"/>
        </w:rPr>
        <w:t>an estimate, put (I) for Internal Data.  For subsequent years’ filings, may only rely on internal data sets which meet the accuracy requirements of 7.6m CE95 (FGDC-STD-007, 3-1998).</w:t>
      </w:r>
    </w:p>
    <w:p w:rsidR="00C55852" w:rsidRPr="00C55852" w14:paraId="0F99F241" w14:textId="77777777">
      <w:pPr>
        <w:widowControl/>
        <w:ind w:left="360"/>
        <w:rPr>
          <w:rFonts w:eastAsia="Calibri"/>
          <w:i/>
          <w:kern w:val="0"/>
          <w:szCs w:val="22"/>
        </w:rPr>
      </w:pPr>
    </w:p>
    <w:p w:rsidR="00C55852" w:rsidRPr="00C55852" w:rsidP="000D7534" w14:paraId="1FEF6BF3" w14:textId="77777777">
      <w:pPr>
        <w:widowControl/>
      </w:pPr>
    </w:p>
    <w:p w:rsidR="00F5079F" w:rsidRPr="00163D14" w:rsidP="000D7534" w14:paraId="3F0D15EE" w14:textId="77777777">
      <w:pPr>
        <w:widowControl/>
        <w:rPr>
          <w:rFonts w:eastAsia="Calibri"/>
          <w:szCs w:val="22"/>
        </w:rPr>
      </w:pPr>
    </w:p>
    <w:sectPr w:rsidSect="00CC1EC1">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1440" w:right="1440" w:bottom="1440" w:left="1440" w:header="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1FD" w14:paraId="404E7A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900560"/>
      <w:docPartObj>
        <w:docPartGallery w:val="Page Numbers (Bottom of Page)"/>
        <w:docPartUnique/>
      </w:docPartObj>
    </w:sdtPr>
    <w:sdtEndPr>
      <w:rPr>
        <w:noProof/>
      </w:rPr>
    </w:sdtEndPr>
    <w:sdtContent>
      <w:p w:rsidR="00AA5585" w:rsidRPr="003567F1" w14:paraId="5B80E430" w14:textId="74B58692">
        <w:pPr>
          <w:pStyle w:val="Footer"/>
          <w:jc w:val="center"/>
        </w:pPr>
        <w:r w:rsidRPr="003567F1">
          <w:fldChar w:fldCharType="begin"/>
        </w:r>
        <w:r w:rsidRPr="003567F1">
          <w:instrText xml:space="preserve"> PAGE   \* MERGEFORMAT </w:instrText>
        </w:r>
        <w:r w:rsidRPr="003567F1">
          <w:fldChar w:fldCharType="separate"/>
        </w:r>
        <w:r w:rsidR="001C21FD">
          <w:rPr>
            <w:noProof/>
          </w:rPr>
          <w:t>2</w:t>
        </w:r>
        <w:r w:rsidRPr="003567F1">
          <w:rPr>
            <w:noProof/>
          </w:rPr>
          <w:fldChar w:fldCharType="end"/>
        </w:r>
      </w:p>
    </w:sdtContent>
  </w:sdt>
  <w:p w:rsidR="00AA5585" w14:paraId="7ABEF6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585" w:rsidP="00B566B4" w14:paraId="4CA265BA" w14:textId="77777777">
    <w:pPr>
      <w:pStyle w:val="Footer"/>
      <w:spacing w:before="160"/>
      <w:jc w:val="center"/>
    </w:pPr>
  </w:p>
  <w:p w:rsidR="00AA5585" w14:paraId="0D2560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75B6" w:rsidRPr="00587145" w:rsidP="00587145" w14:paraId="14EEB964" w14:textId="77777777">
      <w:pPr>
        <w:spacing w:before="120"/>
        <w:rPr>
          <w:sz w:val="20"/>
        </w:rPr>
      </w:pPr>
      <w:r w:rsidRPr="00587145">
        <w:rPr>
          <w:sz w:val="20"/>
        </w:rPr>
        <w:separator/>
      </w:r>
    </w:p>
  </w:footnote>
  <w:footnote w:type="continuationSeparator" w:id="1">
    <w:p w:rsidR="00A675B6" w:rsidP="00587145" w14:paraId="484C2113" w14:textId="77777777">
      <w:pPr>
        <w:spacing w:before="120"/>
        <w:rPr>
          <w:sz w:val="20"/>
        </w:rPr>
      </w:pPr>
      <w:r>
        <w:rPr>
          <w:sz w:val="20"/>
        </w:rPr>
        <w:t>(Continued from previous page)</w:t>
      </w:r>
      <w:r>
        <w:rPr>
          <w:sz w:val="20"/>
        </w:rPr>
        <w:separator/>
      </w:r>
    </w:p>
  </w:footnote>
  <w:footnote w:type="continuationNotice" w:id="2">
    <w:p w:rsidR="00A675B6" w:rsidP="00587145" w14:paraId="58DC7B2E" w14:textId="77777777">
      <w:pPr>
        <w:jc w:val="right"/>
        <w:rPr>
          <w:sz w:val="20"/>
        </w:rPr>
      </w:pPr>
    </w:p>
  </w:footnote>
  <w:footnote w:id="3">
    <w:p w:rsidR="00AA5585" w:rsidP="004C09A6" w14:paraId="4A20ED7E" w14:textId="77777777">
      <w:pPr>
        <w:pStyle w:val="FootnoteText"/>
      </w:pPr>
      <w:r>
        <w:rPr>
          <w:rStyle w:val="FootnoteReference"/>
        </w:rPr>
        <w:footnoteRef/>
      </w:r>
      <w:r>
        <w:t xml:space="preserve"> </w:t>
      </w:r>
      <w:r w:rsidRPr="000F0713">
        <w:t xml:space="preserve">ATA, Petition for Reconsideration, WC Docket No. 16-271 (filed Oct. 10, 2017) (Petition), </w:t>
      </w:r>
      <w:r>
        <w:fldChar w:fldCharType="begin"/>
      </w:r>
      <w:r>
        <w:instrText xml:space="preserve"> HYPERLINK "https://ecfsapi.fcc.gov/file/10102952211571/2017-10-10%20ATA%20Middle%20Mile%20Recon.pdf" </w:instrText>
      </w:r>
      <w:r>
        <w:fldChar w:fldCharType="separate"/>
      </w:r>
      <w:r w:rsidRPr="000F0713">
        <w:rPr>
          <w:rStyle w:val="Hyperlink"/>
        </w:rPr>
        <w:t>https://ecfsapi.fcc.gov/file/10102952211571/2017-10-10%20ATA%20Middle%20Mile%20Recon.pdf</w:t>
      </w:r>
      <w:r>
        <w:fldChar w:fldCharType="end"/>
      </w:r>
      <w:r w:rsidRPr="000F0713">
        <w:t>.</w:t>
      </w:r>
      <w:r>
        <w:t xml:space="preserve">  Pursuant to its delegated authority, the Bureaus provided initial guidance and instructions on September 8, 2017.  </w:t>
      </w:r>
      <w:r w:rsidRPr="00FA39EC">
        <w:rPr>
          <w:i/>
        </w:rPr>
        <w:t>Wireline Competition Bureau and Wireless Telecommunications Bureau Release Instructions for Filing Terrestrial Middle-Mile Network Maps</w:t>
      </w:r>
      <w:r>
        <w:t>, Public Notice, 32 FCC Rcd 6863 (2017) (</w:t>
      </w:r>
      <w:r>
        <w:rPr>
          <w:i/>
        </w:rPr>
        <w:t>Map</w:t>
      </w:r>
      <w:r>
        <w:t xml:space="preserve"> </w:t>
      </w:r>
      <w:r w:rsidRPr="00FA39EC">
        <w:rPr>
          <w:i/>
        </w:rPr>
        <w:t>Instructions</w:t>
      </w:r>
      <w:r>
        <w:rPr>
          <w:i/>
        </w:rPr>
        <w:t xml:space="preserve"> PN</w:t>
      </w:r>
      <w:r>
        <w:t xml:space="preserve">); </w:t>
      </w:r>
      <w:r w:rsidRPr="00382C2D">
        <w:rPr>
          <w:i/>
        </w:rPr>
        <w:t>id</w:t>
      </w:r>
      <w:r>
        <w:t>. Appx. at 6865 (</w:t>
      </w:r>
      <w:r w:rsidRPr="00D75602">
        <w:rPr>
          <w:i/>
        </w:rPr>
        <w:t>Map Instructions</w:t>
      </w:r>
      <w:r>
        <w:t xml:space="preserve">). </w:t>
      </w:r>
    </w:p>
  </w:footnote>
  <w:footnote w:id="4">
    <w:p w:rsidR="00AA5585" w14:paraId="6C43E6D1" w14:textId="4EF277EC">
      <w:pPr>
        <w:pStyle w:val="FootnoteText"/>
      </w:pPr>
      <w:r>
        <w:rPr>
          <w:rStyle w:val="FootnoteReference"/>
        </w:rPr>
        <w:footnoteRef/>
      </w:r>
      <w:r>
        <w:t xml:space="preserve"> </w:t>
      </w:r>
      <w:r w:rsidRPr="00D75602">
        <w:rPr>
          <w:i/>
        </w:rPr>
        <w:t xml:space="preserve">See </w:t>
      </w:r>
      <w:r>
        <w:t xml:space="preserve">Appx., </w:t>
      </w:r>
      <w:r w:rsidRPr="00D1155A">
        <w:rPr>
          <w:i/>
        </w:rPr>
        <w:t>infra</w:t>
      </w:r>
      <w:r>
        <w:t xml:space="preserve">.  The Appendix also reflects additional formatting and wording changes to increase clarity. </w:t>
      </w:r>
    </w:p>
  </w:footnote>
  <w:footnote w:id="5">
    <w:p w:rsidR="00AA5585" w:rsidP="004C09A6" w14:paraId="03FADD49" w14:textId="77777777">
      <w:pPr>
        <w:pStyle w:val="FootnoteText"/>
      </w:pPr>
      <w:r>
        <w:rPr>
          <w:rStyle w:val="FootnoteReference"/>
        </w:rPr>
        <w:footnoteRef/>
      </w:r>
      <w:r>
        <w:t xml:space="preserve"> </w:t>
      </w:r>
      <w:r w:rsidRPr="00FA0F3E">
        <w:rPr>
          <w:i/>
        </w:rPr>
        <w:t>Connect America Fund et al</w:t>
      </w:r>
      <w:r>
        <w:t>., Report and Order and Further Notice of Proposed Rulemaking, 31 FCC Rcd 10139, 10158 (2016) (</w:t>
      </w:r>
      <w:r w:rsidRPr="00FA0F3E">
        <w:rPr>
          <w:i/>
        </w:rPr>
        <w:t>Alaska Plan Order</w:t>
      </w:r>
      <w:r>
        <w:rPr>
          <w:i/>
        </w:rPr>
        <w:t xml:space="preserve"> </w:t>
      </w:r>
      <w:r w:rsidRPr="000D7534">
        <w:t>or</w:t>
      </w:r>
      <w:r>
        <w:rPr>
          <w:i/>
        </w:rPr>
        <w:t xml:space="preserve"> Order</w:t>
      </w:r>
      <w:r>
        <w:t xml:space="preserve">).  </w:t>
      </w:r>
    </w:p>
  </w:footnote>
  <w:footnote w:id="6">
    <w:p w:rsidR="00AA5585" w:rsidP="004C09A6" w14:paraId="4A07E8A6" w14:textId="77777777">
      <w:pPr>
        <w:pStyle w:val="FootnoteText"/>
      </w:pPr>
      <w:r>
        <w:rPr>
          <w:rStyle w:val="FootnoteReference"/>
        </w:rPr>
        <w:footnoteRef/>
      </w:r>
      <w:r>
        <w:t xml:space="preserve"> </w:t>
      </w:r>
      <w:r w:rsidRPr="00947A8D">
        <w:rPr>
          <w:i/>
        </w:rPr>
        <w:t>Alaska Plan Order</w:t>
      </w:r>
      <w:r w:rsidRPr="00947A8D">
        <w:t>, 31 FCC Rcd at 10140, para. 1.</w:t>
      </w:r>
    </w:p>
  </w:footnote>
  <w:footnote w:id="7">
    <w:p w:rsidR="00AA5585" w:rsidP="004C09A6" w14:paraId="2C750BD0" w14:textId="77777777">
      <w:pPr>
        <w:pStyle w:val="FootnoteText"/>
      </w:pPr>
      <w:r>
        <w:rPr>
          <w:rStyle w:val="FootnoteReference"/>
        </w:rPr>
        <w:footnoteRef/>
      </w:r>
      <w:r>
        <w:t xml:space="preserve"> </w:t>
      </w:r>
      <w:r>
        <w:rPr>
          <w:i/>
        </w:rPr>
        <w:t>See</w:t>
      </w:r>
      <w:r w:rsidRPr="000E3518">
        <w:rPr>
          <w:i/>
        </w:rPr>
        <w:t xml:space="preserve"> Wireless Telecommunications Bureau Approves Performance Plans of the Eight Wireless Providers That Elected </w:t>
      </w:r>
      <w:r>
        <w:rPr>
          <w:i/>
        </w:rPr>
        <w:t>t</w:t>
      </w:r>
      <w:r w:rsidRPr="000E3518">
        <w:rPr>
          <w:i/>
        </w:rPr>
        <w:t>o Participate in the Alaska Plan</w:t>
      </w:r>
      <w:r>
        <w:t>, Public Notice, 31 FCC Rcd 13317, Appx. (WTB 2016)</w:t>
      </w:r>
      <w:r w:rsidRPr="00B24768">
        <w:t xml:space="preserve"> </w:t>
      </w:r>
      <w:r>
        <w:t>(</w:t>
      </w:r>
      <w:r w:rsidRPr="00ED035C">
        <w:rPr>
          <w:i/>
        </w:rPr>
        <w:t>Wireless Commitments Notice</w:t>
      </w:r>
      <w:r>
        <w:t xml:space="preserve">); </w:t>
      </w:r>
      <w:r w:rsidRPr="000E3518">
        <w:rPr>
          <w:i/>
        </w:rPr>
        <w:t>Wireline Competition Bureau Authorizes Alaska Plan Support for 13 Alaskan Rate of Return Carriers</w:t>
      </w:r>
      <w:r>
        <w:t>, Public Notice, 31 FCC Rcd 13347, Appx. B (WCB 2016) (</w:t>
      </w:r>
      <w:r w:rsidRPr="00ED035C">
        <w:rPr>
          <w:i/>
        </w:rPr>
        <w:t>Wireline Commitments Notice</w:t>
      </w:r>
      <w:r>
        <w:t>).</w:t>
      </w:r>
    </w:p>
  </w:footnote>
  <w:footnote w:id="8">
    <w:p w:rsidR="00AA5585" w:rsidP="00096B15" w14:paraId="2152E66F" w14:textId="25426614">
      <w:pPr>
        <w:pStyle w:val="FootnoteText"/>
      </w:pPr>
      <w:r>
        <w:rPr>
          <w:rStyle w:val="FootnoteReference"/>
        </w:rPr>
        <w:footnoteRef/>
      </w:r>
      <w:r>
        <w:t xml:space="preserve"> </w:t>
      </w:r>
      <w:r>
        <w:rPr>
          <w:i/>
        </w:rPr>
        <w:t>See, e.g.</w:t>
      </w:r>
      <w:r>
        <w:t xml:space="preserve">, </w:t>
      </w:r>
      <w:r w:rsidRPr="00513641">
        <w:rPr>
          <w:i/>
        </w:rPr>
        <w:t>Alaska Plan Order</w:t>
      </w:r>
      <w:r>
        <w:t xml:space="preserve">, 31 FCC Rcd at 10158, para. 61 (“A number of Alaska rate-of-return carriers have represented that they cannot offer broadband services at 10/1 Mbps speeds at the present time due to limitations in access to middle mile infrastructure.  To the extent such conditions have improved, we delegate authority to the Wireline Competition Bureau to adopt modifications to approved performance plans to ensure that Alaska Plan support is being maximized to offer reasonably comparable services to the carrier’s service area.”); </w:t>
      </w:r>
      <w:r w:rsidRPr="000F66C5">
        <w:rPr>
          <w:i/>
        </w:rPr>
        <w:t>id</w:t>
      </w:r>
      <w:r>
        <w:t>. at 10172, para. 102 (“[W]e require those Alaska Plan providers that have not already committed to providing 4G LTE at 10/1 Mbps speeds to the population served by the newly available backhaul by the end of the plan term to submit revised performance commitments factoring in the availability of the new backhaul option no later than the due date of the Form 481 in which they have certified that such backhaul became commercially available</w:t>
      </w:r>
      <w:r>
        <w:rPr>
          <w:i/>
        </w:rPr>
        <w:t>.</w:t>
      </w:r>
      <w:r w:rsidRPr="00382148">
        <w:t>”</w:t>
      </w:r>
      <w:r>
        <w:t xml:space="preserve">).  Filers provided the type of middle mile relied upon and were permitted to reduce commitments, based on the middle-mile technology type provided, and all except one provider—OTZ Wireless—has at least a 10/1 Mbps commitment where middle-mile fiber is available.  </w:t>
      </w:r>
      <w:r>
        <w:rPr>
          <w:i/>
        </w:rPr>
        <w:t xml:space="preserve">See </w:t>
      </w:r>
      <w:r w:rsidRPr="004D05DD">
        <w:rPr>
          <w:i/>
        </w:rPr>
        <w:t>Wireless Commitments Notice</w:t>
      </w:r>
      <w:r>
        <w:t xml:space="preserve">, 31 FCC Rcd at 13320-22; </w:t>
      </w:r>
      <w:r w:rsidRPr="00020CA7">
        <w:rPr>
          <w:i/>
        </w:rPr>
        <w:t>Wireline Commitments Notice</w:t>
      </w:r>
      <w:r>
        <w:t xml:space="preserve">, 31 FCC Rcd at 13351-54.  </w:t>
      </w:r>
    </w:p>
  </w:footnote>
  <w:footnote w:id="9">
    <w:p w:rsidR="00AA5585" w14:paraId="045EE8D3" w14:textId="77777777">
      <w:pPr>
        <w:pStyle w:val="FootnoteText"/>
      </w:pPr>
      <w:r>
        <w:rPr>
          <w:rStyle w:val="FootnoteReference"/>
        </w:rPr>
        <w:footnoteRef/>
      </w:r>
      <w:r>
        <w:t xml:space="preserve"> </w:t>
      </w:r>
      <w:r w:rsidRPr="002A77B3">
        <w:rPr>
          <w:i/>
        </w:rPr>
        <w:t>Alaska Plan Order</w:t>
      </w:r>
      <w:r w:rsidRPr="002A77B3">
        <w:t xml:space="preserve">, 31 FCC Rcd at </w:t>
      </w:r>
      <w:r>
        <w:t>10146-48, 10167, paras. 17 (“</w:t>
      </w:r>
      <w:r w:rsidRPr="00920319">
        <w:t>At the same time, we recognize that due to limitations in access to middle mile infrastructure and the variable terrain, Alaskan carriers may not be able to serve all of their locations at the current minimum speeds for Connect America Fund recipients of 10/1 Mbps speeds with the support they are provided through the Alaska Plan.  Accordingly, we authorize the Wireline Competition Bureau to approve performance plans that propose to offer Internet service at relaxed speeds to a set number of locations to the extent carriers face such limitations.</w:t>
      </w:r>
      <w:r>
        <w:t>”), 24, 86 (“</w:t>
      </w:r>
      <w:r w:rsidRPr="00A93BEF">
        <w:t>We expect that Alaska Plan participants will work to extend 4G LTE service to populations who are currently served by 2G or 3G.  However, we recognize that there are unique limitations to extending 4G LTE—and in certain locations 3G—in remote Alaska due to infrastructure and the</w:t>
      </w:r>
      <w:r>
        <w:t xml:space="preserve"> cost of upgraded middle mile. . . .  </w:t>
      </w:r>
      <w:r w:rsidRPr="00A93BEF">
        <w:t>We therefore authorize the Wireless Telecommunications Bureau to approve plans in particular circumstances that may propose not to provide 4G LTE service, but only to maintain service at 2G or 3G or to upgrade to service from 2G to 3G.</w:t>
      </w:r>
      <w:r>
        <w:t>”).</w:t>
      </w:r>
    </w:p>
  </w:footnote>
  <w:footnote w:id="10">
    <w:p w:rsidR="00AA5585" w:rsidP="004C09A6" w14:paraId="4816987B" w14:textId="77777777">
      <w:pPr>
        <w:pStyle w:val="FootnoteText"/>
      </w:pPr>
      <w:r>
        <w:rPr>
          <w:rStyle w:val="FootnoteReference"/>
        </w:rPr>
        <w:footnoteRef/>
      </w:r>
      <w:r>
        <w:t xml:space="preserve"> </w:t>
      </w:r>
      <w:r w:rsidRPr="000F66C5">
        <w:rPr>
          <w:i/>
        </w:rPr>
        <w:t>See Alaska Plan Order</w:t>
      </w:r>
      <w:r>
        <w:t xml:space="preserve">, 31 FCC Rcd at 10163, para. 74 (permitting mobile carriers to use support for “improved backhaul and middle mile”).  </w:t>
      </w:r>
    </w:p>
  </w:footnote>
  <w:footnote w:id="11">
    <w:p w:rsidR="00AA5585" w:rsidP="004C09A6" w14:paraId="25E47882" w14:textId="77777777">
      <w:pPr>
        <w:pStyle w:val="FootnoteText"/>
      </w:pPr>
      <w:r>
        <w:rPr>
          <w:rStyle w:val="FootnoteReference"/>
        </w:rPr>
        <w:footnoteRef/>
      </w:r>
      <w:r>
        <w:t xml:space="preserve"> </w:t>
      </w:r>
      <w:r w:rsidRPr="008929E1">
        <w:rPr>
          <w:i/>
        </w:rPr>
        <w:t>See</w:t>
      </w:r>
      <w:r>
        <w:rPr>
          <w:i/>
        </w:rPr>
        <w:t>, e.g.</w:t>
      </w:r>
      <w:r w:rsidRPr="00916814">
        <w:t>,</w:t>
      </w:r>
      <w:r w:rsidRPr="008929E1">
        <w:rPr>
          <w:i/>
        </w:rPr>
        <w:t xml:space="preserve"> Alaska Plan Order</w:t>
      </w:r>
      <w:r>
        <w:t xml:space="preserve">, 31 FCC Rcd at 10156, 10158, 10166, 10172-73, paras. 52-53, 60, 85, 102; 47 CFR </w:t>
      </w:r>
      <w:r w:rsidRPr="00FA156F">
        <w:t>§</w:t>
      </w:r>
      <w:r>
        <w:t xml:space="preserve">§ 54.313, 54.316, 54.317.  </w:t>
      </w:r>
    </w:p>
  </w:footnote>
  <w:footnote w:id="12">
    <w:p w:rsidR="00AA5585" w:rsidP="004C09A6" w14:paraId="48EFD430" w14:textId="77777777">
      <w:pPr>
        <w:pStyle w:val="FootnoteText"/>
      </w:pPr>
      <w:r>
        <w:rPr>
          <w:rStyle w:val="FootnoteReference"/>
        </w:rPr>
        <w:footnoteRef/>
      </w:r>
      <w:r>
        <w:t xml:space="preserve"> </w:t>
      </w:r>
      <w:r>
        <w:rPr>
          <w:i/>
        </w:rPr>
        <w:t>Alaska Plan Order</w:t>
      </w:r>
      <w:r>
        <w:t xml:space="preserve">, 31 FCC Rcd at 10158, para. 60; </w:t>
      </w:r>
      <w:r w:rsidRPr="00513641">
        <w:rPr>
          <w:i/>
        </w:rPr>
        <w:t>see also id</w:t>
      </w:r>
      <w:r>
        <w:t>. at 10172-73, para. 102; 47 CFR § 54.316(a)(6).</w:t>
      </w:r>
    </w:p>
  </w:footnote>
  <w:footnote w:id="13">
    <w:p w:rsidR="00AA5585" w:rsidP="004C09A6" w14:paraId="33AC21C9" w14:textId="77777777">
      <w:pPr>
        <w:pStyle w:val="FootnoteText"/>
      </w:pPr>
      <w:r>
        <w:rPr>
          <w:rStyle w:val="FootnoteReference"/>
        </w:rPr>
        <w:footnoteRef/>
      </w:r>
      <w:r>
        <w:t xml:space="preserve"> </w:t>
      </w:r>
      <w:r>
        <w:rPr>
          <w:i/>
          <w:iCs/>
        </w:rPr>
        <w:t>Alaska Plan Order</w:t>
      </w:r>
      <w:r>
        <w:t>, 31 FCC Rcd at 10173, 10158, 10172-73, paras. 61-62, 102.</w:t>
      </w:r>
    </w:p>
  </w:footnote>
  <w:footnote w:id="14">
    <w:p w:rsidR="00AA5585" w:rsidP="004C09A6" w14:paraId="6D98E885" w14:textId="77777777">
      <w:pPr>
        <w:pStyle w:val="FootnoteText"/>
      </w:pPr>
      <w:r>
        <w:rPr>
          <w:rStyle w:val="FootnoteReference"/>
        </w:rPr>
        <w:footnoteRef/>
      </w:r>
      <w:r>
        <w:t xml:space="preserve"> </w:t>
      </w:r>
      <w:r>
        <w:rPr>
          <w:i/>
          <w:iCs/>
        </w:rPr>
        <w:t>Alaska Plan Order</w:t>
      </w:r>
      <w:r>
        <w:t>, 31 FCC Rcd</w:t>
      </w:r>
      <w:r>
        <w:rPr>
          <w:i/>
          <w:iCs/>
        </w:rPr>
        <w:t xml:space="preserve"> </w:t>
      </w:r>
      <w:r>
        <w:t>at</w:t>
      </w:r>
      <w:r>
        <w:rPr>
          <w:i/>
          <w:iCs/>
        </w:rPr>
        <w:t xml:space="preserve"> </w:t>
      </w:r>
      <w:r>
        <w:t>10156, 10172-73,</w:t>
      </w:r>
      <w:r>
        <w:rPr>
          <w:i/>
          <w:iCs/>
        </w:rPr>
        <w:t xml:space="preserve"> </w:t>
      </w:r>
      <w:r>
        <w:t>paras</w:t>
      </w:r>
      <w:r>
        <w:rPr>
          <w:i/>
          <w:iCs/>
        </w:rPr>
        <w:t>.</w:t>
      </w:r>
      <w:r>
        <w:t xml:space="preserve"> 52, 102. </w:t>
      </w:r>
    </w:p>
  </w:footnote>
  <w:footnote w:id="15">
    <w:p w:rsidR="00AA5585" w:rsidP="004C09A6" w14:paraId="1E1D219E" w14:textId="77777777">
      <w:pPr>
        <w:pStyle w:val="FootnoteText"/>
      </w:pPr>
      <w:r>
        <w:rPr>
          <w:rStyle w:val="FootnoteReference"/>
        </w:rPr>
        <w:footnoteRef/>
      </w:r>
      <w:r>
        <w:t xml:space="preserve"> </w:t>
      </w:r>
      <w:r>
        <w:rPr>
          <w:i/>
        </w:rPr>
        <w:t>Alaska Plan Order</w:t>
      </w:r>
      <w:r>
        <w:t xml:space="preserve">, 31 FCC Rcd at 10166-67, para. 85.  </w:t>
      </w:r>
      <w:r w:rsidRPr="00572748">
        <w:t xml:space="preserve">  </w:t>
      </w:r>
    </w:p>
  </w:footnote>
  <w:footnote w:id="16">
    <w:p w:rsidR="00AA5585" w:rsidP="004C09A6" w14:paraId="5E9F6212" w14:textId="77777777">
      <w:pPr>
        <w:pStyle w:val="FootnoteText"/>
      </w:pPr>
      <w:r>
        <w:rPr>
          <w:rStyle w:val="FootnoteReference"/>
        </w:rPr>
        <w:footnoteRef/>
      </w:r>
      <w:r>
        <w:t xml:space="preserve"> </w:t>
      </w:r>
      <w:r w:rsidRPr="00F66F98">
        <w:rPr>
          <w:i/>
        </w:rPr>
        <w:t>Alaska Plan Order</w:t>
      </w:r>
      <w:r w:rsidRPr="00F66F98">
        <w:t xml:space="preserve">, 31 FCC Rcd </w:t>
      </w:r>
      <w:r>
        <w:t>at 10158, para. 62.</w:t>
      </w:r>
    </w:p>
  </w:footnote>
  <w:footnote w:id="17">
    <w:p w:rsidR="00AA5585" w:rsidP="004C09A6" w14:paraId="238224CF" w14:textId="77777777">
      <w:pPr>
        <w:pStyle w:val="FootnoteText"/>
      </w:pPr>
      <w:r>
        <w:rPr>
          <w:rStyle w:val="FootnoteReference"/>
        </w:rPr>
        <w:footnoteRef/>
      </w:r>
      <w:r>
        <w:t xml:space="preserve"> </w:t>
      </w:r>
      <w:r w:rsidRPr="00F66F98">
        <w:rPr>
          <w:i/>
        </w:rPr>
        <w:t>Alaska Plan Order</w:t>
      </w:r>
      <w:r w:rsidRPr="00F66F98">
        <w:t>, 31 FCC Rcd at 10158, 10172, paras. 60, 102</w:t>
      </w:r>
      <w:r>
        <w:t xml:space="preserve">.  Pursuant to its delegated authority, the Bureaus provided initial guidance and instructions on September 8, 2017.  </w:t>
      </w:r>
      <w:r w:rsidRPr="000F66C5">
        <w:rPr>
          <w:i/>
        </w:rPr>
        <w:t>See</w:t>
      </w:r>
      <w:r>
        <w:t xml:space="preserve"> </w:t>
      </w:r>
      <w:r w:rsidRPr="000F66C5">
        <w:rPr>
          <w:i/>
        </w:rPr>
        <w:t>Map Instructions</w:t>
      </w:r>
      <w:r>
        <w:t xml:space="preserve">, </w:t>
      </w:r>
      <w:r w:rsidRPr="00A56218">
        <w:t>32 FCC Rcd</w:t>
      </w:r>
      <w:r>
        <w:t xml:space="preserve"> at</w:t>
      </w:r>
      <w:r w:rsidRPr="00A56218">
        <w:t xml:space="preserve"> 6865</w:t>
      </w:r>
      <w:r>
        <w:t xml:space="preserve">. </w:t>
      </w:r>
    </w:p>
  </w:footnote>
  <w:footnote w:id="18">
    <w:p w:rsidR="00AA5585" w:rsidP="004C09A6" w14:paraId="52CACBA0" w14:textId="77777777">
      <w:pPr>
        <w:pStyle w:val="FootnoteText"/>
      </w:pPr>
      <w:r>
        <w:rPr>
          <w:rStyle w:val="FootnoteReference"/>
        </w:rPr>
        <w:footnoteRef/>
      </w:r>
      <w:r>
        <w:t xml:space="preserve"> </w:t>
      </w:r>
      <w:r w:rsidRPr="000F66C5">
        <w:rPr>
          <w:i/>
        </w:rPr>
        <w:t>Map Instructions</w:t>
      </w:r>
      <w:r>
        <w:t xml:space="preserve">, </w:t>
      </w:r>
      <w:r w:rsidRPr="00A56218">
        <w:t>32 FCC Rcd</w:t>
      </w:r>
      <w:r>
        <w:t xml:space="preserve"> at</w:t>
      </w:r>
      <w:r w:rsidRPr="00A56218">
        <w:t xml:space="preserve"> 6865</w:t>
      </w:r>
      <w:r>
        <w:t xml:space="preserve">; </w:t>
      </w:r>
      <w:r>
        <w:rPr>
          <w:snapToGrid w:val="0"/>
        </w:rPr>
        <w:t xml:space="preserve">47 CFR § 54.316(a)(6); </w:t>
      </w:r>
      <w:r>
        <w:rPr>
          <w:i/>
          <w:snapToGrid w:val="0"/>
        </w:rPr>
        <w:t>Alaska Plan Order</w:t>
      </w:r>
      <w:r>
        <w:rPr>
          <w:snapToGrid w:val="0"/>
        </w:rPr>
        <w:t>, 31 FCC Rcd at 10158, 10172-73, paras. 60, 102.</w:t>
      </w:r>
    </w:p>
  </w:footnote>
  <w:footnote w:id="19">
    <w:p w:rsidR="00AA5585" w:rsidP="004C09A6" w14:paraId="48F29C54" w14:textId="77777777">
      <w:pPr>
        <w:pStyle w:val="FootnoteText"/>
      </w:pPr>
      <w:r>
        <w:rPr>
          <w:rStyle w:val="FootnoteReference"/>
        </w:rPr>
        <w:footnoteRef/>
      </w:r>
      <w:r>
        <w:t xml:space="preserve"> </w:t>
      </w:r>
      <w:r w:rsidRPr="00387C58">
        <w:rPr>
          <w:i/>
        </w:rPr>
        <w:t>Map Instructions PN</w:t>
      </w:r>
      <w:r w:rsidRPr="00387C58">
        <w:t>, 32 FCC Rcd at 686</w:t>
      </w:r>
      <w:r>
        <w:t>4</w:t>
      </w:r>
      <w:r>
        <w:rPr>
          <w:szCs w:val="22"/>
        </w:rPr>
        <w:t xml:space="preserve"> (“‘Major nodes’ comprising an Alaska-Plan provider’s middle-mile network are </w:t>
      </w:r>
      <w:r w:rsidRPr="00616EF1">
        <w:rPr>
          <w:rFonts w:eastAsia="Calibri"/>
          <w:iCs/>
          <w:szCs w:val="22"/>
        </w:rPr>
        <w:t>central offices, cable head ends, mobile switching centers, earth stations, points of presence, landing stations, microwave repeaters, peering points, or Internet gateways within Alaska.</w:t>
      </w:r>
      <w:r>
        <w:rPr>
          <w:rFonts w:eastAsia="Calibri"/>
          <w:iCs/>
          <w:szCs w:val="22"/>
        </w:rPr>
        <w:t>”).</w:t>
      </w:r>
    </w:p>
  </w:footnote>
  <w:footnote w:id="20">
    <w:p w:rsidR="00AA5585" w:rsidP="004C09A6" w14:paraId="1E642F3D" w14:textId="77777777">
      <w:pPr>
        <w:pStyle w:val="FootnoteText"/>
      </w:pPr>
      <w:r>
        <w:rPr>
          <w:rStyle w:val="FootnoteReference"/>
        </w:rPr>
        <w:footnoteRef/>
      </w:r>
      <w:r>
        <w:t xml:space="preserve"> </w:t>
      </w:r>
      <w:r w:rsidRPr="00CE05ED">
        <w:rPr>
          <w:i/>
        </w:rPr>
        <w:t>Map Instructions</w:t>
      </w:r>
      <w:r w:rsidRPr="00D227FD">
        <w:t>,</w:t>
      </w:r>
      <w:r>
        <w:t xml:space="preserve"> </w:t>
      </w:r>
      <w:r w:rsidRPr="00A56218">
        <w:t>32 FCC Rcd</w:t>
      </w:r>
      <w:r>
        <w:t xml:space="preserve"> at</w:t>
      </w:r>
      <w:r w:rsidRPr="00A56218">
        <w:t xml:space="preserve"> 6865</w:t>
      </w:r>
      <w:r w:rsidRPr="00F66F98">
        <w:t>.</w:t>
      </w:r>
    </w:p>
  </w:footnote>
  <w:footnote w:id="21">
    <w:p w:rsidR="00AA5585" w:rsidP="004C09A6" w14:paraId="04750025" w14:textId="77777777">
      <w:pPr>
        <w:pStyle w:val="FootnoteText"/>
      </w:pPr>
      <w:r>
        <w:rPr>
          <w:rStyle w:val="FootnoteReference"/>
        </w:rPr>
        <w:footnoteRef/>
      </w:r>
      <w:r>
        <w:t xml:space="preserve"> </w:t>
      </w:r>
      <w:r w:rsidRPr="00CE05ED">
        <w:rPr>
          <w:i/>
        </w:rPr>
        <w:t>Map Instructions</w:t>
      </w:r>
      <w:r>
        <w:t xml:space="preserve">, </w:t>
      </w:r>
      <w:r w:rsidRPr="00A56218">
        <w:t>32 FCC Rcd</w:t>
      </w:r>
      <w:r>
        <w:t xml:space="preserve"> at</w:t>
      </w:r>
      <w:r w:rsidRPr="00A56218">
        <w:t xml:space="preserve"> 686</w:t>
      </w:r>
      <w:r>
        <w:t>7.</w:t>
      </w:r>
    </w:p>
  </w:footnote>
  <w:footnote w:id="22">
    <w:p w:rsidR="00AA5585" w:rsidP="004C09A6" w14:paraId="17933BC6" w14:textId="77777777">
      <w:pPr>
        <w:pStyle w:val="FootnoteText"/>
      </w:pPr>
      <w:r>
        <w:rPr>
          <w:rStyle w:val="FootnoteReference"/>
        </w:rPr>
        <w:footnoteRef/>
      </w:r>
      <w:r>
        <w:t xml:space="preserve"> </w:t>
      </w:r>
      <w:r w:rsidRPr="00387C58">
        <w:rPr>
          <w:i/>
        </w:rPr>
        <w:t>Map Instructions PN</w:t>
      </w:r>
      <w:r w:rsidRPr="00387C58">
        <w:t>, 32 FCC Rcd at 686</w:t>
      </w:r>
      <w:r>
        <w:t>4.</w:t>
      </w:r>
    </w:p>
  </w:footnote>
  <w:footnote w:id="23">
    <w:p w:rsidR="00AA5585" w:rsidP="004C09A6" w14:paraId="0668D47A" w14:textId="77777777">
      <w:pPr>
        <w:pStyle w:val="FootnoteText"/>
      </w:pPr>
      <w:r>
        <w:rPr>
          <w:rStyle w:val="FootnoteReference"/>
        </w:rPr>
        <w:footnoteRef/>
      </w:r>
      <w:r>
        <w:t xml:space="preserve"> </w:t>
      </w:r>
      <w:r w:rsidRPr="00BF3B1D">
        <w:rPr>
          <w:i/>
        </w:rPr>
        <w:t>Map Instructions PN</w:t>
      </w:r>
      <w:r w:rsidRPr="00BF3B1D">
        <w:t>, 32 FCC Rcd at 686</w:t>
      </w:r>
      <w:r>
        <w:t xml:space="preserve">3 n.3 (citing </w:t>
      </w:r>
      <w:r w:rsidRPr="00BF3B1D">
        <w:rPr>
          <w:i/>
        </w:rPr>
        <w:t>Alaska Plan Order</w:t>
      </w:r>
      <w:r w:rsidRPr="00BF3B1D">
        <w:t>, 31 FCC Rcd</w:t>
      </w:r>
      <w:r>
        <w:t xml:space="preserve"> </w:t>
      </w:r>
      <w:r w:rsidRPr="00B94F90">
        <w:t xml:space="preserve">10147-48, 10158, 10172-73, paras. 24 (“lack the ability to obtain terrestrial backhaul or satellite backhaul service providing middle mile service . . .”), 60 (“We also adopt a </w:t>
      </w:r>
      <w:r w:rsidRPr="00B94F90">
        <w:rPr>
          <w:i/>
        </w:rPr>
        <w:t xml:space="preserve">reporting requirement for </w:t>
      </w:r>
      <w:r w:rsidRPr="00B94F90">
        <w:t>newly deployed</w:t>
      </w:r>
      <w:r w:rsidRPr="00B94F90">
        <w:rPr>
          <w:i/>
        </w:rPr>
        <w:t xml:space="preserve"> backhaul</w:t>
      </w:r>
      <w:r w:rsidRPr="00B94F90">
        <w:t xml:space="preserve">.  We will require Alaska Plan participants to submit fiber network maps or microwave network maps in a format specified by the Bureaus covering eligible areas and to </w:t>
      </w:r>
      <w:r w:rsidRPr="00B94F90">
        <w:rPr>
          <w:i/>
        </w:rPr>
        <w:t>update such maps if they have deployed middle-mile facilities</w:t>
      </w:r>
      <w:r w:rsidRPr="00B94F90">
        <w:t xml:space="preserve"> in the prior calendar year that are or will be used to support their service in eligible areas.”) (emphasis added), 102</w:t>
      </w:r>
      <w:r>
        <w:t>).</w:t>
      </w:r>
    </w:p>
  </w:footnote>
  <w:footnote w:id="24">
    <w:p w:rsidR="00AA5585" w:rsidP="004C09A6" w14:paraId="7EAC12F9" w14:textId="77777777">
      <w:pPr>
        <w:pStyle w:val="FootnoteText"/>
      </w:pPr>
      <w:r>
        <w:rPr>
          <w:rStyle w:val="FootnoteReference"/>
        </w:rPr>
        <w:footnoteRef/>
      </w:r>
      <w:r>
        <w:t xml:space="preserve"> </w:t>
      </w:r>
      <w:r w:rsidRPr="000F0713">
        <w:t xml:space="preserve">Petition </w:t>
      </w:r>
      <w:r>
        <w:t>at 1.</w:t>
      </w:r>
      <w:r w:rsidRPr="000F0713">
        <w:t xml:space="preserve">  </w:t>
      </w:r>
    </w:p>
  </w:footnote>
  <w:footnote w:id="25">
    <w:p w:rsidR="00AA5585" w:rsidP="004C09A6" w14:paraId="2A60E5AD" w14:textId="77777777">
      <w:pPr>
        <w:pStyle w:val="FootnoteText"/>
      </w:pPr>
      <w:r>
        <w:rPr>
          <w:rStyle w:val="FootnoteReference"/>
        </w:rPr>
        <w:footnoteRef/>
      </w:r>
      <w:r>
        <w:t xml:space="preserve"> Petition at 7, 10.  ATA states that the Bureaus “[g]o beyond any reasonable interpretation of ‘middle mile’ to include last mile connections to individual end user locations that happen to be a medical office (apparently no matter how small), school, library, or other ‘anchor institution.’”  Petition at 7.  ATA notes that “if the local school is connected by fiber to the central office, the location of the school must be provided even though that fiber loop has absolutely no bearing on what speeds or capacity the nearby middle mile facilities can support.”  Petition at 10.  </w:t>
      </w:r>
    </w:p>
  </w:footnote>
  <w:footnote w:id="26">
    <w:p w:rsidR="00AA5585" w:rsidP="004C09A6" w14:paraId="6257E434" w14:textId="77777777">
      <w:pPr>
        <w:pStyle w:val="FootnoteText"/>
      </w:pPr>
      <w:r>
        <w:rPr>
          <w:rStyle w:val="FootnoteReference"/>
        </w:rPr>
        <w:footnoteRef/>
      </w:r>
      <w:r>
        <w:t xml:space="preserve"> Petition at 10-11.  </w:t>
      </w:r>
    </w:p>
  </w:footnote>
  <w:footnote w:id="27">
    <w:p w:rsidR="00AA5585" w:rsidP="004C09A6" w14:paraId="60DA8E3B" w14:textId="77777777">
      <w:pPr>
        <w:pStyle w:val="FootnoteText"/>
      </w:pPr>
      <w:r>
        <w:rPr>
          <w:rStyle w:val="FootnoteReference"/>
        </w:rPr>
        <w:footnoteRef/>
      </w:r>
      <w:r>
        <w:t xml:space="preserve"> </w:t>
      </w:r>
      <w:r w:rsidRPr="00D36DA9">
        <w:t>Petition</w:t>
      </w:r>
      <w:r>
        <w:t xml:space="preserve"> at 8, 13-15,</w:t>
      </w:r>
      <w:r w:rsidRPr="00D25B88">
        <w:t xml:space="preserve"> </w:t>
      </w:r>
      <w:r w:rsidRPr="000F0713">
        <w:t xml:space="preserve">Attach. 1 at 2; Attach. 2 at </w:t>
      </w:r>
      <w:r>
        <w:t>1-</w:t>
      </w:r>
      <w:r w:rsidRPr="000F0713">
        <w:t>2.</w:t>
      </w:r>
      <w:r>
        <w:t xml:space="preserve">  ATA argues that the Map Instructions mandate “a level of accuracy completely unnecessary for monitoring middle mile to a </w:t>
      </w:r>
      <w:r w:rsidRPr="00513641">
        <w:rPr>
          <w:i/>
        </w:rPr>
        <w:t>community</w:t>
      </w:r>
      <w:r>
        <w:t>, rather than a specific site.”  Petition at 2 (emphasis in original).</w:t>
      </w:r>
    </w:p>
  </w:footnote>
  <w:footnote w:id="28">
    <w:p w:rsidR="00AA5585" w14:paraId="3EA6D185" w14:textId="3A8A27AB">
      <w:pPr>
        <w:pStyle w:val="FootnoteText"/>
      </w:pPr>
      <w:r>
        <w:rPr>
          <w:rStyle w:val="FootnoteReference"/>
        </w:rPr>
        <w:footnoteRef/>
      </w:r>
      <w:r>
        <w:t xml:space="preserve"> Petition at 1-2, 7-17.</w:t>
      </w:r>
    </w:p>
  </w:footnote>
  <w:footnote w:id="29">
    <w:p w:rsidR="00AA5585" w:rsidP="004C09A6" w14:paraId="3B8F6A7D" w14:textId="660510DC">
      <w:pPr>
        <w:pStyle w:val="FootnoteText"/>
      </w:pPr>
      <w:r>
        <w:rPr>
          <w:rStyle w:val="FootnoteReference"/>
        </w:rPr>
        <w:footnoteRef/>
      </w:r>
      <w:r>
        <w:t xml:space="preserve"> Consistent with past precedent, by “cell-site backhaul” we mean the “backhaul connection from the cell site to the second point of aggregation.”  </w:t>
      </w:r>
      <w:r w:rsidRPr="00D1155A">
        <w:rPr>
          <w:i/>
        </w:rPr>
        <w:t>See</w:t>
      </w:r>
      <w:r>
        <w:t xml:space="preserve"> </w:t>
      </w:r>
      <w:r>
        <w:rPr>
          <w:snapToGrid w:val="0"/>
          <w:color w:val="000000"/>
        </w:rPr>
        <w:t>OBI Technical Paper #1, 25 FCC Rcd at 6805</w:t>
      </w:r>
      <w:r>
        <w:t xml:space="preserve">. </w:t>
      </w:r>
    </w:p>
  </w:footnote>
  <w:footnote w:id="30">
    <w:p w:rsidR="00AA5585" w14:paraId="3AAD76D4" w14:textId="2D4726DB">
      <w:pPr>
        <w:pStyle w:val="FootnoteText"/>
      </w:pPr>
      <w:r>
        <w:rPr>
          <w:rStyle w:val="FootnoteReference"/>
        </w:rPr>
        <w:footnoteRef/>
      </w:r>
      <w:r>
        <w:t xml:space="preserve"> Petition at 7-12.</w:t>
      </w:r>
    </w:p>
  </w:footnote>
  <w:footnote w:id="31">
    <w:p w:rsidR="00AA5585" w:rsidP="004C09A6" w14:paraId="07F51D52" w14:textId="77777777">
      <w:pPr>
        <w:pStyle w:val="FootnoteText"/>
      </w:pPr>
      <w:r>
        <w:rPr>
          <w:rStyle w:val="FootnoteReference"/>
        </w:rPr>
        <w:footnoteRef/>
      </w:r>
      <w:r>
        <w:t xml:space="preserve"> Petition at 9 n.15, </w:t>
      </w:r>
      <w:r w:rsidRPr="00CE05ED">
        <w:rPr>
          <w:i/>
        </w:rPr>
        <w:t>citing Wireline Competition Bureau Announces Availability of Version 4.1.1 of the Connect America Fund Phase II Cost Model</w:t>
      </w:r>
      <w:r>
        <w:t xml:space="preserve">, Public Notice, 29 FCC Rcd 3884, Attach. (WCB 2014).  </w:t>
      </w:r>
    </w:p>
  </w:footnote>
  <w:footnote w:id="32">
    <w:p w:rsidR="00AA5585" w:rsidP="004C09A6" w14:paraId="61729972" w14:textId="77777777">
      <w:pPr>
        <w:pStyle w:val="FootnoteText"/>
      </w:pPr>
      <w:r>
        <w:rPr>
          <w:rStyle w:val="FootnoteReference"/>
        </w:rPr>
        <w:footnoteRef/>
      </w:r>
      <w:r>
        <w:t xml:space="preserve"> Petition at 9 n.16, </w:t>
      </w:r>
      <w:r w:rsidRPr="00CE05ED">
        <w:rPr>
          <w:i/>
        </w:rPr>
        <w:t>citing Connect America Fund et al</w:t>
      </w:r>
      <w:r>
        <w:t>., Notice of Inquiry and Notice of Proposed Rulemaking, 25 FCC Rcd 6657, Appx. C. at 6862 (2010) (OBI Technical Paper #1) (“Middle Mile—Refers generally to the transport and transmission of data communications from the central office, cable headend or wireless switching station to an Internet point of presence.”).</w:t>
      </w:r>
    </w:p>
  </w:footnote>
  <w:footnote w:id="33">
    <w:p w:rsidR="00AA5585" w:rsidP="004C09A6" w14:paraId="04758F46" w14:textId="77777777">
      <w:pPr>
        <w:pStyle w:val="FootnoteText"/>
      </w:pPr>
      <w:r>
        <w:rPr>
          <w:rStyle w:val="FootnoteReference"/>
        </w:rPr>
        <w:footnoteRef/>
      </w:r>
      <w:r>
        <w:t xml:space="preserve"> </w:t>
      </w:r>
      <w:r w:rsidRPr="00916814">
        <w:rPr>
          <w:i/>
        </w:rPr>
        <w:t>See</w:t>
      </w:r>
      <w:r>
        <w:t xml:space="preserve"> Petition at 9.  </w:t>
      </w:r>
    </w:p>
  </w:footnote>
  <w:footnote w:id="34">
    <w:p w:rsidR="00AA5585" w:rsidP="004C09A6" w14:paraId="2D061047" w14:textId="77777777">
      <w:pPr>
        <w:pStyle w:val="FootnoteText"/>
      </w:pPr>
      <w:r>
        <w:rPr>
          <w:rStyle w:val="FootnoteReference"/>
        </w:rPr>
        <w:footnoteRef/>
      </w:r>
      <w:r>
        <w:t xml:space="preserve"> Petition at 8 n.13, 9.</w:t>
      </w:r>
    </w:p>
  </w:footnote>
  <w:footnote w:id="35">
    <w:p w:rsidR="00AA5585" w:rsidP="004C09A6" w14:paraId="5CAB2ED6" w14:textId="77777777">
      <w:pPr>
        <w:pStyle w:val="FootnoteText"/>
      </w:pPr>
      <w:r>
        <w:rPr>
          <w:rStyle w:val="FootnoteReference"/>
        </w:rPr>
        <w:footnoteRef/>
      </w:r>
      <w:r>
        <w:t xml:space="preserve"> Petition at 9.</w:t>
      </w:r>
    </w:p>
  </w:footnote>
  <w:footnote w:id="36">
    <w:p w:rsidR="00AA5585" w:rsidP="004C09A6" w14:paraId="2E30A6AE" w14:textId="77777777">
      <w:pPr>
        <w:pStyle w:val="FootnoteText"/>
      </w:pPr>
      <w:r>
        <w:rPr>
          <w:rStyle w:val="FootnoteReference"/>
        </w:rPr>
        <w:footnoteRef/>
      </w:r>
      <w:r>
        <w:t xml:space="preserve"> </w:t>
      </w:r>
      <w:r w:rsidRPr="007B0369">
        <w:rPr>
          <w:i/>
        </w:rPr>
        <w:t>See</w:t>
      </w:r>
      <w:r>
        <w:t xml:space="preserve"> Letter of Julie A. Veach, Counsel to General Communications Inc., to Marlene H. Dortch, Secretary, FCC, WC Docket No. 16-271, Attach. 1&amp;2 (ATA Proposal). </w:t>
      </w:r>
    </w:p>
  </w:footnote>
  <w:footnote w:id="37">
    <w:p w:rsidR="00AA5585" w:rsidP="004C09A6" w14:paraId="1B771A02" w14:textId="77777777">
      <w:pPr>
        <w:pStyle w:val="FootnoteText"/>
      </w:pPr>
      <w:r>
        <w:rPr>
          <w:rStyle w:val="FootnoteReference"/>
        </w:rPr>
        <w:footnoteRef/>
      </w:r>
      <w:r>
        <w:t xml:space="preserve"> </w:t>
      </w:r>
      <w:r w:rsidRPr="007B0369">
        <w:rPr>
          <w:i/>
        </w:rPr>
        <w:t>See</w:t>
      </w:r>
      <w:r>
        <w:t xml:space="preserve"> ATA Proposal, Attach. 1&amp;2.</w:t>
      </w:r>
    </w:p>
  </w:footnote>
  <w:footnote w:id="38">
    <w:p w:rsidR="00AA5585" w:rsidP="004C09A6" w14:paraId="432D8C6D" w14:textId="77777777">
      <w:pPr>
        <w:pStyle w:val="FootnoteText"/>
      </w:pPr>
      <w:r>
        <w:rPr>
          <w:rStyle w:val="FootnoteReference"/>
        </w:rPr>
        <w:footnoteRef/>
      </w:r>
      <w:r>
        <w:t xml:space="preserve"> </w:t>
      </w:r>
      <w:r w:rsidRPr="00D1155A">
        <w:rPr>
          <w:i/>
        </w:rPr>
        <w:t>See</w:t>
      </w:r>
      <w:r>
        <w:t xml:space="preserve"> ATA Proposal, Attach. 1&amp;2.</w:t>
      </w:r>
    </w:p>
  </w:footnote>
  <w:footnote w:id="39">
    <w:p w:rsidR="00AA5585" w:rsidP="004C09A6" w14:paraId="1EE46170" w14:textId="77777777">
      <w:pPr>
        <w:pStyle w:val="FootnoteText"/>
        <w:tabs>
          <w:tab w:val="left" w:pos="2970"/>
        </w:tabs>
      </w:pPr>
      <w:r>
        <w:rPr>
          <w:rStyle w:val="FootnoteReference"/>
        </w:rPr>
        <w:footnoteRef/>
      </w:r>
      <w:r>
        <w:t xml:space="preserve"> </w:t>
      </w:r>
      <w:r w:rsidRPr="00916814">
        <w:rPr>
          <w:i/>
        </w:rPr>
        <w:t>See</w:t>
      </w:r>
      <w:r>
        <w:t xml:space="preserve"> </w:t>
      </w:r>
      <w:r>
        <w:rPr>
          <w:snapToGrid w:val="0"/>
        </w:rPr>
        <w:t>47 CFR § 54.316(a)(6).</w:t>
      </w:r>
      <w:r>
        <w:rPr>
          <w:snapToGrid w:val="0"/>
        </w:rPr>
        <w:tab/>
      </w:r>
    </w:p>
  </w:footnote>
  <w:footnote w:id="40">
    <w:p w:rsidR="00AA5585" w:rsidP="004C09A6" w14:paraId="3A7ABD96" w14:textId="77777777">
      <w:pPr>
        <w:pStyle w:val="FootnoteText"/>
      </w:pPr>
      <w:r>
        <w:rPr>
          <w:rStyle w:val="FootnoteReference"/>
        </w:rPr>
        <w:footnoteRef/>
      </w:r>
      <w:r>
        <w:t xml:space="preserve"> </w:t>
      </w:r>
      <w:r>
        <w:rPr>
          <w:snapToGrid w:val="0"/>
        </w:rPr>
        <w:t>47 CFR § 54.316(a)(6).</w:t>
      </w:r>
      <w:r>
        <w:t xml:space="preserve"> </w:t>
      </w:r>
    </w:p>
  </w:footnote>
  <w:footnote w:id="41">
    <w:p w:rsidR="00AA5585" w14:paraId="3F716650" w14:textId="7D4BFF78">
      <w:pPr>
        <w:pStyle w:val="FootnoteText"/>
      </w:pPr>
      <w:r>
        <w:rPr>
          <w:rStyle w:val="FootnoteReference"/>
        </w:rPr>
        <w:footnoteRef/>
      </w:r>
      <w:r>
        <w:t xml:space="preserve"> </w:t>
      </w:r>
      <w:r>
        <w:rPr>
          <w:snapToGrid w:val="0"/>
        </w:rPr>
        <w:t>47 CFR § 54.316(a)(6).</w:t>
      </w:r>
    </w:p>
  </w:footnote>
  <w:footnote w:id="42">
    <w:p w:rsidR="00AA5585" w:rsidP="004C09A6" w14:paraId="3D745866" w14:textId="77777777">
      <w:pPr>
        <w:pStyle w:val="FootnoteText"/>
      </w:pPr>
      <w:r>
        <w:rPr>
          <w:rStyle w:val="FootnoteReference"/>
        </w:rPr>
        <w:footnoteRef/>
      </w:r>
      <w:r>
        <w:rPr>
          <w:i/>
        </w:rPr>
        <w:t xml:space="preserve"> </w:t>
      </w:r>
      <w:r w:rsidRPr="00F66F98">
        <w:rPr>
          <w:i/>
        </w:rPr>
        <w:t>Alaska Plan Order</w:t>
      </w:r>
      <w:r w:rsidRPr="00F66F98">
        <w:t>, 31 FCC Rcd at</w:t>
      </w:r>
      <w:r>
        <w:t xml:space="preserve"> 10166-67, para. 85.    </w:t>
      </w:r>
    </w:p>
  </w:footnote>
  <w:footnote w:id="43">
    <w:p w:rsidR="00AA5585" w:rsidP="004C09A6" w14:paraId="33702562" w14:textId="77777777">
      <w:pPr>
        <w:pStyle w:val="FootnoteText"/>
      </w:pPr>
      <w:r>
        <w:rPr>
          <w:rStyle w:val="FootnoteReference"/>
        </w:rPr>
        <w:footnoteRef/>
      </w:r>
      <w:r>
        <w:t xml:space="preserve"> </w:t>
      </w:r>
      <w:r w:rsidRPr="000E3518">
        <w:rPr>
          <w:i/>
        </w:rPr>
        <w:t xml:space="preserve">Wireless </w:t>
      </w:r>
      <w:r>
        <w:rPr>
          <w:i/>
        </w:rPr>
        <w:t>Commitments Notice</w:t>
      </w:r>
      <w:r>
        <w:t xml:space="preserve">, 31 FCC Rcd 13317, Appx. at 13320-23; </w:t>
      </w:r>
      <w:r>
        <w:rPr>
          <w:i/>
        </w:rPr>
        <w:t xml:space="preserve">Wireline Commitments Notice, </w:t>
      </w:r>
      <w:r>
        <w:t xml:space="preserve">31 FCC Rcd 13347, Appx. B at 13351-53. </w:t>
      </w:r>
    </w:p>
  </w:footnote>
  <w:footnote w:id="44">
    <w:p w:rsidR="00AA5585" w:rsidP="004C09A6" w14:paraId="705702C1" w14:textId="46EF7B1D">
      <w:pPr>
        <w:pStyle w:val="FootnoteText"/>
      </w:pPr>
      <w:r>
        <w:rPr>
          <w:rStyle w:val="FootnoteReference"/>
        </w:rPr>
        <w:footnoteRef/>
      </w:r>
      <w:r>
        <w:t xml:space="preserve"> For example</w:t>
      </w:r>
      <w:r w:rsidRPr="007F1229">
        <w:t>,</w:t>
      </w:r>
      <w:r>
        <w:t xml:space="preserve"> such data informs </w:t>
      </w:r>
      <w:r w:rsidRPr="007F1229">
        <w:t xml:space="preserve">whether </w:t>
      </w:r>
      <w:r>
        <w:t>and to what extent a carrier’s</w:t>
      </w:r>
      <w:r w:rsidRPr="007F1229">
        <w:t xml:space="preserve"> LTE </w:t>
      </w:r>
      <w:r>
        <w:t>coverage meets its</w:t>
      </w:r>
      <w:r w:rsidRPr="007F1229">
        <w:t xml:space="preserve"> commitment for a fiber-fed or satellite-fed </w:t>
      </w:r>
      <w:r>
        <w:t xml:space="preserve">population.  </w:t>
      </w:r>
      <w:r w:rsidRPr="001A643C">
        <w:rPr>
          <w:i/>
        </w:rPr>
        <w:t>See</w:t>
      </w:r>
      <w:r>
        <w:rPr>
          <w:i/>
        </w:rPr>
        <w:t>, e.g.</w:t>
      </w:r>
      <w:r>
        <w:t>,</w:t>
      </w:r>
      <w:r w:rsidRPr="001A643C">
        <w:rPr>
          <w:i/>
        </w:rPr>
        <w:t xml:space="preserve"> </w:t>
      </w:r>
      <w:r>
        <w:rPr>
          <w:i/>
        </w:rPr>
        <w:t>Wireless Commitments Notice</w:t>
      </w:r>
      <w:r w:rsidRPr="001A643C">
        <w:t xml:space="preserve">, </w:t>
      </w:r>
      <w:r>
        <w:t>Appx. at 13322</w:t>
      </w:r>
      <w:r w:rsidRPr="001A643C">
        <w:t xml:space="preserve"> </w:t>
      </w:r>
      <w:r>
        <w:t xml:space="preserve">(showing GCI’s commitment of serving 118,616 people with LTE at the ten-year mark—of which 64,158 will be fiber-fed; 42,095, microwave-fed; and 12,363, satellite-fed); </w:t>
      </w:r>
      <w:r w:rsidRPr="00012CC4">
        <w:rPr>
          <w:i/>
        </w:rPr>
        <w:t>see also</w:t>
      </w:r>
      <w:r>
        <w:t xml:space="preserve"> </w:t>
      </w:r>
      <w:r w:rsidRPr="001A643C">
        <w:rPr>
          <w:i/>
        </w:rPr>
        <w:t>Alaska Plan Order</w:t>
      </w:r>
      <w:r w:rsidRPr="001A643C">
        <w:t>, 31 FCC Rcd at 10166-67, para. 85</w:t>
      </w:r>
      <w:r>
        <w:t xml:space="preserve"> (requiring commitments be broken out by each type of middle mile).  </w:t>
      </w:r>
    </w:p>
  </w:footnote>
  <w:footnote w:id="45">
    <w:p w:rsidR="00AA5585" w:rsidP="004C09A6" w14:paraId="5511A45E" w14:textId="77777777">
      <w:pPr>
        <w:pStyle w:val="FootnoteText"/>
      </w:pPr>
      <w:r>
        <w:rPr>
          <w:rStyle w:val="FootnoteReference"/>
        </w:rPr>
        <w:footnoteRef/>
      </w:r>
      <w:r>
        <w:t xml:space="preserve"> </w:t>
      </w:r>
      <w:r w:rsidRPr="00012CC4">
        <w:rPr>
          <w:i/>
        </w:rPr>
        <w:t>See</w:t>
      </w:r>
      <w:r>
        <w:t xml:space="preserve"> Petition at 8 n.13.</w:t>
      </w:r>
    </w:p>
  </w:footnote>
  <w:footnote w:id="46">
    <w:p w:rsidR="00AA5585" w:rsidP="004C09A6" w14:paraId="20DB868A" w14:textId="77777777">
      <w:pPr>
        <w:pStyle w:val="FootnoteText"/>
      </w:pPr>
      <w:r>
        <w:rPr>
          <w:rStyle w:val="FootnoteReference"/>
        </w:rPr>
        <w:footnoteRef/>
      </w:r>
      <w:r>
        <w:t xml:space="preserve"> </w:t>
      </w:r>
      <w:r>
        <w:rPr>
          <w:i/>
        </w:rPr>
        <w:t>See, e.g.</w:t>
      </w:r>
      <w:r>
        <w:t xml:space="preserve">, </w:t>
      </w:r>
      <w:r w:rsidRPr="00F72D57">
        <w:rPr>
          <w:i/>
        </w:rPr>
        <w:t>Map</w:t>
      </w:r>
      <w:r w:rsidRPr="00BF3B1D">
        <w:rPr>
          <w:i/>
        </w:rPr>
        <w:t xml:space="preserve"> Instructions PN</w:t>
      </w:r>
      <w:r w:rsidRPr="00BF3B1D">
        <w:t>, 32 FCC Rcd at 686</w:t>
      </w:r>
      <w:r>
        <w:t>3 n.3.</w:t>
      </w:r>
    </w:p>
  </w:footnote>
  <w:footnote w:id="47">
    <w:p w:rsidR="00AA5585" w:rsidP="004C09A6" w14:paraId="20C50E30" w14:textId="77777777">
      <w:pPr>
        <w:pStyle w:val="FootnoteText"/>
      </w:pPr>
      <w:r>
        <w:rPr>
          <w:rStyle w:val="FootnoteReference"/>
        </w:rPr>
        <w:footnoteRef/>
      </w:r>
      <w:r>
        <w:t xml:space="preserve"> </w:t>
      </w:r>
      <w:r w:rsidRPr="00BB0CDE">
        <w:t>OBI Techni</w:t>
      </w:r>
      <w:r>
        <w:t xml:space="preserve">cal Paper #1, 25 FCC Rcd at 6803. </w:t>
      </w:r>
    </w:p>
  </w:footnote>
  <w:footnote w:id="48">
    <w:p w:rsidR="00AA5585" w:rsidP="004C09A6" w14:paraId="42BE07CD" w14:textId="77777777">
      <w:pPr>
        <w:pStyle w:val="FootnoteText"/>
      </w:pPr>
      <w:r>
        <w:rPr>
          <w:rStyle w:val="FootnoteReference"/>
        </w:rPr>
        <w:footnoteRef/>
      </w:r>
      <w:r>
        <w:t xml:space="preserve"> Petition at 9-11.  </w:t>
      </w:r>
    </w:p>
  </w:footnote>
  <w:footnote w:id="49">
    <w:p w:rsidR="00AA5585" w:rsidP="004C09A6" w14:paraId="0F3E1E70" w14:textId="77777777">
      <w:pPr>
        <w:pStyle w:val="FootnoteText"/>
      </w:pPr>
      <w:r>
        <w:rPr>
          <w:rStyle w:val="FootnoteReference"/>
        </w:rPr>
        <w:footnoteRef/>
      </w:r>
      <w:r>
        <w:t xml:space="preserve"> </w:t>
      </w:r>
      <w:r>
        <w:rPr>
          <w:i/>
        </w:rPr>
        <w:t>See, e.</w:t>
      </w:r>
      <w:r w:rsidRPr="000F66C5">
        <w:rPr>
          <w:i/>
        </w:rPr>
        <w:t>g</w:t>
      </w:r>
      <w:r>
        <w:rPr>
          <w:i/>
        </w:rPr>
        <w:t>.</w:t>
      </w:r>
      <w:r>
        <w:t xml:space="preserve">, </w:t>
      </w:r>
      <w:r w:rsidRPr="00D86E31">
        <w:t>OBI Technical Paper #1, 25 FCC Rcd</w:t>
      </w:r>
      <w:r>
        <w:t xml:space="preserve"> at 6845 (stating that such an assessment underestimates the presence of nationwide middle mile fiber).</w:t>
      </w:r>
    </w:p>
  </w:footnote>
  <w:footnote w:id="50">
    <w:p w:rsidR="00AA5585" w:rsidP="004C09A6" w14:paraId="5D2275CB" w14:textId="77777777">
      <w:pPr>
        <w:pStyle w:val="FootnoteText"/>
      </w:pPr>
      <w:r>
        <w:rPr>
          <w:rStyle w:val="FootnoteReference"/>
        </w:rPr>
        <w:footnoteRef/>
      </w:r>
      <w:r>
        <w:t xml:space="preserve"> </w:t>
      </w:r>
      <w:r w:rsidRPr="000F66C5">
        <w:rPr>
          <w:i/>
        </w:rPr>
        <w:t xml:space="preserve">See </w:t>
      </w:r>
      <w:r w:rsidRPr="00787AB1">
        <w:t>Petition</w:t>
      </w:r>
      <w:r>
        <w:t xml:space="preserve"> at 9-12.</w:t>
      </w:r>
    </w:p>
  </w:footnote>
  <w:footnote w:id="51">
    <w:p w:rsidR="00AA5585" w:rsidP="004C09A6" w14:paraId="0E0DD50D" w14:textId="77777777">
      <w:pPr>
        <w:pStyle w:val="FootnoteText"/>
      </w:pPr>
      <w:r>
        <w:rPr>
          <w:rStyle w:val="FootnoteReference"/>
        </w:rPr>
        <w:footnoteRef/>
      </w:r>
      <w:r>
        <w:t xml:space="preserve"> ATA PRA 30-Day Comments at 13-14 (“Second, while the term ‘backhaul’ is commonly used to refer to the connection between cell towers and the next point of aggregation, that is not clearly the use of the term in the </w:t>
      </w:r>
      <w:r w:rsidRPr="00F56BFB">
        <w:rPr>
          <w:i/>
        </w:rPr>
        <w:t>Alaska Plan Order</w:t>
      </w:r>
      <w:r>
        <w:t>, which refers to ‘backhaul’ interchangeably with ‘middle mile’ and with regard to both mobile and wireline infrastructure.”).</w:t>
      </w:r>
    </w:p>
  </w:footnote>
  <w:footnote w:id="52">
    <w:p w:rsidR="00AA5585" w:rsidP="004C09A6" w14:paraId="43B30134" w14:textId="77777777">
      <w:pPr>
        <w:pStyle w:val="FootnoteText"/>
      </w:pPr>
      <w:r>
        <w:rPr>
          <w:rStyle w:val="FootnoteReference"/>
        </w:rPr>
        <w:footnoteRef/>
      </w:r>
      <w:r>
        <w:t xml:space="preserve"> </w:t>
      </w:r>
      <w:r w:rsidRPr="000E6EDB">
        <w:rPr>
          <w:i/>
        </w:rPr>
        <w:t>See Implementation of Section 6002(b) of the Omnibus Budget Reconciliation Act of 1993</w:t>
      </w:r>
      <w:r>
        <w:t>, Twentieth Report, 32 FCC Rcd 8968, 8998, n.135 (2017).</w:t>
      </w:r>
    </w:p>
  </w:footnote>
  <w:footnote w:id="53">
    <w:p w:rsidR="00AA5585" w:rsidP="004C09A6" w14:paraId="45420B8C" w14:textId="77777777">
      <w:pPr>
        <w:pStyle w:val="FootnoteText"/>
      </w:pPr>
      <w:r>
        <w:rPr>
          <w:rStyle w:val="FootnoteReference"/>
        </w:rPr>
        <w:footnoteRef/>
      </w:r>
      <w:r>
        <w:t xml:space="preserve"> OBI Technical Paper #1, 25 FCC Rcd at 6802-10 (discussing “second mile backhaul” where backhaul is synonymous with the second mile), 6843 (showing the last mile as from the cell site to the handset; showing the “second mile” as the cell site to the mobile switching center), 6861 (defining “last mile” as generally ending at the first point of aggregation), 6863 (defining “second mile” as generally beginning at the first point of aggregation, such as a wireless tower).  </w:t>
      </w:r>
    </w:p>
  </w:footnote>
  <w:footnote w:id="54">
    <w:p w:rsidR="00AA5585" w:rsidP="004C09A6" w14:paraId="11C1C3AB" w14:textId="158207AA">
      <w:pPr>
        <w:pStyle w:val="FootnoteText"/>
      </w:pPr>
      <w:r>
        <w:rPr>
          <w:rStyle w:val="FootnoteReference"/>
        </w:rPr>
        <w:footnoteRef/>
      </w:r>
      <w:r>
        <w:t xml:space="preserve"> </w:t>
      </w:r>
      <w:r w:rsidRPr="00CE05ED">
        <w:rPr>
          <w:i/>
        </w:rPr>
        <w:t xml:space="preserve">Wireless </w:t>
      </w:r>
      <w:r>
        <w:rPr>
          <w:i/>
        </w:rPr>
        <w:t>Commitments Notice</w:t>
      </w:r>
      <w:r>
        <w:t xml:space="preserve">, 31 FCC Rcd, Appx. at 13320-23 (providing a Form 477 technology code—e.g., 83, which is LTE—for a carrier’s last-mile deployment commitment).  </w:t>
      </w:r>
    </w:p>
  </w:footnote>
  <w:footnote w:id="55">
    <w:p w:rsidR="00AA5585" w:rsidP="004C09A6" w14:paraId="517C2760" w14:textId="0D8F7B10">
      <w:pPr>
        <w:pStyle w:val="FootnoteText"/>
      </w:pPr>
      <w:r>
        <w:rPr>
          <w:rStyle w:val="FootnoteReference"/>
        </w:rPr>
        <w:footnoteRef/>
      </w:r>
      <w:r>
        <w:t xml:space="preserve"> </w:t>
      </w:r>
      <w:r w:rsidRPr="00C45D6A">
        <w:rPr>
          <w:i/>
        </w:rPr>
        <w:t>See</w:t>
      </w:r>
      <w:r>
        <w:rPr>
          <w:i/>
        </w:rPr>
        <w:t xml:space="preserve"> </w:t>
      </w:r>
      <w:r w:rsidRPr="00C45D6A">
        <w:rPr>
          <w:i/>
        </w:rPr>
        <w:t>Alaska Plan Order</w:t>
      </w:r>
      <w:r w:rsidRPr="00C45D6A">
        <w:t xml:space="preserve">, 31 FCC Rcd at </w:t>
      </w:r>
      <w:r w:rsidRPr="0009528E">
        <w:t>10146-48, 10156, 10158, 10165-67, 10172, paras. 17, 24, 52, 60-61, 81-86, 102</w:t>
      </w:r>
      <w:r>
        <w:t xml:space="preserve">; </w:t>
      </w:r>
      <w:r>
        <w:rPr>
          <w:i/>
        </w:rPr>
        <w:t>see also</w:t>
      </w:r>
      <w:r w:rsidRPr="0002152F">
        <w:t xml:space="preserve"> </w:t>
      </w:r>
      <w:r w:rsidRPr="0002152F">
        <w:rPr>
          <w:i/>
          <w:iCs/>
        </w:rPr>
        <w:t>Inquiry Concerning the Deployment of Advanced Telecommunications Capability to All Americans in a Reasonable and Timely Fashion, and Possible Steps to Accelerate Such Deployment Pursuant to Section 706 Of the Telecommunications Act of 1996</w:t>
      </w:r>
      <w:r w:rsidRPr="0002152F">
        <w:t xml:space="preserve">, Second Report, 15 FCC Rcd 20913, 20926, para. 23 (2000) (“Middle mile facilities provide transport or routing from last mile aggregation points in order to interconnect and exchange traffic with national backbone providers or directly with other middle mile networks.  It appears that most fiber optic, middle-mile facilities, like backbone, exist along public rights of way.  Other middle miles include fixed wireless and satellite links.”); </w:t>
      </w:r>
      <w:r w:rsidRPr="0002152F">
        <w:rPr>
          <w:i/>
        </w:rPr>
        <w:t>see also</w:t>
      </w:r>
      <w:r w:rsidRPr="0002152F">
        <w:t xml:space="preserve"> </w:t>
      </w:r>
      <w:r w:rsidRPr="0002152F">
        <w:rPr>
          <w:i/>
        </w:rPr>
        <w:t>Inquiry Concerning Deployment of Advanced Telecommunications Capability to All Americans in Reasonable and Timely Fashion, Possible Steps to Accelerate Such Deployment Pursuant to Section 706 of Telecommunications Act of 1996</w:t>
      </w:r>
      <w:r w:rsidRPr="0002152F">
        <w:t>, Third Report, 17 FCC Rcd 2844, 2854 (2002).</w:t>
      </w:r>
      <w:r>
        <w:t xml:space="preserve">  </w:t>
      </w:r>
    </w:p>
  </w:footnote>
  <w:footnote w:id="56">
    <w:p w:rsidR="00AA5585" w:rsidRPr="00012CC4" w:rsidP="004C09A6" w14:paraId="22FF66D1" w14:textId="77777777">
      <w:pPr>
        <w:pStyle w:val="FootnoteText"/>
        <w:rPr>
          <w:b/>
        </w:rPr>
      </w:pPr>
      <w:r>
        <w:rPr>
          <w:rStyle w:val="FootnoteReference"/>
        </w:rPr>
        <w:footnoteRef/>
      </w:r>
      <w:r>
        <w:t xml:space="preserve"> Specifically, “backhaul” in GCI’s proposed “Alaska Broadband Cost Model” is defined as the connection between the cell site and the “hubs” in Anchorage, Juneau and Fairbanks.  </w:t>
      </w:r>
      <w:r w:rsidRPr="00EE5B77">
        <w:t>Letter from</w:t>
      </w:r>
      <w:r w:rsidRPr="00EE5B77">
        <w:rPr>
          <w:i/>
        </w:rPr>
        <w:t xml:space="preserve"> </w:t>
      </w:r>
      <w:r w:rsidRPr="00EE5B77">
        <w:t xml:space="preserve">John T. Nakahata, Counsel to General Communication, Inc., to Marlene H. Dortch, Secretary, FCC, WC Docket No. 10-90, Attach. </w:t>
      </w:r>
      <w:r>
        <w:t xml:space="preserve">at 11 </w:t>
      </w:r>
      <w:r w:rsidRPr="00EE5B77">
        <w:t xml:space="preserve">(filed </w:t>
      </w:r>
      <w:r>
        <w:t>Feb. 10, 2013</w:t>
      </w:r>
      <w:r w:rsidRPr="00EE5B77">
        <w:t>)</w:t>
      </w:r>
      <w:r>
        <w:t xml:space="preserve"> (Brattle Group Study) (study describing backhaul costs in Alaska).</w:t>
      </w:r>
    </w:p>
  </w:footnote>
  <w:footnote w:id="57">
    <w:p w:rsidR="00AA5585" w:rsidP="004C09A6" w14:paraId="3B182AB4" w14:textId="77777777">
      <w:pPr>
        <w:pStyle w:val="FootnoteText"/>
      </w:pPr>
      <w:r>
        <w:rPr>
          <w:rStyle w:val="FootnoteReference"/>
        </w:rPr>
        <w:footnoteRef/>
      </w:r>
      <w:r>
        <w:t xml:space="preserve"> </w:t>
      </w:r>
      <w:r w:rsidRPr="00993163">
        <w:t>Brattle Group Study</w:t>
      </w:r>
      <w:r>
        <w:t xml:space="preserve"> at 4, 9, 11-13.</w:t>
      </w:r>
    </w:p>
  </w:footnote>
  <w:footnote w:id="58">
    <w:p w:rsidR="00AA5585" w:rsidP="004C3C21" w14:paraId="767277BD" w14:textId="556CA488">
      <w:pPr>
        <w:pStyle w:val="FootnoteText"/>
      </w:pPr>
      <w:r>
        <w:rPr>
          <w:rStyle w:val="FootnoteReference"/>
        </w:rPr>
        <w:footnoteRef/>
      </w:r>
      <w:r>
        <w:t xml:space="preserve"> Petition at 16-17; </w:t>
      </w:r>
      <w:r w:rsidRPr="000D7534">
        <w:rPr>
          <w:i/>
        </w:rPr>
        <w:t>see also</w:t>
      </w:r>
      <w:r>
        <w:t xml:space="preserve"> ATA Proposal</w:t>
      </w:r>
      <w:r w:rsidR="00401125">
        <w:t>, Attach. 1 at 2</w:t>
      </w:r>
      <w:r>
        <w:t>.</w:t>
      </w:r>
    </w:p>
  </w:footnote>
  <w:footnote w:id="59">
    <w:p w:rsidR="00AA5585" w:rsidP="004C3C21" w14:paraId="206883AD" w14:textId="77777777">
      <w:pPr>
        <w:pStyle w:val="FootnoteText"/>
      </w:pPr>
      <w:r>
        <w:rPr>
          <w:rStyle w:val="FootnoteReference"/>
        </w:rPr>
        <w:footnoteRef/>
      </w:r>
      <w:r>
        <w:t xml:space="preserve"> </w:t>
      </w:r>
      <w:r w:rsidRPr="00C17366">
        <w:rPr>
          <w:i/>
        </w:rPr>
        <w:t>See</w:t>
      </w:r>
      <w:r>
        <w:t xml:space="preserve"> </w:t>
      </w:r>
      <w:r w:rsidRPr="00174E61">
        <w:rPr>
          <w:i/>
        </w:rPr>
        <w:t>Alaska Plan Order</w:t>
      </w:r>
      <w:r w:rsidRPr="00174E61">
        <w:t>, 31 FCC Rcd at</w:t>
      </w:r>
      <w:r>
        <w:t xml:space="preserve"> 10157, para. 58, n.114 (delegating authority to the Wireline Competition Bureau to extend the deadlines of 47 CFR § 54.316 as needed for administrative convenience); </w:t>
      </w:r>
      <w:r w:rsidRPr="00B577D2">
        <w:rPr>
          <w:i/>
        </w:rPr>
        <w:t>see also</w:t>
      </w:r>
      <w:r>
        <w:rPr>
          <w:i/>
        </w:rPr>
        <w:t>, e.g.</w:t>
      </w:r>
      <w:r>
        <w:t>,</w:t>
      </w:r>
      <w:r w:rsidRPr="00B577D2">
        <w:rPr>
          <w:i/>
        </w:rPr>
        <w:t xml:space="preserve"> </w:t>
      </w:r>
      <w:r w:rsidRPr="00C17366">
        <w:rPr>
          <w:i/>
        </w:rPr>
        <w:t>Connect America Fund</w:t>
      </w:r>
      <w:r w:rsidRPr="00067A8C">
        <w:t>, Order, 32 FCC Rcd 1445 (WCB 2017)</w:t>
      </w:r>
      <w:r>
        <w:t xml:space="preserve"> (extending HUBB portal filing deadline for carriers filing for the first time)</w:t>
      </w:r>
      <w:r w:rsidRPr="00067A8C">
        <w:t xml:space="preserve">; </w:t>
      </w:r>
      <w:r w:rsidRPr="00C17366">
        <w:rPr>
          <w:i/>
        </w:rPr>
        <w:t>Annual International Traffic and Revenue Data As of December 31, 2014 Must Be Filed Using the Section 43.62 Online Filing System From August 17, 2015 to September 30, 2015</w:t>
      </w:r>
      <w:r w:rsidRPr="00067A8C">
        <w:t>, Public Notice, 30 FCC Rcd 8257 (IB 2015) (providing similar bureau-level</w:t>
      </w:r>
      <w:r>
        <w:t xml:space="preserve"> deadline extension through a public notice in the absence of a specific delegation by the Commission).  </w:t>
      </w:r>
    </w:p>
  </w:footnote>
  <w:footnote w:id="60">
    <w:p w:rsidR="00AA5585" w:rsidP="004C3C21" w14:paraId="64903A9E" w14:textId="77777777">
      <w:pPr>
        <w:pStyle w:val="FootnoteText"/>
      </w:pPr>
      <w:r w:rsidRPr="00CE05ED">
        <w:rPr>
          <w:vertAlign w:val="superscript"/>
        </w:rPr>
        <w:footnoteRef/>
      </w:r>
      <w:r w:rsidRPr="6546881D">
        <w:t xml:space="preserve"> </w:t>
      </w:r>
      <w:r w:rsidRPr="3BBA0C70">
        <w:rPr>
          <w:i/>
          <w:iCs/>
        </w:rPr>
        <w:t xml:space="preserve">See </w:t>
      </w:r>
      <w:r w:rsidRPr="00DA688D">
        <w:t>Notice of Office of Management and Budget Action, OMB Control No. 3060-1228 (approved Feb. 1, 2018</w:t>
      </w:r>
      <w:r>
        <w:t>),</w:t>
      </w:r>
      <w:r w:rsidRPr="00DA688D">
        <w:t xml:space="preserve"> </w:t>
      </w:r>
      <w:r>
        <w:fldChar w:fldCharType="begin"/>
      </w:r>
      <w:r>
        <w:instrText xml:space="preserve"> HYPERLINK "https://www.reginfo.gov/public/do/PRAViewICR?ref_nbr=201711-3060-008" </w:instrText>
      </w:r>
      <w:r>
        <w:fldChar w:fldCharType="separate"/>
      </w:r>
      <w:r w:rsidRPr="008C51F7">
        <w:rPr>
          <w:rStyle w:val="Hyperlink"/>
        </w:rPr>
        <w:t>https://www.reginfo.gov/public/do/PRAViewICR?ref_nbr=201711-3060-008</w:t>
      </w:r>
      <w:r>
        <w:fldChar w:fldCharType="end"/>
      </w:r>
      <w:r>
        <w:t>; FCC, Connect America Fund, 83 Fed. Reg. 6796 (Feb. 15, 2018).</w:t>
      </w:r>
    </w:p>
  </w:footnote>
  <w:footnote w:id="61">
    <w:p w:rsidR="00AA5585" w:rsidP="004C3C21" w14:paraId="0C25B723" w14:textId="3DABB790">
      <w:pPr>
        <w:pStyle w:val="FootnoteText"/>
      </w:pPr>
      <w:r>
        <w:rPr>
          <w:rStyle w:val="FootnoteReference"/>
        </w:rPr>
        <w:footnoteRef/>
      </w:r>
      <w:r>
        <w:t xml:space="preserve"> </w:t>
      </w:r>
      <w:r>
        <w:rPr>
          <w:i/>
        </w:rPr>
        <w:t xml:space="preserve">See </w:t>
      </w:r>
      <w:r>
        <w:t>47 CFR § 54.313(j).  For this reason, and because the relief we provide elsewhere will permit carriers to more easily collect and submit information for the 2018 filing, we reject the request in the ATA Proposal for an extension until August 1.  ATA Proposal, Attach. 1 at 2.</w:t>
      </w:r>
    </w:p>
  </w:footnote>
  <w:footnote w:id="62">
    <w:p w:rsidR="00AA5585" w:rsidP="004C3C21" w14:paraId="1DEF773C" w14:textId="030F46AD">
      <w:pPr>
        <w:pStyle w:val="FootnoteText"/>
      </w:pPr>
      <w:r w:rsidRPr="00067A8C">
        <w:rPr>
          <w:rStyle w:val="FootnoteReference"/>
        </w:rPr>
        <w:footnoteRef/>
      </w:r>
      <w:r w:rsidRPr="00067A8C">
        <w:t xml:space="preserve"> </w:t>
      </w:r>
      <w:r w:rsidRPr="000D59C6">
        <w:t>We remind carriers that they have an obligation to, in good faith and to the best of their knowledge, file complete and accurate information in the HUBB</w:t>
      </w:r>
      <w:r>
        <w:t xml:space="preserve"> portal in a timely manner, and failure to do so may subject the carrier to penalties</w:t>
      </w:r>
      <w:r w:rsidRPr="000D59C6">
        <w:t xml:space="preserve">. </w:t>
      </w:r>
      <w:r>
        <w:t xml:space="preserve"> 47 CFR §§ 54.316, 54.320(c); </w:t>
      </w:r>
      <w:r w:rsidRPr="00C17366">
        <w:rPr>
          <w:i/>
        </w:rPr>
        <w:t>s</w:t>
      </w:r>
      <w:r w:rsidRPr="000D59C6">
        <w:rPr>
          <w:i/>
          <w:iCs/>
        </w:rPr>
        <w:t>ee</w:t>
      </w:r>
      <w:r w:rsidRPr="000D59C6">
        <w:t> </w:t>
      </w:r>
      <w:r w:rsidRPr="000D59C6">
        <w:rPr>
          <w:i/>
        </w:rPr>
        <w:t>also</w:t>
      </w:r>
      <w:r w:rsidRPr="000D59C6">
        <w:t xml:space="preserve"> 47 CFR § </w:t>
      </w:r>
      <w:r w:rsidRPr="000D59C6">
        <w:rPr>
          <w:bCs/>
        </w:rPr>
        <w:t>1</w:t>
      </w:r>
      <w:r w:rsidRPr="000D59C6">
        <w:t>.</w:t>
      </w:r>
      <w:r w:rsidRPr="000D59C6">
        <w:rPr>
          <w:bCs/>
        </w:rPr>
        <w:t>17</w:t>
      </w:r>
      <w:r w:rsidRPr="000D59C6">
        <w:t xml:space="preserve">(a)(2)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w:t>
      </w:r>
      <w:r>
        <w:t>correct and not misleading.”)</w:t>
      </w:r>
      <w:r w:rsidRPr="000D59C6">
        <w:t xml:space="preserve">. </w:t>
      </w:r>
    </w:p>
  </w:footnote>
  <w:footnote w:id="63">
    <w:p w:rsidR="00AA5585" w:rsidP="004C3C21" w14:paraId="06BDF126" w14:textId="396E6F65">
      <w:pPr>
        <w:pStyle w:val="FootnoteText"/>
      </w:pPr>
      <w:r>
        <w:rPr>
          <w:rStyle w:val="FootnoteReference"/>
        </w:rPr>
        <w:footnoteRef/>
      </w:r>
      <w:r>
        <w:t xml:space="preserve"> The Bureaus released initial guidance and instructions on September 8, 2017.  </w:t>
      </w:r>
      <w:r>
        <w:rPr>
          <w:i/>
        </w:rPr>
        <w:t>Map</w:t>
      </w:r>
      <w:r>
        <w:t xml:space="preserve"> </w:t>
      </w:r>
      <w:r w:rsidRPr="00FA39EC">
        <w:rPr>
          <w:i/>
        </w:rPr>
        <w:t>Instructions</w:t>
      </w:r>
      <w:r>
        <w:rPr>
          <w:i/>
        </w:rPr>
        <w:t xml:space="preserve"> PN</w:t>
      </w:r>
      <w:r>
        <w:t>, 32 FCC Rcd at 6863, Appx. at 6865.</w:t>
      </w:r>
    </w:p>
  </w:footnote>
  <w:footnote w:id="64">
    <w:p w:rsidR="00AA5585" w:rsidP="004C3C21" w14:paraId="3FD8E2B2" w14:textId="5470C511">
      <w:pPr>
        <w:pStyle w:val="FootnoteText"/>
      </w:pPr>
      <w:r>
        <w:rPr>
          <w:rStyle w:val="FootnoteReference"/>
        </w:rPr>
        <w:footnoteRef/>
      </w:r>
      <w:r>
        <w:t xml:space="preserve"> USAC will notify Alaska Plan recipients when the HUBB portal is ready to accept reportable information.</w:t>
      </w:r>
    </w:p>
  </w:footnote>
  <w:footnote w:id="65">
    <w:p w:rsidR="00AA5585" w:rsidP="004C3C21" w14:paraId="72BB89C6" w14:textId="77777777">
      <w:pPr>
        <w:pStyle w:val="FootnoteText"/>
      </w:pPr>
      <w:r>
        <w:rPr>
          <w:rStyle w:val="FootnoteReference"/>
        </w:rPr>
        <w:footnoteRef/>
      </w:r>
      <w:r>
        <w:t xml:space="preserve"> </w:t>
      </w:r>
      <w:r w:rsidRPr="000F66C5">
        <w:rPr>
          <w:i/>
        </w:rPr>
        <w:t>See</w:t>
      </w:r>
      <w:r>
        <w:t xml:space="preserve"> ATA Proposal, Attach. 1&amp;2. </w:t>
      </w:r>
    </w:p>
  </w:footnote>
  <w:footnote w:id="66">
    <w:p w:rsidR="00AA5585" w:rsidP="004C3C21" w14:paraId="1FA1715C" w14:textId="77777777">
      <w:pPr>
        <w:pStyle w:val="FootnoteText"/>
      </w:pPr>
      <w:r>
        <w:rPr>
          <w:rStyle w:val="FootnoteReference"/>
        </w:rPr>
        <w:footnoteRef/>
      </w:r>
      <w:r>
        <w:t xml:space="preserve"> Multiple accuracy standards could result in an incorrect interpretation of data in instances where carriers share facilities.  A single shared facility could appear to be two distinct facilities located near each other.  While buffering techniques could help account for such occurrences, the result would treat all data at the lesser degree of accuracy.  This would effectively create a single standard of accuracy at a lower standard, which we reject below. </w:t>
      </w:r>
    </w:p>
  </w:footnote>
  <w:footnote w:id="67">
    <w:p w:rsidR="00AA5585" w:rsidP="004C3C21" w14:paraId="0F8696CA" w14:textId="7FADEFF7">
      <w:pPr>
        <w:pStyle w:val="FootnoteText"/>
      </w:pPr>
      <w:r>
        <w:rPr>
          <w:rStyle w:val="FootnoteReference"/>
        </w:rPr>
        <w:footnoteRef/>
      </w:r>
      <w:r>
        <w:t xml:space="preserve"> </w:t>
      </w:r>
      <w:r w:rsidRPr="00C17366">
        <w:rPr>
          <w:i/>
        </w:rPr>
        <w:t>See</w:t>
      </w:r>
      <w:r>
        <w:t xml:space="preserve"> Appx. at Parts II, III, </w:t>
      </w:r>
      <w:r w:rsidRPr="00C17366">
        <w:rPr>
          <w:i/>
        </w:rPr>
        <w:t>infra</w:t>
      </w:r>
      <w:r>
        <w:rPr>
          <w:i/>
        </w:rPr>
        <w:t xml:space="preserve"> </w:t>
      </w:r>
      <w:r>
        <w:t xml:space="preserve">(explaining the 7.6-meter accuracy requirement but allowing provision estimates for one year).  The original instructions did not explicitly provide the accuracy requirement in the node section of the instructions.  As ATA understands, however, the 7.6-meter accuracy standard applies to nodes as well.  ATA Petition, Decl. of Jimmy Sipes, para. 5 (discussing needing to meet the 7.6-meter accuracy requirement for “all of its cell sites”); ATA 30-Day PRA Comments at 5-6 n.9 (“The [7.6-meter] standard refers to ‘lines’ but as ATA understands it, it must also necessary apply to the nodes that define those lines.”).  We correct the omission in this update.  </w:t>
      </w:r>
    </w:p>
  </w:footnote>
  <w:footnote w:id="68">
    <w:p w:rsidR="00AA5585" w:rsidP="004C3C21" w14:paraId="395377FC" w14:textId="77777777">
      <w:pPr>
        <w:pStyle w:val="FootnoteText"/>
      </w:pPr>
      <w:r>
        <w:rPr>
          <w:rStyle w:val="FootnoteReference"/>
        </w:rPr>
        <w:footnoteRef/>
      </w:r>
      <w:r>
        <w:t xml:space="preserve"> </w:t>
      </w:r>
      <w:r w:rsidRPr="00E02DC5">
        <w:rPr>
          <w:i/>
        </w:rPr>
        <w:t>See</w:t>
      </w:r>
      <w:r>
        <w:t xml:space="preserve"> 47 CFR § 54.317(f); </w:t>
      </w:r>
      <w:r w:rsidRPr="00174E61">
        <w:rPr>
          <w:i/>
        </w:rPr>
        <w:t>Alaska Plan Order</w:t>
      </w:r>
      <w:r w:rsidRPr="00174E61">
        <w:t>, 31 FCC Rcd at</w:t>
      </w:r>
      <w:r>
        <w:t xml:space="preserve"> 10158, 10167, para. 61 &amp; n.174.</w:t>
      </w:r>
    </w:p>
  </w:footnote>
  <w:footnote w:id="69">
    <w:p w:rsidR="00AA5585" w:rsidP="004C3C21" w14:paraId="522EC5A7" w14:textId="77777777">
      <w:pPr>
        <w:pStyle w:val="FootnoteText"/>
      </w:pPr>
      <w:r>
        <w:rPr>
          <w:rStyle w:val="FootnoteReference"/>
        </w:rPr>
        <w:footnoteRef/>
      </w:r>
      <w:r>
        <w:t xml:space="preserve"> Google Earth is accurate up to 7.6 meters in many circumstances.  However, in some cases, Google Earth may only be accurate up to 30-50 meters.  </w:t>
      </w:r>
      <w:r w:rsidRPr="00EE493E">
        <w:rPr>
          <w:i/>
        </w:rPr>
        <w:t>Cf.</w:t>
      </w:r>
      <w:r>
        <w:t xml:space="preserve"> Cutberto Paredes-Hernandez </w:t>
      </w:r>
      <w:r w:rsidRPr="00EE493E">
        <w:rPr>
          <w:i/>
        </w:rPr>
        <w:t>et al.,</w:t>
      </w:r>
      <w:r>
        <w:t xml:space="preserve"> </w:t>
      </w:r>
      <w:r w:rsidRPr="00EE493E">
        <w:rPr>
          <w:i/>
        </w:rPr>
        <w:t xml:space="preserve">Horizontal Positional Accuracy of Google Earth’s Imagery Over Rural Areas, A </w:t>
      </w:r>
      <w:r>
        <w:rPr>
          <w:i/>
        </w:rPr>
        <w:t>S</w:t>
      </w:r>
      <w:r w:rsidRPr="00EE493E">
        <w:rPr>
          <w:i/>
        </w:rPr>
        <w:t>tudy Case in Tamaulipas Mexico,</w:t>
      </w:r>
      <w:r>
        <w:t xml:space="preserve"> 19 Boeltim de Ciencias Geodesicas 587-601 (2013),</w:t>
      </w:r>
      <w:r w:rsidRPr="00EE493E">
        <w:t xml:space="preserve"> </w:t>
      </w:r>
      <w:r>
        <w:fldChar w:fldCharType="begin"/>
      </w:r>
      <w:r>
        <w:instrText xml:space="preserve"> HYPERLINK "http://citeseerx.ist.psu.edu/viewdoc/download?doi=10.1.1.866.9228&amp;rep=rep1&amp;type=pdf" </w:instrText>
      </w:r>
      <w:r>
        <w:fldChar w:fldCharType="separate"/>
      </w:r>
      <w:r>
        <w:rPr>
          <w:rStyle w:val="Hyperlink"/>
        </w:rPr>
        <w:t>http://citeseerx.ist.psu.edu/viewdoc/download?doi=10.1.1.866.9228&amp;rep=rep1&amp;type=pdf</w:t>
      </w:r>
      <w:r>
        <w:fldChar w:fldCharType="end"/>
      </w:r>
      <w:r>
        <w:rPr>
          <w:rStyle w:val="Hyperlink"/>
        </w:rPr>
        <w:t>.</w:t>
      </w:r>
      <w:r w:rsidRPr="00EE493E">
        <w:t xml:space="preserve"> </w:t>
      </w:r>
      <w:r>
        <w:t xml:space="preserve"> For compliance with the instructions, Google Earth meets that level of accuracy.  Carriers are not required to use Google Earth, but carriers should ensure that alternative software is accurate to 50 meters or better.  </w:t>
      </w:r>
    </w:p>
  </w:footnote>
  <w:footnote w:id="70">
    <w:p w:rsidR="00AA5585" w:rsidP="004C3C21" w14:paraId="67617FF7" w14:textId="77777777">
      <w:pPr>
        <w:pStyle w:val="FootnoteText"/>
      </w:pPr>
      <w:r>
        <w:rPr>
          <w:rStyle w:val="FootnoteReference"/>
        </w:rPr>
        <w:footnoteRef/>
      </w:r>
      <w:r>
        <w:t xml:space="preserve"> This date ensures that the Bureaus will have accurate information regarding middle-mile network limitations by the time of the four-year updates.  </w:t>
      </w:r>
      <w:r w:rsidRPr="00C17366">
        <w:rPr>
          <w:i/>
        </w:rPr>
        <w:t>See</w:t>
      </w:r>
      <w:r>
        <w:t xml:space="preserve"> </w:t>
      </w:r>
      <w:r w:rsidRPr="00174E61">
        <w:rPr>
          <w:i/>
        </w:rPr>
        <w:t>Alaska Plan Order</w:t>
      </w:r>
      <w:r w:rsidRPr="00174E61">
        <w:t>, 31 FCC Rcd at</w:t>
      </w:r>
      <w:r>
        <w:t xml:space="preserve"> 10158, 10167, para. 61 &amp; n.174. </w:t>
      </w:r>
      <w:r>
        <w:rPr>
          <w:i/>
        </w:rPr>
        <w:t xml:space="preserve"> </w:t>
      </w:r>
    </w:p>
  </w:footnote>
  <w:footnote w:id="71">
    <w:p w:rsidR="00AA5585" w:rsidP="004C3C21" w14:paraId="227720F1" w14:textId="64A30B9E">
      <w:pPr>
        <w:pStyle w:val="FootnoteText"/>
      </w:pPr>
      <w:r>
        <w:rPr>
          <w:rStyle w:val="FootnoteReference"/>
        </w:rPr>
        <w:footnoteRef/>
      </w:r>
      <w:r>
        <w:t xml:space="preserve"> Alternatively, if the filer does not possess digital data for some of its nodes and links by the time of its initial submission, it may provide estimates as discussed.</w:t>
      </w:r>
      <w:r w:rsidRPr="00C813B3">
        <w:t xml:space="preserve"> </w:t>
      </w:r>
      <w:r>
        <w:t xml:space="preserve"> Because carriers will have had over a year to obtain data at the 7.6-meter accuracy level, we anticipate that it is unlikely carriers will need to incur significant expense sending technicians to remote sites for the sole purpose of acquiring information consistent with this collection.  </w:t>
      </w:r>
      <w:r w:rsidRPr="00FA0F3E">
        <w:rPr>
          <w:i/>
        </w:rPr>
        <w:t>See</w:t>
      </w:r>
      <w:r>
        <w:t xml:space="preserve"> ATA Petition, Decl. of Jimmy Sipes, para. 5.     </w:t>
      </w:r>
    </w:p>
  </w:footnote>
  <w:footnote w:id="72">
    <w:p w:rsidR="00AA5585" w:rsidP="004C3C21" w14:paraId="1E707A47" w14:textId="77777777">
      <w:pPr>
        <w:pStyle w:val="FootnoteText"/>
      </w:pPr>
      <w:r>
        <w:rPr>
          <w:rStyle w:val="FootnoteReference"/>
        </w:rPr>
        <w:footnoteRef/>
      </w:r>
      <w:r>
        <w:t xml:space="preserve"> Petition at 7-8, 10. </w:t>
      </w:r>
    </w:p>
  </w:footnote>
  <w:footnote w:id="73">
    <w:p w:rsidR="00AA5585" w:rsidP="004C3C21" w14:paraId="5C0FA60C" w14:textId="3E3AB26A">
      <w:pPr>
        <w:pStyle w:val="FootnoteText"/>
      </w:pPr>
      <w:r>
        <w:rPr>
          <w:rStyle w:val="FootnoteReference"/>
        </w:rPr>
        <w:footnoteRef/>
      </w:r>
      <w:r>
        <w:t xml:space="preserve"> For example, the HUBB portal uses the 7.6-meter accuracy standard to take into account the inherent error in census block boundary measurements.  </w:t>
      </w:r>
      <w:r w:rsidRPr="00C776A9">
        <w:rPr>
          <w:i/>
        </w:rPr>
        <w:t>See</w:t>
      </w:r>
      <w:r>
        <w:t xml:space="preserve"> USAC, HUBB Frequently Asked Questions 4-5 (2017) (discussing use of the 7.6-meter HUBB portal buffer and Census use of the standard generally), </w:t>
      </w:r>
      <w:r>
        <w:fldChar w:fldCharType="begin"/>
      </w:r>
      <w:r>
        <w:instrText xml:space="preserve"> HYPERLINK "http://www.usac.org/_res/documents/hc/pdf/tools/HC-HUBB-FAQ.pdf" </w:instrText>
      </w:r>
      <w:r>
        <w:fldChar w:fldCharType="separate"/>
      </w:r>
      <w:r w:rsidRPr="00BA6E59">
        <w:rPr>
          <w:rStyle w:val="Hyperlink"/>
        </w:rPr>
        <w:t>http://www.usac.org/_res/documents/hc/pdf/tools/HC-HUBB-FAQ.pdf</w:t>
      </w:r>
      <w:r>
        <w:fldChar w:fldCharType="end"/>
      </w:r>
      <w:r>
        <w:t>.</w:t>
      </w:r>
    </w:p>
  </w:footnote>
  <w:footnote w:id="74">
    <w:p w:rsidR="00AA5585" w:rsidP="004C3C21" w14:paraId="5F61F34C" w14:textId="77777777">
      <w:pPr>
        <w:pStyle w:val="FootnoteText"/>
      </w:pPr>
      <w:r>
        <w:rPr>
          <w:rStyle w:val="FootnoteReference"/>
        </w:rPr>
        <w:footnoteRef/>
      </w:r>
      <w:r>
        <w:t xml:space="preserve"> </w:t>
      </w:r>
      <w:r w:rsidRPr="00AF1721">
        <w:rPr>
          <w:i/>
        </w:rPr>
        <w:t>See generally Alaska Plan Order</w:t>
      </w:r>
      <w:r>
        <w:t>, 31 FCC Rcd 10139 (basing eligibility and geographic analysis at the census block level).</w:t>
      </w:r>
    </w:p>
  </w:footnote>
  <w:footnote w:id="75">
    <w:p w:rsidR="00AA5585" w:rsidP="004C3C21" w14:paraId="4BBF9BC0" w14:textId="286ECC56">
      <w:pPr>
        <w:pStyle w:val="FootnoteText"/>
      </w:pPr>
      <w:r>
        <w:rPr>
          <w:rStyle w:val="FootnoteReference"/>
        </w:rPr>
        <w:footnoteRef/>
      </w:r>
      <w:r>
        <w:t xml:space="preserve"> </w:t>
      </w:r>
      <w:r>
        <w:rPr>
          <w:snapToGrid w:val="0"/>
        </w:rPr>
        <w:t xml:space="preserve">In order to ease the filing burden, we permit, but do not require, a rate-of-return carrier to file on behalf of its mobile affiliate.  </w:t>
      </w:r>
      <w:r w:rsidRPr="003A57FE">
        <w:rPr>
          <w:i/>
        </w:rPr>
        <w:t>See</w:t>
      </w:r>
      <w:r>
        <w:t xml:space="preserve"> “Who Must Submit Data,” Appx., </w:t>
      </w:r>
      <w:r>
        <w:rPr>
          <w:i/>
          <w:iCs/>
        </w:rPr>
        <w:t>infra</w:t>
      </w:r>
      <w:r>
        <w:t xml:space="preserve">.  </w:t>
      </w:r>
      <w:r>
        <w:rPr>
          <w:snapToGrid w:val="0"/>
        </w:rPr>
        <w:t xml:space="preserve">When affiliates file separately, there is an increased likelihood that duplicative data will be filed.  </w:t>
      </w:r>
      <w:r>
        <w:t>Moreover, filers that are leasing facilities may lease from an owner that is also an Alaska Plan participant and their data may overlap.  </w:t>
      </w:r>
      <w:r w:rsidRPr="003A57FE">
        <w:rPr>
          <w:i/>
        </w:rPr>
        <w:t>See</w:t>
      </w:r>
      <w:r>
        <w:t xml:space="preserve"> “Ownership” field in the Links and Nodes sections, Appx., </w:t>
      </w:r>
      <w:r>
        <w:rPr>
          <w:i/>
          <w:iCs/>
        </w:rPr>
        <w:t>infra</w:t>
      </w:r>
      <w:r>
        <w:t>.  </w:t>
      </w:r>
    </w:p>
  </w:footnote>
  <w:footnote w:id="76">
    <w:p w:rsidR="00AA5585" w:rsidP="004C3C21" w14:paraId="10C6F93B" w14:textId="18077C54">
      <w:pPr>
        <w:pStyle w:val="FootnoteText"/>
      </w:pPr>
      <w:r>
        <w:rPr>
          <w:rStyle w:val="FootnoteReference"/>
        </w:rPr>
        <w:footnoteRef/>
      </w:r>
      <w:r>
        <w:t xml:space="preserve"> </w:t>
      </w:r>
      <w:r w:rsidRPr="00A37219">
        <w:t xml:space="preserve">Petition, Attach. 1 at 2; Attach. 2 at </w:t>
      </w:r>
      <w:r>
        <w:t>1.</w:t>
      </w:r>
      <w:r w:rsidRPr="00A767E8">
        <w:t xml:space="preserve"> </w:t>
      </w:r>
      <w:r>
        <w:t xml:space="preserve">The ATA declarants state that, to satisfy the requirement, it could cost $10,000 or more to travel to remote villages.  In its OMB filing, ATA provides more context stating that “the cost of the initial data gathering is likely to average between $10,000 to $80,000 per provider or more.”  In this figure, ATA includes $10,000 to $20,000 for GIS consultants to find information not related to the accuracy level, “such as what year a link went live, connection speeds, and other facts.”  </w:t>
      </w:r>
      <w:r w:rsidRPr="00215076">
        <w:t xml:space="preserve">ATA 30-Day PRA Comments at </w:t>
      </w:r>
      <w:r>
        <w:t>20</w:t>
      </w:r>
      <w:r w:rsidRPr="00215076">
        <w:t>.</w:t>
      </w:r>
      <w:r>
        <w:t xml:space="preserve"> </w:t>
      </w:r>
    </w:p>
  </w:footnote>
  <w:footnote w:id="77">
    <w:p w:rsidR="00AA5585" w:rsidP="004C3C21" w14:paraId="3C54162A" w14:textId="77777777">
      <w:pPr>
        <w:pStyle w:val="FootnoteText"/>
      </w:pPr>
      <w:r>
        <w:rPr>
          <w:rStyle w:val="FootnoteReference"/>
        </w:rPr>
        <w:footnoteRef/>
      </w:r>
      <w:r>
        <w:t xml:space="preserve"> </w:t>
      </w:r>
      <w:r w:rsidRPr="00CD7D9E">
        <w:t>ATA 30-Day PRA Comments</w:t>
      </w:r>
      <w:r>
        <w:t xml:space="preserve"> at 17</w:t>
      </w:r>
      <w:r w:rsidRPr="00D1155A">
        <w:t>.</w:t>
      </w:r>
      <w:r w:rsidRPr="003E7B90">
        <w:t xml:space="preserve"> </w:t>
      </w:r>
      <w:r>
        <w:t xml:space="preserve"> </w:t>
      </w:r>
    </w:p>
  </w:footnote>
  <w:footnote w:id="78">
    <w:p w:rsidR="00AA5585" w:rsidP="004C3C21" w14:paraId="00E318E9" w14:textId="77777777">
      <w:pPr>
        <w:pStyle w:val="FootnoteText"/>
      </w:pPr>
      <w:r>
        <w:rPr>
          <w:rStyle w:val="FootnoteReference"/>
        </w:rPr>
        <w:footnoteRef/>
      </w:r>
      <w:r>
        <w:t xml:space="preserve"> </w:t>
      </w:r>
      <w:r w:rsidRPr="00CD604F">
        <w:rPr>
          <w:i/>
        </w:rPr>
        <w:t>See</w:t>
      </w:r>
      <w:r>
        <w:t xml:space="preserve"> USGS Global Positioning Application and Practice, </w:t>
      </w:r>
      <w:r>
        <w:fldChar w:fldCharType="begin"/>
      </w:r>
      <w:r>
        <w:instrText xml:space="preserve"> HYPERLINK "https://water.usgs.gov/osw/gps/" </w:instrText>
      </w:r>
      <w:r>
        <w:fldChar w:fldCharType="separate"/>
      </w:r>
      <w:r w:rsidRPr="000431F7">
        <w:rPr>
          <w:rStyle w:val="Hyperlink"/>
        </w:rPr>
        <w:t>https://water.usgs.gov/osw/gps/</w:t>
      </w:r>
      <w:r>
        <w:fldChar w:fldCharType="end"/>
      </w:r>
      <w:r>
        <w:t xml:space="preserve"> (discussing these commercial grade handheld devices); FAA, WAAS LPV Coverage Contours, </w:t>
      </w:r>
      <w:r>
        <w:fldChar w:fldCharType="begin"/>
      </w:r>
      <w:r>
        <w:instrText xml:space="preserve"> HYPERLINK "http://www.nstb.tc.faa.gov/24Hr_WaasLPV.htm" </w:instrText>
      </w:r>
      <w:r>
        <w:fldChar w:fldCharType="separate"/>
      </w:r>
      <w:r w:rsidRPr="000431F7">
        <w:rPr>
          <w:rStyle w:val="Hyperlink"/>
        </w:rPr>
        <w:t>http://www.nstb.tc.faa.gov/24Hr_WaasLPV.htm</w:t>
      </w:r>
      <w:r>
        <w:fldChar w:fldCharType="end"/>
      </w:r>
      <w:r>
        <w:t xml:space="preserve"> (providing updated WAAS coverage every 24 hours).</w:t>
      </w:r>
    </w:p>
  </w:footnote>
  <w:footnote w:id="79">
    <w:p w:rsidR="00AA5585" w:rsidP="004C3C21" w14:paraId="233F5958" w14:textId="77777777">
      <w:pPr>
        <w:pStyle w:val="FootnoteText"/>
      </w:pPr>
      <w:r>
        <w:rPr>
          <w:rStyle w:val="FootnoteReference"/>
        </w:rPr>
        <w:footnoteRef/>
      </w:r>
      <w:r>
        <w:t xml:space="preserve"> </w:t>
      </w:r>
      <w:r w:rsidRPr="00525D25">
        <w:rPr>
          <w:i/>
        </w:rPr>
        <w:t>See</w:t>
      </w:r>
      <w:r>
        <w:t xml:space="preserve"> ATA Proposal, Attach. 1.  </w:t>
      </w:r>
    </w:p>
  </w:footnote>
  <w:footnote w:id="80">
    <w:p w:rsidR="00AA5585" w:rsidRPr="000F029E" w:rsidP="00B81FC2" w14:paraId="50534F5F" w14:textId="6B87C57D">
      <w:pPr>
        <w:pStyle w:val="FootnoteText"/>
      </w:pPr>
      <w:r>
        <w:rPr>
          <w:rStyle w:val="FootnoteReference"/>
        </w:rPr>
        <w:footnoteRef/>
      </w:r>
      <w:r>
        <w:t xml:space="preserve"> </w:t>
      </w:r>
      <w:r>
        <w:rPr>
          <w:i/>
          <w:iCs/>
        </w:rPr>
        <w:t>See</w:t>
      </w:r>
      <w:r>
        <w:t xml:space="preserve"> </w:t>
      </w:r>
      <w:r>
        <w:rPr>
          <w:i/>
          <w:iCs/>
        </w:rPr>
        <w:t>Connect America Fund et al</w:t>
      </w:r>
      <w:r>
        <w:t xml:space="preserve">., WC Docket Nos. 10-90 et al., Report and Order and Further Notice of Proposed Rulemaking, 26 FCC Rcd 17663, 17681, 17822, n.37 (2011); </w:t>
      </w:r>
      <w:r>
        <w:rPr>
          <w:i/>
          <w:iCs/>
        </w:rPr>
        <w:t>aff’d sub nom., In re: FCC 11-161</w:t>
      </w:r>
      <w:r>
        <w:t xml:space="preserve">, 753 F.3d 1015 (10th Cir. 2014) (“We note that ‘[c]ommunity anchor institutions’ as defined in the Recovery Act include schools, libraries, medical and healthcare providers, community colleges and other institutions of higher education, and other community support organizations and entities.  </w:t>
      </w:r>
      <w:r w:rsidRPr="003760F4">
        <w:rPr>
          <w:i/>
        </w:rPr>
        <w:t>See</w:t>
      </w:r>
      <w:r>
        <w:t xml:space="preserve"> 47 U.S.C. § 1305(b)(3)(A).  We adopt that definition for purposes of these </w:t>
      </w:r>
      <w:r w:rsidRPr="000F029E">
        <w:t>rules.”)</w:t>
      </w:r>
      <w:r>
        <w:t xml:space="preserve">; </w:t>
      </w:r>
      <w:r>
        <w:rPr>
          <w:i/>
        </w:rPr>
        <w:t>s</w:t>
      </w:r>
      <w:r w:rsidRPr="00513641">
        <w:rPr>
          <w:i/>
        </w:rPr>
        <w:t>ee</w:t>
      </w:r>
      <w:r>
        <w:t xml:space="preserve"> </w:t>
      </w:r>
      <w:r>
        <w:rPr>
          <w:i/>
        </w:rPr>
        <w:t xml:space="preserve">also </w:t>
      </w:r>
      <w:r w:rsidRPr="005279F6">
        <w:t>47 U.S.C. § 1305(b)(3)(A)</w:t>
      </w:r>
      <w:r>
        <w:t xml:space="preserve">; American Recovery and Reinvestment Act of 2009, Pub. L. No. 111-5, 123 Stat. 115, 128, 512-13.  The Broadband Technology Opportunities Program (BTOP) resulting from 47 U.S.C. § 1305(b)(3)(A) focused on extending “middle mile infrastructure” comprised in large part by connecting these CAI as middle-mile nodes.  </w:t>
      </w:r>
      <w:r w:rsidRPr="00513641">
        <w:rPr>
          <w:i/>
        </w:rPr>
        <w:t>See</w:t>
      </w:r>
      <w:r>
        <w:t xml:space="preserve"> NTIA, Broadband Technology Opportunities Program: Frequently Asked Questions 4 (May 28, 2010), </w:t>
      </w:r>
      <w:r>
        <w:fldChar w:fldCharType="begin"/>
      </w:r>
      <w:r>
        <w:instrText xml:space="preserve"> HYPERLINK "https://www2.ntia.doc.gov/files/nofa2_faqs_5_28_10.pdf" </w:instrText>
      </w:r>
      <w:r>
        <w:fldChar w:fldCharType="separate"/>
      </w:r>
      <w:r w:rsidRPr="00B429D5">
        <w:rPr>
          <w:rStyle w:val="Hyperlink"/>
        </w:rPr>
        <w:t>https://www2.ntia.doc.gov/files/nofa2_faqs_5_28_10.pdf</w:t>
      </w:r>
      <w:r>
        <w:fldChar w:fldCharType="end"/>
      </w:r>
      <w:r>
        <w:t xml:space="preserve">; </w:t>
      </w:r>
      <w:r w:rsidRPr="00513641">
        <w:rPr>
          <w:i/>
        </w:rPr>
        <w:t>see also, e.g</w:t>
      </w:r>
      <w:r>
        <w:t xml:space="preserve">., American Fiber Systems, Broadband USA Applications Database, Executive Summary (applying for a “BTOP Middle Mile Infrastructure” funding by predominantly connecting 44 CAIs). </w:t>
      </w:r>
    </w:p>
  </w:footnote>
  <w:footnote w:id="81">
    <w:p w:rsidR="00AA5585" w:rsidRPr="000B455B" w:rsidP="00B81FC2" w14:paraId="2718E304" w14:textId="77777777">
      <w:pPr>
        <w:pStyle w:val="FootnoteText"/>
      </w:pPr>
      <w:r>
        <w:rPr>
          <w:rStyle w:val="FootnoteReference"/>
        </w:rPr>
        <w:footnoteRef/>
      </w:r>
      <w:r>
        <w:t xml:space="preserve"> </w:t>
      </w:r>
      <w:r>
        <w:rPr>
          <w:i/>
        </w:rPr>
        <w:t xml:space="preserve">See </w:t>
      </w:r>
      <w:r>
        <w:t xml:space="preserve">47 CFR § 54.313(f)(1)(ii).  The type of CAI is not limited to those deployed to after July 1, 2015.  </w:t>
      </w:r>
      <w:r>
        <w:rPr>
          <w:i/>
        </w:rPr>
        <w:t xml:space="preserve">See </w:t>
      </w:r>
      <w:r>
        <w:t>47 CFR § 54.313(f)(1).  The reporting would include any Tribal CAIs subject to 47 CFR § 54.313(a)(5)(i) (requirin</w:t>
      </w:r>
      <w:r w:rsidRPr="00331E45">
        <w:t xml:space="preserve">g </w:t>
      </w:r>
      <w:r>
        <w:t xml:space="preserve">carriers </w:t>
      </w:r>
      <w:r w:rsidRPr="00331E45">
        <w:rPr>
          <w:color w:val="000000"/>
          <w:shd w:val="clear" w:color="auto" w:fill="FFFFFF"/>
        </w:rPr>
        <w:t>serv</w:t>
      </w:r>
      <w:r>
        <w:rPr>
          <w:color w:val="000000"/>
          <w:shd w:val="clear" w:color="auto" w:fill="FFFFFF"/>
        </w:rPr>
        <w:t>ing</w:t>
      </w:r>
      <w:r w:rsidRPr="00331E45">
        <w:rPr>
          <w:color w:val="000000"/>
          <w:shd w:val="clear" w:color="auto" w:fill="FFFFFF"/>
        </w:rPr>
        <w:t xml:space="preserve"> Tribal lands</w:t>
      </w:r>
      <w:r>
        <w:rPr>
          <w:color w:val="000000"/>
          <w:shd w:val="clear" w:color="auto" w:fill="FFFFFF"/>
        </w:rPr>
        <w:t xml:space="preserve"> to, among other things, </w:t>
      </w:r>
      <w:r w:rsidRPr="00331E45">
        <w:rPr>
          <w:color w:val="000000"/>
          <w:shd w:val="clear" w:color="auto" w:fill="FFFFFF"/>
        </w:rPr>
        <w:t>discuss with Tribal governments that</w:t>
      </w:r>
      <w:r>
        <w:rPr>
          <w:color w:val="000000"/>
          <w:shd w:val="clear" w:color="auto" w:fill="FFFFFF"/>
        </w:rPr>
        <w:t xml:space="preserve"> </w:t>
      </w:r>
      <w:r w:rsidRPr="00331E45">
        <w:rPr>
          <w:color w:val="000000"/>
          <w:shd w:val="clear" w:color="auto" w:fill="FFFFFF"/>
        </w:rPr>
        <w:t xml:space="preserve">included </w:t>
      </w:r>
      <w:r>
        <w:rPr>
          <w:color w:val="000000"/>
          <w:shd w:val="clear" w:color="auto" w:fill="FFFFFF"/>
        </w:rPr>
        <w:t>a</w:t>
      </w:r>
      <w:r w:rsidRPr="00331E45">
        <w:rPr>
          <w:color w:val="000000"/>
          <w:shd w:val="clear" w:color="auto" w:fill="FFFFFF"/>
        </w:rPr>
        <w:t xml:space="preserve"> focus on Tribal community anchor institutions)</w:t>
      </w:r>
      <w:r>
        <w:t>.</w:t>
      </w:r>
    </w:p>
  </w:footnote>
  <w:footnote w:id="82">
    <w:p w:rsidR="00AA5585" w:rsidP="00B81FC2" w14:paraId="00C9D70A" w14:textId="77777777">
      <w:pPr>
        <w:pStyle w:val="FootnoteText"/>
      </w:pPr>
      <w:r>
        <w:rPr>
          <w:rStyle w:val="FootnoteReference"/>
        </w:rPr>
        <w:footnoteRef/>
      </w:r>
      <w:r>
        <w:t xml:space="preserve"> </w:t>
      </w:r>
      <w:r w:rsidRPr="00513641">
        <w:rPr>
          <w:i/>
        </w:rPr>
        <w:t>See</w:t>
      </w:r>
      <w:r>
        <w:t xml:space="preserve"> 47 CFR § 54.313(f)(1)(ii). </w:t>
      </w:r>
    </w:p>
  </w:footnote>
  <w:footnote w:id="83">
    <w:p w:rsidR="00AA5585" w:rsidP="00B81FC2" w14:paraId="169B92DD" w14:textId="77777777">
      <w:pPr>
        <w:pStyle w:val="FootnoteText"/>
      </w:pPr>
      <w:r>
        <w:rPr>
          <w:rStyle w:val="FootnoteReference"/>
        </w:rPr>
        <w:footnoteRef/>
      </w:r>
      <w:r>
        <w:t xml:space="preserve"> 47 CFR § 54.316(a)(6); </w:t>
      </w:r>
      <w:r w:rsidRPr="00B61131">
        <w:rPr>
          <w:i/>
        </w:rPr>
        <w:t>Alaska Plan Order</w:t>
      </w:r>
      <w:r w:rsidRPr="00B61131">
        <w:t>, 31 FCC Rcd at</w:t>
      </w:r>
      <w:r>
        <w:t xml:space="preserve"> 10166, para. 85 (delegating to the WTB authority to require additional information that it deems necessary to establish clear standards for determining whether or not participants are meeting their five- and 10-year commitments).</w:t>
      </w:r>
    </w:p>
  </w:footnote>
  <w:footnote w:id="84">
    <w:p w:rsidR="00AA5585" w:rsidP="00B81FC2" w14:paraId="695DEE6A" w14:textId="77777777">
      <w:pPr>
        <w:pStyle w:val="FootnoteText"/>
      </w:pPr>
      <w:r>
        <w:rPr>
          <w:rStyle w:val="FootnoteReference"/>
        </w:rPr>
        <w:footnoteRef/>
      </w:r>
      <w:r>
        <w:t xml:space="preserve"> </w:t>
      </w:r>
      <w:r w:rsidRPr="00D227FD">
        <w:rPr>
          <w:i/>
        </w:rPr>
        <w:t xml:space="preserve">See supra </w:t>
      </w:r>
      <w:r>
        <w:t>paras. 2-3.</w:t>
      </w:r>
    </w:p>
  </w:footnote>
  <w:footnote w:id="85">
    <w:p w:rsidR="00AA5585" w:rsidP="00B81FC2" w14:paraId="5390594F" w14:textId="77777777">
      <w:pPr>
        <w:pStyle w:val="FootnoteText"/>
      </w:pPr>
      <w:r>
        <w:rPr>
          <w:rStyle w:val="FootnoteReference"/>
        </w:rPr>
        <w:footnoteRef/>
      </w:r>
      <w:r>
        <w:t xml:space="preserve"> 47 CFR § 54.316(a)(6); </w:t>
      </w:r>
      <w:r w:rsidRPr="00F66F98">
        <w:rPr>
          <w:i/>
        </w:rPr>
        <w:t>Alaska Plan Order</w:t>
      </w:r>
      <w:r w:rsidRPr="00F66F98">
        <w:t>, 31 FCC Rcd at 10158, 10172, paras. 60, 102</w:t>
      </w:r>
      <w:r>
        <w:t>.</w:t>
      </w:r>
    </w:p>
  </w:footnote>
  <w:footnote w:id="86">
    <w:p w:rsidR="00AA5585" w:rsidRPr="00C3683D" w:rsidP="00B81FC2" w14:paraId="63BF0EC1" w14:textId="77777777">
      <w:pPr>
        <w:pStyle w:val="FootnoteText"/>
      </w:pPr>
      <w:r>
        <w:rPr>
          <w:rStyle w:val="FootnoteReference"/>
        </w:rPr>
        <w:footnoteRef/>
      </w:r>
      <w:r>
        <w:t xml:space="preserve"> </w:t>
      </w:r>
      <w:r>
        <w:rPr>
          <w:i/>
        </w:rPr>
        <w:t>See Alaska Plan Order</w:t>
      </w:r>
      <w:r>
        <w:t xml:space="preserve">, 31 FCC Rcd 10173, para. 102.  </w:t>
      </w:r>
    </w:p>
  </w:footnote>
  <w:footnote w:id="87">
    <w:p w:rsidR="00AA5585" w:rsidP="00B81FC2" w14:paraId="33A5E0E6" w14:textId="4CE31AB6">
      <w:pPr>
        <w:pStyle w:val="FootnoteText"/>
      </w:pPr>
      <w:r>
        <w:rPr>
          <w:rStyle w:val="FootnoteReference"/>
        </w:rPr>
        <w:footnoteRef/>
      </w:r>
      <w:r>
        <w:t xml:space="preserve"> </w:t>
      </w:r>
      <w:r w:rsidRPr="00D227FD">
        <w:rPr>
          <w:i/>
        </w:rPr>
        <w:t>See supra</w:t>
      </w:r>
      <w:r>
        <w:t xml:space="preserve"> paras. 3, 8-9, 13.</w:t>
      </w:r>
    </w:p>
  </w:footnote>
  <w:footnote w:id="88">
    <w:p w:rsidR="00AA5585" w:rsidP="00B81FC2" w14:paraId="7DB1A8C6" w14:textId="7FF15101">
      <w:pPr>
        <w:pStyle w:val="FootnoteText"/>
      </w:pPr>
      <w:r>
        <w:rPr>
          <w:rStyle w:val="FootnoteReference"/>
        </w:rPr>
        <w:footnoteRef/>
      </w:r>
      <w:r>
        <w:t xml:space="preserve"> </w:t>
      </w:r>
      <w:r w:rsidRPr="00683962">
        <w:rPr>
          <w:i/>
        </w:rPr>
        <w:t>S</w:t>
      </w:r>
      <w:r w:rsidRPr="00683962">
        <w:rPr>
          <w:i/>
          <w:iCs/>
        </w:rPr>
        <w:t>ee, e.g</w:t>
      </w:r>
      <w:r w:rsidRPr="00683962">
        <w:t>., Centennial Board of Cooperative Educational Services, BTOP Application 7-8, 11-12, 15, 31-33 (successfully applying for Middle Mile grant that could provide high-capacity middle mile network that would connect CAIs and then also be used by last mile providers to provide service in nearby unserved and underserved areas), 37  (“Each Community Anchor point will become a point of interconnection for access to the Middle Mile backhaul bandwidth by Last Mile and other Carrier Services for delivery of Tier 1 commodity Internet service.”) (filed Mar. 26, 2010)</w:t>
      </w:r>
      <w:r>
        <w:t>.  T</w:t>
      </w:r>
      <w:r w:rsidRPr="00683962">
        <w:rPr>
          <w:iCs/>
        </w:rPr>
        <w:t xml:space="preserve">he BTOP program funded middle-mile infrastructure that connected CAIs to high-capacity links, in order to facilitate those links being used to extend service to the unserved and underserved locations those CAIs were located in.  </w:t>
      </w:r>
      <w:r>
        <w:rPr>
          <w:iCs/>
        </w:rPr>
        <w:t xml:space="preserve">NTIA, BTOP, 75 Fed. Reg. 3792, 3794-95 (2010) (distinguishing last mile and middle mile and discussing middle-mile connectivity to CAIs in order facilitate last mile broadband to unserved and underserved areas).  </w:t>
      </w:r>
    </w:p>
  </w:footnote>
  <w:footnote w:id="89">
    <w:p w:rsidR="00AA5585" w:rsidP="00B81FC2" w14:paraId="23A4B03D" w14:textId="6111AA87">
      <w:pPr>
        <w:pStyle w:val="FootnoteText"/>
      </w:pPr>
      <w:r>
        <w:rPr>
          <w:rStyle w:val="FootnoteReference"/>
        </w:rPr>
        <w:footnoteRef/>
      </w:r>
      <w:r>
        <w:t xml:space="preserve"> </w:t>
      </w:r>
      <w:r w:rsidRPr="00636F6A">
        <w:rPr>
          <w:i/>
        </w:rPr>
        <w:t>See supra</w:t>
      </w:r>
      <w:r>
        <w:t xml:space="preserve"> paras. 8-9 (discussing what information the carriers are required to submit).  All CAIs, regardless of size, are excluded from HUBB portal location collection</w:t>
      </w:r>
      <w:r w:rsidRPr="00DC1E08">
        <w:t xml:space="preserve">. </w:t>
      </w:r>
      <w:r>
        <w:t xml:space="preserve"> </w:t>
      </w:r>
      <w:r w:rsidRPr="00DC1E08">
        <w:t xml:space="preserve">Therefore, CAIs will not be </w:t>
      </w:r>
      <w:r>
        <w:t>double-</w:t>
      </w:r>
      <w:r w:rsidRPr="00DC1E08">
        <w:t>counted.</w:t>
      </w:r>
      <w:r>
        <w:t xml:space="preserve">  </w:t>
      </w:r>
      <w:r w:rsidRPr="00F56BFB">
        <w:rPr>
          <w:i/>
        </w:rPr>
        <w:t>Wireline Competition Bureau Provides Guidance to Carriers Receiving Connect America Fund Support Regarding Their Broadband Location Reporting Obligations</w:t>
      </w:r>
      <w:r>
        <w:t>, Public Notice, 31 FCC Rcd 12900, 12905 (WCB 2016).</w:t>
      </w:r>
    </w:p>
  </w:footnote>
  <w:footnote w:id="90">
    <w:p w:rsidR="00AA5585" w:rsidP="00B81FC2" w14:paraId="6E25AB20" w14:textId="77777777">
      <w:pPr>
        <w:pStyle w:val="FootnoteText"/>
      </w:pPr>
      <w:r>
        <w:rPr>
          <w:rStyle w:val="FootnoteReference"/>
        </w:rPr>
        <w:footnoteRef/>
      </w:r>
      <w:r>
        <w:t xml:space="preserve"> </w:t>
      </w:r>
      <w:r w:rsidRPr="003E7839">
        <w:rPr>
          <w:i/>
        </w:rPr>
        <w:t>See</w:t>
      </w:r>
      <w:r>
        <w:t xml:space="preserve"> Petition at 1-2, 7, 10; ATA Proposal, Attach. 2.</w:t>
      </w:r>
    </w:p>
  </w:footnote>
  <w:footnote w:id="91">
    <w:p w:rsidR="00AA5585" w:rsidP="00B81FC2" w14:paraId="3622D126" w14:textId="77777777">
      <w:pPr>
        <w:pStyle w:val="FootnoteText"/>
      </w:pPr>
      <w:r>
        <w:rPr>
          <w:rStyle w:val="FootnoteReference"/>
        </w:rPr>
        <w:footnoteRef/>
      </w:r>
      <w:r>
        <w:t xml:space="preserve"> Petition at 11.</w:t>
      </w:r>
    </w:p>
  </w:footnote>
  <w:footnote w:id="92">
    <w:p w:rsidR="00AA5585" w:rsidP="00B81FC2" w14:paraId="70BE5D11" w14:textId="77777777">
      <w:pPr>
        <w:pStyle w:val="FootnoteText"/>
      </w:pPr>
      <w:r>
        <w:rPr>
          <w:rStyle w:val="FootnoteReference"/>
        </w:rPr>
        <w:footnoteRef/>
      </w:r>
      <w:r>
        <w:t xml:space="preserve"> </w:t>
      </w:r>
      <w:r w:rsidRPr="00D517DD">
        <w:t>OBI Technical Paper #1, 25 FCC Rcd at 6787, 6805 (dividing th</w:t>
      </w:r>
      <w:r>
        <w:t xml:space="preserve">e network by aggregation nodes); Alternative Connect America Cost Model (ACAM) v.2.3.1 at 19 (rev. Aug. 12, 2016), </w:t>
      </w:r>
      <w:r>
        <w:fldChar w:fldCharType="begin"/>
      </w:r>
      <w:r>
        <w:instrText xml:space="preserve"> HYPERLINK "https://transition.fcc.gov/wcb/Model%20MethodologyACAM_2_3_1%20-%20Final.pdf" </w:instrText>
      </w:r>
      <w:r>
        <w:fldChar w:fldCharType="separate"/>
      </w:r>
      <w:r w:rsidRPr="009667CE">
        <w:rPr>
          <w:rStyle w:val="Hyperlink"/>
        </w:rPr>
        <w:t>https://transition.fcc.gov/wcb/Model%20MethodologyACAM_2_3_1%20-%20Final.pdf</w:t>
      </w:r>
      <w:r>
        <w:fldChar w:fldCharType="end"/>
      </w:r>
      <w:r>
        <w:t xml:space="preserve">.  </w:t>
      </w:r>
    </w:p>
  </w:footnote>
  <w:footnote w:id="93">
    <w:p w:rsidR="00AA5585" w:rsidP="00B81FC2" w14:paraId="52055334" w14:textId="77777777">
      <w:pPr>
        <w:pStyle w:val="FootnoteText"/>
      </w:pPr>
      <w:r>
        <w:rPr>
          <w:rStyle w:val="FootnoteReference"/>
        </w:rPr>
        <w:footnoteRef/>
      </w:r>
      <w:r>
        <w:t xml:space="preserve"> Petition at 5.  </w:t>
      </w:r>
    </w:p>
  </w:footnote>
  <w:footnote w:id="94">
    <w:p w:rsidR="00AA5585" w:rsidP="00B81FC2" w14:paraId="3155DFD0" w14:textId="7374A0CB">
      <w:pPr>
        <w:pStyle w:val="FootnoteText"/>
      </w:pPr>
      <w:r>
        <w:rPr>
          <w:rStyle w:val="FootnoteReference"/>
        </w:rPr>
        <w:footnoteRef/>
      </w:r>
      <w:r>
        <w:t xml:space="preserve"> </w:t>
      </w:r>
      <w:r w:rsidRPr="003E7839">
        <w:rPr>
          <w:i/>
        </w:rPr>
        <w:t>See</w:t>
      </w:r>
      <w:r>
        <w:t xml:space="preserve"> ACAM</w:t>
      </w:r>
      <w:r w:rsidRPr="007F7E6D">
        <w:t xml:space="preserve"> v.2.3.1 at </w:t>
      </w:r>
      <w:r>
        <w:t xml:space="preserve">21-22 (equating the demand between CAIs and wireless towers and removing them from the cost model); </w:t>
      </w:r>
      <w:r w:rsidRPr="00F56BFB">
        <w:rPr>
          <w:i/>
        </w:rPr>
        <w:t>see also</w:t>
      </w:r>
      <w:r>
        <w:t xml:space="preserve"> ATA Petition at 7-8 (arguing that the map’s purpose is to understand connectivity at the </w:t>
      </w:r>
      <w:r w:rsidRPr="00F56BFB">
        <w:rPr>
          <w:i/>
        </w:rPr>
        <w:t>community</w:t>
      </w:r>
      <w:r>
        <w:t>-level).</w:t>
      </w:r>
      <w:r w:rsidRPr="00DD6B72">
        <w:rPr>
          <w:snapToGrid w:val="0"/>
          <w:kern w:val="28"/>
          <w:sz w:val="22"/>
        </w:rPr>
        <w:t xml:space="preserve"> </w:t>
      </w:r>
      <w:r>
        <w:t xml:space="preserve"> </w:t>
      </w:r>
    </w:p>
  </w:footnote>
  <w:footnote w:id="95">
    <w:p w:rsidR="00AA5585" w:rsidP="00B81FC2" w14:paraId="4677F3F2" w14:textId="77777777">
      <w:pPr>
        <w:pStyle w:val="FootnoteText"/>
      </w:pPr>
      <w:r>
        <w:rPr>
          <w:rStyle w:val="FootnoteReference"/>
        </w:rPr>
        <w:footnoteRef/>
      </w:r>
      <w:r>
        <w:t xml:space="preserve"> ATA also argues that the collection would include towers and CAIs where people may not live.  </w:t>
      </w:r>
      <w:r w:rsidRPr="00D227FD">
        <w:rPr>
          <w:i/>
        </w:rPr>
        <w:t>See, e.g</w:t>
      </w:r>
      <w:r>
        <w:t xml:space="preserve">., Petition at 11.  But, the ATA Proposal seems to emphasize supplying only the most remote towers and CAIs for the purpose of this collection.  </w:t>
      </w:r>
      <w:r w:rsidRPr="00D227FD">
        <w:rPr>
          <w:i/>
        </w:rPr>
        <w:t>See</w:t>
      </w:r>
      <w:r>
        <w:t xml:space="preserve"> ATA Proposal, Attach. 2.  </w:t>
      </w:r>
    </w:p>
  </w:footnote>
  <w:footnote w:id="96">
    <w:p w:rsidR="00AA5585" w:rsidP="00B81FC2" w14:paraId="6C0E7F32" w14:textId="77777777">
      <w:pPr>
        <w:pStyle w:val="FootnoteText"/>
      </w:pPr>
      <w:r>
        <w:rPr>
          <w:rStyle w:val="FootnoteReference"/>
        </w:rPr>
        <w:footnoteRef/>
      </w:r>
      <w:r>
        <w:t xml:space="preserve"> ATA Proposal, Attach. 1&amp;2.</w:t>
      </w:r>
    </w:p>
  </w:footnote>
  <w:footnote w:id="97">
    <w:p w:rsidR="00AA5585" w:rsidP="00B81FC2" w14:paraId="03329C93" w14:textId="77777777">
      <w:pPr>
        <w:pStyle w:val="FootnoteText"/>
      </w:pPr>
      <w:r>
        <w:rPr>
          <w:rStyle w:val="FootnoteReference"/>
        </w:rPr>
        <w:footnoteRef/>
      </w:r>
      <w:r>
        <w:t xml:space="preserve"> </w:t>
      </w:r>
      <w:r w:rsidRPr="003E7839">
        <w:rPr>
          <w:i/>
        </w:rPr>
        <w:t>See</w:t>
      </w:r>
      <w:r>
        <w:t xml:space="preserve"> </w:t>
      </w:r>
      <w:r w:rsidRPr="003E7839">
        <w:rPr>
          <w:i/>
        </w:rPr>
        <w:t>Connect America Fund et al.,</w:t>
      </w:r>
      <w:r>
        <w:t xml:space="preserve"> Order On Reconsideration, WC Docket No. 10-90 </w:t>
      </w:r>
      <w:r w:rsidRPr="003E7839">
        <w:rPr>
          <w:i/>
        </w:rPr>
        <w:t>et al.,</w:t>
      </w:r>
      <w:r>
        <w:t xml:space="preserve"> 28 FCC Rcd 1489 (WCB 2013) (finalizing carrier reporting of study area and exchange boundaries).</w:t>
      </w:r>
    </w:p>
  </w:footnote>
  <w:footnote w:id="98">
    <w:p w:rsidR="00AA5585" w14:paraId="47AD6D2C" w14:textId="36DE9660">
      <w:pPr>
        <w:pStyle w:val="FootnoteText"/>
      </w:pPr>
      <w:r>
        <w:rPr>
          <w:rStyle w:val="FootnoteReference"/>
        </w:rPr>
        <w:footnoteRef/>
      </w:r>
      <w:r>
        <w:t xml:space="preserve"> </w:t>
      </w:r>
      <w:r w:rsidRPr="00F56BFB">
        <w:t>See</w:t>
      </w:r>
      <w:r w:rsidRPr="007F5506">
        <w:rPr>
          <w:i/>
        </w:rPr>
        <w:t xml:space="preserve"> </w:t>
      </w:r>
      <w:r>
        <w:t>Order Sec. III.B,</w:t>
      </w:r>
      <w:r w:rsidRPr="007F5506">
        <w:rPr>
          <w:i/>
        </w:rPr>
        <w:t xml:space="preserve"> supra</w:t>
      </w:r>
      <w:r>
        <w:t xml:space="preserve">, discussion of reportable community anchor institution nodes and associated links. </w:t>
      </w:r>
    </w:p>
  </w:footnote>
  <w:footnote w:id="99">
    <w:p w:rsidR="00AA5585" w:rsidP="00C55852" w14:paraId="63420C8C" w14:textId="77777777">
      <w:pPr>
        <w:pStyle w:val="FootnoteText"/>
      </w:pPr>
      <w:r>
        <w:rPr>
          <w:rStyle w:val="FootnoteReference"/>
        </w:rPr>
        <w:footnoteRef/>
      </w:r>
      <w:r>
        <w:t xml:space="preserve"> </w:t>
      </w:r>
      <w:r w:rsidRPr="00C73A0A">
        <w:rPr>
          <w:i/>
        </w:rPr>
        <w:t>See</w:t>
      </w:r>
      <w:r>
        <w:t xml:space="preserve"> Order, </w:t>
      </w:r>
      <w:r w:rsidRPr="00C73A0A">
        <w:rPr>
          <w:i/>
        </w:rPr>
        <w:t>supra</w:t>
      </w:r>
      <w:r>
        <w:t>.</w:t>
      </w:r>
    </w:p>
  </w:footnote>
  <w:footnote w:id="100">
    <w:p w:rsidR="00AA5585" w:rsidP="00C55852" w14:paraId="77E84659" w14:textId="77777777">
      <w:pPr>
        <w:pStyle w:val="FootnoteText"/>
      </w:pPr>
      <w:r>
        <w:rPr>
          <w:rStyle w:val="FootnoteReference"/>
        </w:rPr>
        <w:footnoteRef/>
      </w:r>
      <w:r>
        <w:t xml:space="preserve"> </w:t>
      </w:r>
      <w:r w:rsidRPr="00C73A0A">
        <w:rPr>
          <w:i/>
        </w:rPr>
        <w:t>See</w:t>
      </w:r>
      <w:r>
        <w:t xml:space="preserve"> Order, </w:t>
      </w:r>
      <w:r w:rsidRPr="00C73A0A">
        <w:rPr>
          <w:i/>
        </w:rPr>
        <w:t>supra</w:t>
      </w:r>
      <w:r>
        <w:rPr>
          <w:i/>
        </w:rPr>
        <w:t xml:space="preserve"> </w:t>
      </w:r>
      <w:r>
        <w:t>(discussing accuracy).</w:t>
      </w:r>
    </w:p>
  </w:footnote>
  <w:footnote w:id="101">
    <w:p w:rsidR="00AA5585" w:rsidP="00C55852" w14:paraId="24DFCF53" w14:textId="77777777">
      <w:pPr>
        <w:pStyle w:val="FootnoteText"/>
      </w:pPr>
      <w:r>
        <w:rPr>
          <w:rStyle w:val="FootnoteReference"/>
        </w:rPr>
        <w:footnoteRef/>
      </w:r>
      <w:r>
        <w:t xml:space="preserve"> </w:t>
      </w:r>
      <w:r w:rsidRPr="000B74E9">
        <w:rPr>
          <w:i/>
        </w:rPr>
        <w:t>See</w:t>
      </w:r>
      <w:r w:rsidRPr="000B74E9">
        <w:t xml:space="preserve"> </w:t>
      </w:r>
      <w:r>
        <w:t>Order</w:t>
      </w:r>
      <w:r w:rsidRPr="000B74E9">
        <w:t xml:space="preserve">, </w:t>
      </w:r>
      <w:r w:rsidRPr="000B74E9">
        <w:rPr>
          <w:i/>
        </w:rPr>
        <w:t xml:space="preserve">supra </w:t>
      </w:r>
      <w:r>
        <w:t>(discussing a</w:t>
      </w:r>
      <w:r w:rsidRPr="000B74E9">
        <w:t>ccuracy).</w:t>
      </w:r>
      <w:r>
        <w:t xml:space="preserve"> </w:t>
      </w:r>
    </w:p>
  </w:footnote>
  <w:footnote w:id="102">
    <w:p w:rsidR="00AA5585" w:rsidP="00C55852" w14:paraId="39217AE5" w14:textId="67BD8ACC">
      <w:pPr>
        <w:pStyle w:val="FootnoteText"/>
      </w:pPr>
      <w:r>
        <w:rPr>
          <w:rStyle w:val="FootnoteReference"/>
        </w:rPr>
        <w:footnoteRef/>
      </w:r>
      <w:r>
        <w:t xml:space="preserve"> </w:t>
      </w:r>
      <w:r w:rsidRPr="009010B6">
        <w:rPr>
          <w:i/>
        </w:rPr>
        <w:t>See</w:t>
      </w:r>
      <w:r w:rsidRPr="009010B6">
        <w:t xml:space="preserve"> </w:t>
      </w:r>
      <w:r>
        <w:t>Order</w:t>
      </w:r>
      <w:r w:rsidRPr="009010B6">
        <w:t xml:space="preserve">, </w:t>
      </w:r>
      <w:r w:rsidRPr="009010B6">
        <w:rPr>
          <w:i/>
        </w:rPr>
        <w:t xml:space="preserve">supra </w:t>
      </w:r>
      <w:r>
        <w:t>(discussing a</w:t>
      </w:r>
      <w:r w:rsidRPr="009010B6">
        <w:t>ccuracy).</w:t>
      </w:r>
      <w:r>
        <w:t xml:space="preserve">  Because all data must be compliant with the accuracy requirement by the March 1, 2019 filing, the only opportunity to file an estimate is July 1, 2018.</w:t>
      </w:r>
    </w:p>
  </w:footnote>
  <w:footnote w:id="103">
    <w:p w:rsidR="00AA5585" w:rsidP="00C55852" w14:paraId="54747191" w14:textId="77777777">
      <w:pPr>
        <w:pStyle w:val="FootnoteText"/>
      </w:pPr>
      <w:r>
        <w:rPr>
          <w:rStyle w:val="FootnoteReference"/>
        </w:rPr>
        <w:footnoteRef/>
      </w:r>
      <w:r>
        <w:t xml:space="preserve"> Order, </w:t>
      </w:r>
      <w:r w:rsidRPr="009861C6">
        <w:rPr>
          <w:i/>
        </w:rPr>
        <w:t>supra</w:t>
      </w:r>
      <w:r>
        <w:t xml:space="preserve"> (discussing reportable community anchor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1FD" w14:paraId="102380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585" w:rsidP="009355F9" w14:paraId="04D2D86F" w14:textId="77777777">
    <w:pPr>
      <w:pBdr>
        <w:bottom w:val="single" w:sz="12" w:space="1" w:color="auto"/>
      </w:pBdr>
      <w:tabs>
        <w:tab w:val="center" w:pos="4680"/>
        <w:tab w:val="right" w:pos="9360"/>
      </w:tabs>
      <w:jc w:val="center"/>
      <w:rPr>
        <w:b/>
      </w:rPr>
    </w:pPr>
  </w:p>
  <w:p w:rsidR="00AA5585" w:rsidP="009355F9" w14:paraId="27C5CF1D" w14:textId="77777777">
    <w:pPr>
      <w:pBdr>
        <w:bottom w:val="single" w:sz="12" w:space="1" w:color="auto"/>
      </w:pBdr>
      <w:tabs>
        <w:tab w:val="center" w:pos="4680"/>
        <w:tab w:val="right" w:pos="9360"/>
      </w:tabs>
      <w:jc w:val="center"/>
      <w:rPr>
        <w:b/>
      </w:rPr>
    </w:pPr>
  </w:p>
  <w:p w:rsidR="00AA5585" w:rsidP="00C62AF8" w14:paraId="6AA750E1" w14:textId="5C874D5D">
    <w:pPr>
      <w:pBdr>
        <w:bottom w:val="single" w:sz="12" w:space="1" w:color="auto"/>
      </w:pBdr>
      <w:tabs>
        <w:tab w:val="center" w:pos="4680"/>
        <w:tab w:val="right" w:pos="9360"/>
      </w:tabs>
      <w:jc w:val="both"/>
      <w:rPr>
        <w:b/>
      </w:rPr>
    </w:pPr>
    <w:r>
      <w:rPr>
        <w:b/>
      </w:rPr>
      <w:t xml:space="preserve">                                                     Federal Communications Commission                     </w:t>
    </w:r>
    <w:r>
      <w:rPr>
        <w:b/>
      </w:rPr>
      <w:tab/>
      <w:t>DA 18-197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585" w:rsidP="00D2122E" w14:paraId="386CFC38" w14:textId="77777777">
    <w:pPr>
      <w:pStyle w:val="Header"/>
    </w:pPr>
  </w:p>
  <w:p w:rsidR="00AA5585" w:rsidP="009355F9" w14:paraId="4814CFCD" w14:textId="77777777">
    <w:pPr>
      <w:pBdr>
        <w:bottom w:val="single" w:sz="12" w:space="1" w:color="auto"/>
      </w:pBdr>
      <w:tabs>
        <w:tab w:val="center" w:pos="4680"/>
        <w:tab w:val="right" w:pos="9360"/>
      </w:tabs>
      <w:jc w:val="center"/>
      <w:rPr>
        <w:b/>
      </w:rPr>
    </w:pPr>
  </w:p>
  <w:p w:rsidR="00AA5585" w:rsidRPr="00CC1EC1" w:rsidP="00827FB7" w14:paraId="6174D50B" w14:textId="45364B45">
    <w:pPr>
      <w:pBdr>
        <w:bottom w:val="single" w:sz="12" w:space="1" w:color="auto"/>
      </w:pBdr>
      <w:tabs>
        <w:tab w:val="center" w:pos="4680"/>
        <w:tab w:val="right" w:pos="9360"/>
      </w:tabs>
      <w:jc w:val="center"/>
      <w:rPr>
        <w:b/>
      </w:rPr>
    </w:pPr>
    <w:r>
      <w:rPr>
        <w:b/>
      </w:rPr>
      <w:t xml:space="preserve">                                                     Federal Communications Commission                 </w:t>
    </w:r>
    <w:r>
      <w:rPr>
        <w:b/>
      </w:rPr>
      <w:tab/>
      <w:t>DA 18-197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FFFFFF89"/>
    <w:multiLevelType w:val="singleLevel"/>
    <w:tmpl w:val="235A96A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11953FCE"/>
    <w:multiLevelType w:val="hybridMultilevel"/>
    <w:tmpl w:val="864A66F8"/>
    <w:lvl w:ilvl="0">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D6138C"/>
    <w:multiLevelType w:val="hybridMultilevel"/>
    <w:tmpl w:val="0F441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F0978CF"/>
    <w:multiLevelType w:val="multilevel"/>
    <w:tmpl w:val="C2688E9C"/>
    <w:styleLink w:val="Style1"/>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8F6DD1"/>
    <w:multiLevelType w:val="hybridMultilevel"/>
    <w:tmpl w:val="335A88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EDBE40D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7190695B"/>
    <w:multiLevelType w:val="hybridMultilevel"/>
    <w:tmpl w:val="1144A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6"/>
  </w:num>
  <w:num w:numId="4">
    <w:abstractNumId w:val="5"/>
  </w:num>
  <w:num w:numId="5">
    <w:abstractNumId w:val="3"/>
  </w:num>
  <w:num w:numId="6">
    <w:abstractNumId w:val="2"/>
  </w:num>
  <w:num w:numId="7">
    <w:abstractNumId w:val="1"/>
  </w:num>
  <w:num w:numId="8">
    <w:abstractNumId w:val="0"/>
  </w:num>
  <w:num w:numId="9">
    <w:abstractNumId w:val="13"/>
  </w:num>
  <w:num w:numId="10">
    <w:abstractNumId w:val="8"/>
  </w:num>
  <w:num w:numId="11">
    <w:abstractNumId w:val="17"/>
  </w:num>
  <w:num w:numId="12">
    <w:abstractNumId w:val="6"/>
  </w:num>
  <w:num w:numId="13">
    <w:abstractNumId w:val="18"/>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11"/>
  </w:num>
  <w:num w:numId="19">
    <w:abstractNumId w:val="7"/>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73"/>
    <w:rsid w:val="0000006C"/>
    <w:rsid w:val="0000016B"/>
    <w:rsid w:val="00000433"/>
    <w:rsid w:val="000004F8"/>
    <w:rsid w:val="000005E4"/>
    <w:rsid w:val="00000667"/>
    <w:rsid w:val="00000C07"/>
    <w:rsid w:val="00000F36"/>
    <w:rsid w:val="00000F82"/>
    <w:rsid w:val="00001010"/>
    <w:rsid w:val="0000140F"/>
    <w:rsid w:val="00001944"/>
    <w:rsid w:val="0000230C"/>
    <w:rsid w:val="0000257B"/>
    <w:rsid w:val="00002658"/>
    <w:rsid w:val="00002ED9"/>
    <w:rsid w:val="00002FB5"/>
    <w:rsid w:val="000033B2"/>
    <w:rsid w:val="000036F4"/>
    <w:rsid w:val="000039E3"/>
    <w:rsid w:val="00003BA5"/>
    <w:rsid w:val="00003CCA"/>
    <w:rsid w:val="00003E33"/>
    <w:rsid w:val="00003F24"/>
    <w:rsid w:val="00004546"/>
    <w:rsid w:val="00004666"/>
    <w:rsid w:val="000046C3"/>
    <w:rsid w:val="000047DD"/>
    <w:rsid w:val="000048D0"/>
    <w:rsid w:val="00004A62"/>
    <w:rsid w:val="00004A82"/>
    <w:rsid w:val="00004C7D"/>
    <w:rsid w:val="00004F80"/>
    <w:rsid w:val="00005083"/>
    <w:rsid w:val="0000547A"/>
    <w:rsid w:val="00005615"/>
    <w:rsid w:val="0000564D"/>
    <w:rsid w:val="00005757"/>
    <w:rsid w:val="00005A26"/>
    <w:rsid w:val="00005CD3"/>
    <w:rsid w:val="00006872"/>
    <w:rsid w:val="0000692E"/>
    <w:rsid w:val="00006A2D"/>
    <w:rsid w:val="00006CBB"/>
    <w:rsid w:val="00006DF8"/>
    <w:rsid w:val="00006F8F"/>
    <w:rsid w:val="00006FEA"/>
    <w:rsid w:val="000071F6"/>
    <w:rsid w:val="000072AD"/>
    <w:rsid w:val="00007577"/>
    <w:rsid w:val="00007AF0"/>
    <w:rsid w:val="00007C1D"/>
    <w:rsid w:val="0001000C"/>
    <w:rsid w:val="0001072B"/>
    <w:rsid w:val="00010865"/>
    <w:rsid w:val="00010BC5"/>
    <w:rsid w:val="00011527"/>
    <w:rsid w:val="00011910"/>
    <w:rsid w:val="000119DA"/>
    <w:rsid w:val="00011BA2"/>
    <w:rsid w:val="00011C97"/>
    <w:rsid w:val="00011F0F"/>
    <w:rsid w:val="0001205D"/>
    <w:rsid w:val="000123B0"/>
    <w:rsid w:val="000123C9"/>
    <w:rsid w:val="000129AB"/>
    <w:rsid w:val="00012C4B"/>
    <w:rsid w:val="00012CC4"/>
    <w:rsid w:val="000142C3"/>
    <w:rsid w:val="00014973"/>
    <w:rsid w:val="00014BB0"/>
    <w:rsid w:val="00015EEC"/>
    <w:rsid w:val="00016089"/>
    <w:rsid w:val="000160D1"/>
    <w:rsid w:val="000160DB"/>
    <w:rsid w:val="000166C8"/>
    <w:rsid w:val="00016741"/>
    <w:rsid w:val="000168F7"/>
    <w:rsid w:val="00016960"/>
    <w:rsid w:val="00016D7E"/>
    <w:rsid w:val="00016F04"/>
    <w:rsid w:val="00017072"/>
    <w:rsid w:val="00017293"/>
    <w:rsid w:val="0001740D"/>
    <w:rsid w:val="000174FD"/>
    <w:rsid w:val="000176A9"/>
    <w:rsid w:val="00017811"/>
    <w:rsid w:val="00017CDC"/>
    <w:rsid w:val="00017E5B"/>
    <w:rsid w:val="00017F6D"/>
    <w:rsid w:val="000203AD"/>
    <w:rsid w:val="000206E0"/>
    <w:rsid w:val="00020941"/>
    <w:rsid w:val="0002094C"/>
    <w:rsid w:val="00020BE5"/>
    <w:rsid w:val="00020CA7"/>
    <w:rsid w:val="00020CED"/>
    <w:rsid w:val="00020FCA"/>
    <w:rsid w:val="00021063"/>
    <w:rsid w:val="00021215"/>
    <w:rsid w:val="000213B6"/>
    <w:rsid w:val="0002152F"/>
    <w:rsid w:val="000216AC"/>
    <w:rsid w:val="000218A7"/>
    <w:rsid w:val="00021A5F"/>
    <w:rsid w:val="00021E29"/>
    <w:rsid w:val="00022088"/>
    <w:rsid w:val="0002266F"/>
    <w:rsid w:val="000229A5"/>
    <w:rsid w:val="00022D83"/>
    <w:rsid w:val="0002329D"/>
    <w:rsid w:val="000234AF"/>
    <w:rsid w:val="00023CD7"/>
    <w:rsid w:val="00023D59"/>
    <w:rsid w:val="00023D9F"/>
    <w:rsid w:val="000243CD"/>
    <w:rsid w:val="0002468A"/>
    <w:rsid w:val="00024A63"/>
    <w:rsid w:val="00024ADD"/>
    <w:rsid w:val="00024CD8"/>
    <w:rsid w:val="00024D03"/>
    <w:rsid w:val="00024F60"/>
    <w:rsid w:val="000251CB"/>
    <w:rsid w:val="00025510"/>
    <w:rsid w:val="00026B46"/>
    <w:rsid w:val="00027123"/>
    <w:rsid w:val="0002723C"/>
    <w:rsid w:val="00027827"/>
    <w:rsid w:val="00027E4C"/>
    <w:rsid w:val="00027F66"/>
    <w:rsid w:val="00030C87"/>
    <w:rsid w:val="00030D69"/>
    <w:rsid w:val="00030D7F"/>
    <w:rsid w:val="00030F57"/>
    <w:rsid w:val="00031E40"/>
    <w:rsid w:val="0003298F"/>
    <w:rsid w:val="00032B8A"/>
    <w:rsid w:val="00032D51"/>
    <w:rsid w:val="00032F18"/>
    <w:rsid w:val="00033185"/>
    <w:rsid w:val="00033775"/>
    <w:rsid w:val="00033E13"/>
    <w:rsid w:val="00034031"/>
    <w:rsid w:val="0003457B"/>
    <w:rsid w:val="00034D28"/>
    <w:rsid w:val="00034E5E"/>
    <w:rsid w:val="00035B6A"/>
    <w:rsid w:val="00035B7E"/>
    <w:rsid w:val="00036007"/>
    <w:rsid w:val="000361FD"/>
    <w:rsid w:val="0003702C"/>
    <w:rsid w:val="00037B18"/>
    <w:rsid w:val="0004006B"/>
    <w:rsid w:val="0004010E"/>
    <w:rsid w:val="00040170"/>
    <w:rsid w:val="000401D3"/>
    <w:rsid w:val="000401F1"/>
    <w:rsid w:val="000403A4"/>
    <w:rsid w:val="0004075D"/>
    <w:rsid w:val="000407BC"/>
    <w:rsid w:val="00040C55"/>
    <w:rsid w:val="00040CC1"/>
    <w:rsid w:val="00040F29"/>
    <w:rsid w:val="000410F0"/>
    <w:rsid w:val="00041164"/>
    <w:rsid w:val="00041413"/>
    <w:rsid w:val="00041433"/>
    <w:rsid w:val="00041551"/>
    <w:rsid w:val="00041C1C"/>
    <w:rsid w:val="00041D69"/>
    <w:rsid w:val="00041FFF"/>
    <w:rsid w:val="000420A0"/>
    <w:rsid w:val="00042183"/>
    <w:rsid w:val="000423F5"/>
    <w:rsid w:val="00042400"/>
    <w:rsid w:val="0004278E"/>
    <w:rsid w:val="00042CA6"/>
    <w:rsid w:val="000431F7"/>
    <w:rsid w:val="000432B6"/>
    <w:rsid w:val="00043526"/>
    <w:rsid w:val="000437D8"/>
    <w:rsid w:val="000438E3"/>
    <w:rsid w:val="00043A65"/>
    <w:rsid w:val="00044195"/>
    <w:rsid w:val="0004447C"/>
    <w:rsid w:val="000444B9"/>
    <w:rsid w:val="000444CF"/>
    <w:rsid w:val="00044BC1"/>
    <w:rsid w:val="00044E1E"/>
    <w:rsid w:val="00044E41"/>
    <w:rsid w:val="00044E9E"/>
    <w:rsid w:val="0004585E"/>
    <w:rsid w:val="00045C55"/>
    <w:rsid w:val="00046197"/>
    <w:rsid w:val="00046349"/>
    <w:rsid w:val="0004647B"/>
    <w:rsid w:val="000469C0"/>
    <w:rsid w:val="00046AC0"/>
    <w:rsid w:val="00046B90"/>
    <w:rsid w:val="00046CC1"/>
    <w:rsid w:val="00046F72"/>
    <w:rsid w:val="000470C2"/>
    <w:rsid w:val="0004726F"/>
    <w:rsid w:val="00047336"/>
    <w:rsid w:val="00047C94"/>
    <w:rsid w:val="00047CB7"/>
    <w:rsid w:val="00050A85"/>
    <w:rsid w:val="00050DDB"/>
    <w:rsid w:val="00050FB4"/>
    <w:rsid w:val="0005105B"/>
    <w:rsid w:val="00051EF8"/>
    <w:rsid w:val="000527F1"/>
    <w:rsid w:val="00052CA1"/>
    <w:rsid w:val="00053775"/>
    <w:rsid w:val="00053831"/>
    <w:rsid w:val="0005386F"/>
    <w:rsid w:val="000539B4"/>
    <w:rsid w:val="00053EB9"/>
    <w:rsid w:val="00054327"/>
    <w:rsid w:val="00054384"/>
    <w:rsid w:val="00054599"/>
    <w:rsid w:val="00054E7D"/>
    <w:rsid w:val="00055875"/>
    <w:rsid w:val="00055CD5"/>
    <w:rsid w:val="0005643A"/>
    <w:rsid w:val="000569D8"/>
    <w:rsid w:val="00056BBF"/>
    <w:rsid w:val="00057FE3"/>
    <w:rsid w:val="00060704"/>
    <w:rsid w:val="000607B8"/>
    <w:rsid w:val="00060B78"/>
    <w:rsid w:val="00060EFF"/>
    <w:rsid w:val="00060F3C"/>
    <w:rsid w:val="00060FDB"/>
    <w:rsid w:val="0006126C"/>
    <w:rsid w:val="000613CA"/>
    <w:rsid w:val="0006149E"/>
    <w:rsid w:val="000616E5"/>
    <w:rsid w:val="00061C81"/>
    <w:rsid w:val="00061EA8"/>
    <w:rsid w:val="00062124"/>
    <w:rsid w:val="00062512"/>
    <w:rsid w:val="0006284B"/>
    <w:rsid w:val="00063007"/>
    <w:rsid w:val="000631E8"/>
    <w:rsid w:val="000632A8"/>
    <w:rsid w:val="00063690"/>
    <w:rsid w:val="00063EA8"/>
    <w:rsid w:val="00064389"/>
    <w:rsid w:val="000651C8"/>
    <w:rsid w:val="00065339"/>
    <w:rsid w:val="00065380"/>
    <w:rsid w:val="000655EA"/>
    <w:rsid w:val="00065664"/>
    <w:rsid w:val="000658DA"/>
    <w:rsid w:val="00065A08"/>
    <w:rsid w:val="00065EB7"/>
    <w:rsid w:val="00066067"/>
    <w:rsid w:val="00066534"/>
    <w:rsid w:val="000668D4"/>
    <w:rsid w:val="00066CE1"/>
    <w:rsid w:val="00066F73"/>
    <w:rsid w:val="000671C0"/>
    <w:rsid w:val="000671F8"/>
    <w:rsid w:val="00067616"/>
    <w:rsid w:val="000676B2"/>
    <w:rsid w:val="00067A8C"/>
    <w:rsid w:val="00067B18"/>
    <w:rsid w:val="00067B64"/>
    <w:rsid w:val="00067CEA"/>
    <w:rsid w:val="00067FCA"/>
    <w:rsid w:val="00070064"/>
    <w:rsid w:val="000701D4"/>
    <w:rsid w:val="0007082A"/>
    <w:rsid w:val="00070C0D"/>
    <w:rsid w:val="000711C6"/>
    <w:rsid w:val="000712B7"/>
    <w:rsid w:val="0007151F"/>
    <w:rsid w:val="00071781"/>
    <w:rsid w:val="00071CB5"/>
    <w:rsid w:val="00071E8E"/>
    <w:rsid w:val="000725FD"/>
    <w:rsid w:val="000726BB"/>
    <w:rsid w:val="00072A0E"/>
    <w:rsid w:val="00072DD9"/>
    <w:rsid w:val="00072E85"/>
    <w:rsid w:val="000731A2"/>
    <w:rsid w:val="0007352A"/>
    <w:rsid w:val="00073618"/>
    <w:rsid w:val="000738BE"/>
    <w:rsid w:val="0007449A"/>
    <w:rsid w:val="000744C9"/>
    <w:rsid w:val="00074573"/>
    <w:rsid w:val="00074CAF"/>
    <w:rsid w:val="00075026"/>
    <w:rsid w:val="000751E3"/>
    <w:rsid w:val="0007538A"/>
    <w:rsid w:val="00075774"/>
    <w:rsid w:val="0007636C"/>
    <w:rsid w:val="00076B68"/>
    <w:rsid w:val="00076CA5"/>
    <w:rsid w:val="00077155"/>
    <w:rsid w:val="00077724"/>
    <w:rsid w:val="0007788A"/>
    <w:rsid w:val="000779EB"/>
    <w:rsid w:val="00077D20"/>
    <w:rsid w:val="00077ED6"/>
    <w:rsid w:val="000800C0"/>
    <w:rsid w:val="00080256"/>
    <w:rsid w:val="00080575"/>
    <w:rsid w:val="000814A3"/>
    <w:rsid w:val="00081503"/>
    <w:rsid w:val="000816AD"/>
    <w:rsid w:val="000818BA"/>
    <w:rsid w:val="000825CD"/>
    <w:rsid w:val="000825ED"/>
    <w:rsid w:val="00082CF5"/>
    <w:rsid w:val="00083351"/>
    <w:rsid w:val="0008338A"/>
    <w:rsid w:val="0008434C"/>
    <w:rsid w:val="0008537E"/>
    <w:rsid w:val="000853D7"/>
    <w:rsid w:val="000855B0"/>
    <w:rsid w:val="00085793"/>
    <w:rsid w:val="000858F1"/>
    <w:rsid w:val="00085A11"/>
    <w:rsid w:val="00086562"/>
    <w:rsid w:val="00086633"/>
    <w:rsid w:val="0008695B"/>
    <w:rsid w:val="00086D68"/>
    <w:rsid w:val="00086F37"/>
    <w:rsid w:val="000870B4"/>
    <w:rsid w:val="0008726C"/>
    <w:rsid w:val="000873A3"/>
    <w:rsid w:val="00087475"/>
    <w:rsid w:val="0008750A"/>
    <w:rsid w:val="00090A95"/>
    <w:rsid w:val="00090B3C"/>
    <w:rsid w:val="00090C31"/>
    <w:rsid w:val="000917A0"/>
    <w:rsid w:val="00091EDB"/>
    <w:rsid w:val="000923A3"/>
    <w:rsid w:val="000923BC"/>
    <w:rsid w:val="0009253D"/>
    <w:rsid w:val="00092960"/>
    <w:rsid w:val="00092C7D"/>
    <w:rsid w:val="00092F3C"/>
    <w:rsid w:val="0009309A"/>
    <w:rsid w:val="00093117"/>
    <w:rsid w:val="000932C9"/>
    <w:rsid w:val="00093302"/>
    <w:rsid w:val="000934A8"/>
    <w:rsid w:val="0009374A"/>
    <w:rsid w:val="00093CE9"/>
    <w:rsid w:val="00093D3F"/>
    <w:rsid w:val="00093DCE"/>
    <w:rsid w:val="00093EC5"/>
    <w:rsid w:val="000940B7"/>
    <w:rsid w:val="0009443E"/>
    <w:rsid w:val="000944B8"/>
    <w:rsid w:val="00094C53"/>
    <w:rsid w:val="00094DF2"/>
    <w:rsid w:val="00095269"/>
    <w:rsid w:val="00095277"/>
    <w:rsid w:val="0009528E"/>
    <w:rsid w:val="000952E7"/>
    <w:rsid w:val="000956CD"/>
    <w:rsid w:val="00095A5A"/>
    <w:rsid w:val="00095B49"/>
    <w:rsid w:val="00095C7B"/>
    <w:rsid w:val="00095C84"/>
    <w:rsid w:val="00095E3C"/>
    <w:rsid w:val="00095E92"/>
    <w:rsid w:val="0009686C"/>
    <w:rsid w:val="00096977"/>
    <w:rsid w:val="000969D9"/>
    <w:rsid w:val="000969DB"/>
    <w:rsid w:val="00096B15"/>
    <w:rsid w:val="00096C34"/>
    <w:rsid w:val="00097352"/>
    <w:rsid w:val="000974F4"/>
    <w:rsid w:val="0009794F"/>
    <w:rsid w:val="00097F8A"/>
    <w:rsid w:val="000A03B2"/>
    <w:rsid w:val="000A04C6"/>
    <w:rsid w:val="000A0D6C"/>
    <w:rsid w:val="000A0DA8"/>
    <w:rsid w:val="000A0F58"/>
    <w:rsid w:val="000A14CC"/>
    <w:rsid w:val="000A15BA"/>
    <w:rsid w:val="000A1815"/>
    <w:rsid w:val="000A1B7A"/>
    <w:rsid w:val="000A1BD6"/>
    <w:rsid w:val="000A2109"/>
    <w:rsid w:val="000A22D8"/>
    <w:rsid w:val="000A27E5"/>
    <w:rsid w:val="000A2A3A"/>
    <w:rsid w:val="000A2D29"/>
    <w:rsid w:val="000A314F"/>
    <w:rsid w:val="000A34FD"/>
    <w:rsid w:val="000A3BA0"/>
    <w:rsid w:val="000A3C8F"/>
    <w:rsid w:val="000A3E5D"/>
    <w:rsid w:val="000A3ED5"/>
    <w:rsid w:val="000A4009"/>
    <w:rsid w:val="000A4050"/>
    <w:rsid w:val="000A40C9"/>
    <w:rsid w:val="000A4123"/>
    <w:rsid w:val="000A4332"/>
    <w:rsid w:val="000A4371"/>
    <w:rsid w:val="000A4B88"/>
    <w:rsid w:val="000A4E95"/>
    <w:rsid w:val="000A5691"/>
    <w:rsid w:val="000A57E3"/>
    <w:rsid w:val="000A5F90"/>
    <w:rsid w:val="000A6005"/>
    <w:rsid w:val="000A6821"/>
    <w:rsid w:val="000A6AC9"/>
    <w:rsid w:val="000A6C71"/>
    <w:rsid w:val="000A6C77"/>
    <w:rsid w:val="000A6F0E"/>
    <w:rsid w:val="000A7445"/>
    <w:rsid w:val="000A7977"/>
    <w:rsid w:val="000A79FC"/>
    <w:rsid w:val="000A7B9C"/>
    <w:rsid w:val="000B001B"/>
    <w:rsid w:val="000B0886"/>
    <w:rsid w:val="000B0AE0"/>
    <w:rsid w:val="000B0EB3"/>
    <w:rsid w:val="000B1037"/>
    <w:rsid w:val="000B15B4"/>
    <w:rsid w:val="000B1814"/>
    <w:rsid w:val="000B1950"/>
    <w:rsid w:val="000B1B85"/>
    <w:rsid w:val="000B1D9F"/>
    <w:rsid w:val="000B1E84"/>
    <w:rsid w:val="000B226A"/>
    <w:rsid w:val="000B2403"/>
    <w:rsid w:val="000B2AFB"/>
    <w:rsid w:val="000B2BAF"/>
    <w:rsid w:val="000B2E9A"/>
    <w:rsid w:val="000B2F7F"/>
    <w:rsid w:val="000B319E"/>
    <w:rsid w:val="000B38C4"/>
    <w:rsid w:val="000B3949"/>
    <w:rsid w:val="000B423D"/>
    <w:rsid w:val="000B4376"/>
    <w:rsid w:val="000B439E"/>
    <w:rsid w:val="000B4489"/>
    <w:rsid w:val="000B455B"/>
    <w:rsid w:val="000B4888"/>
    <w:rsid w:val="000B4AB7"/>
    <w:rsid w:val="000B4F29"/>
    <w:rsid w:val="000B567B"/>
    <w:rsid w:val="000B57F3"/>
    <w:rsid w:val="000B5803"/>
    <w:rsid w:val="000B600A"/>
    <w:rsid w:val="000B6280"/>
    <w:rsid w:val="000B64E4"/>
    <w:rsid w:val="000B6536"/>
    <w:rsid w:val="000B6C3D"/>
    <w:rsid w:val="000B7101"/>
    <w:rsid w:val="000B7200"/>
    <w:rsid w:val="000B74E9"/>
    <w:rsid w:val="000C0168"/>
    <w:rsid w:val="000C02B5"/>
    <w:rsid w:val="000C03A3"/>
    <w:rsid w:val="000C0C46"/>
    <w:rsid w:val="000C0CAA"/>
    <w:rsid w:val="000C1B28"/>
    <w:rsid w:val="000C1EE6"/>
    <w:rsid w:val="000C2014"/>
    <w:rsid w:val="000C2078"/>
    <w:rsid w:val="000C22D4"/>
    <w:rsid w:val="000C25D3"/>
    <w:rsid w:val="000C29AD"/>
    <w:rsid w:val="000C2A05"/>
    <w:rsid w:val="000C2D50"/>
    <w:rsid w:val="000C35BB"/>
    <w:rsid w:val="000C397E"/>
    <w:rsid w:val="000C3CD0"/>
    <w:rsid w:val="000C3EB5"/>
    <w:rsid w:val="000C3F3E"/>
    <w:rsid w:val="000C470E"/>
    <w:rsid w:val="000C49C1"/>
    <w:rsid w:val="000C4B7D"/>
    <w:rsid w:val="000C4B7E"/>
    <w:rsid w:val="000C4BF3"/>
    <w:rsid w:val="000C51D0"/>
    <w:rsid w:val="000C53DA"/>
    <w:rsid w:val="000C5784"/>
    <w:rsid w:val="000C579C"/>
    <w:rsid w:val="000C5E1D"/>
    <w:rsid w:val="000C5E66"/>
    <w:rsid w:val="000C65DD"/>
    <w:rsid w:val="000C6B80"/>
    <w:rsid w:val="000C6BC0"/>
    <w:rsid w:val="000C6BFE"/>
    <w:rsid w:val="000C6C7D"/>
    <w:rsid w:val="000C6CA0"/>
    <w:rsid w:val="000C76DA"/>
    <w:rsid w:val="000C791D"/>
    <w:rsid w:val="000C79CC"/>
    <w:rsid w:val="000C7A2B"/>
    <w:rsid w:val="000C7E8F"/>
    <w:rsid w:val="000D0B6C"/>
    <w:rsid w:val="000D0E1A"/>
    <w:rsid w:val="000D0E5A"/>
    <w:rsid w:val="000D0E67"/>
    <w:rsid w:val="000D12E1"/>
    <w:rsid w:val="000D1C4B"/>
    <w:rsid w:val="000D1F32"/>
    <w:rsid w:val="000D2318"/>
    <w:rsid w:val="000D27B4"/>
    <w:rsid w:val="000D31BB"/>
    <w:rsid w:val="000D38E5"/>
    <w:rsid w:val="000D3A0B"/>
    <w:rsid w:val="000D3A17"/>
    <w:rsid w:val="000D3BB0"/>
    <w:rsid w:val="000D3DD7"/>
    <w:rsid w:val="000D3E77"/>
    <w:rsid w:val="000D41B1"/>
    <w:rsid w:val="000D4B91"/>
    <w:rsid w:val="000D5081"/>
    <w:rsid w:val="000D5365"/>
    <w:rsid w:val="000D580A"/>
    <w:rsid w:val="000D5829"/>
    <w:rsid w:val="000D59C6"/>
    <w:rsid w:val="000D5AF5"/>
    <w:rsid w:val="000D66D6"/>
    <w:rsid w:val="000D6749"/>
    <w:rsid w:val="000D6824"/>
    <w:rsid w:val="000D6ABC"/>
    <w:rsid w:val="000D6B20"/>
    <w:rsid w:val="000D6DBD"/>
    <w:rsid w:val="000D6F9D"/>
    <w:rsid w:val="000D7534"/>
    <w:rsid w:val="000D79EB"/>
    <w:rsid w:val="000E0733"/>
    <w:rsid w:val="000E0B2C"/>
    <w:rsid w:val="000E0B49"/>
    <w:rsid w:val="000E0CD1"/>
    <w:rsid w:val="000E121C"/>
    <w:rsid w:val="000E142B"/>
    <w:rsid w:val="000E14C6"/>
    <w:rsid w:val="000E156F"/>
    <w:rsid w:val="000E21D3"/>
    <w:rsid w:val="000E246E"/>
    <w:rsid w:val="000E2501"/>
    <w:rsid w:val="000E265F"/>
    <w:rsid w:val="000E2765"/>
    <w:rsid w:val="000E29F1"/>
    <w:rsid w:val="000E3518"/>
    <w:rsid w:val="000E35F9"/>
    <w:rsid w:val="000E3C29"/>
    <w:rsid w:val="000E3D6B"/>
    <w:rsid w:val="000E3F98"/>
    <w:rsid w:val="000E4423"/>
    <w:rsid w:val="000E4713"/>
    <w:rsid w:val="000E47AE"/>
    <w:rsid w:val="000E4CDE"/>
    <w:rsid w:val="000E4EFD"/>
    <w:rsid w:val="000E5203"/>
    <w:rsid w:val="000E5F13"/>
    <w:rsid w:val="000E6521"/>
    <w:rsid w:val="000E656D"/>
    <w:rsid w:val="000E6892"/>
    <w:rsid w:val="000E6B6F"/>
    <w:rsid w:val="000E6D71"/>
    <w:rsid w:val="000E6E93"/>
    <w:rsid w:val="000E6EDB"/>
    <w:rsid w:val="000E7606"/>
    <w:rsid w:val="000E7E8C"/>
    <w:rsid w:val="000E7EF1"/>
    <w:rsid w:val="000E7FCC"/>
    <w:rsid w:val="000F0049"/>
    <w:rsid w:val="000F028F"/>
    <w:rsid w:val="000F029E"/>
    <w:rsid w:val="000F02DD"/>
    <w:rsid w:val="000F0614"/>
    <w:rsid w:val="000F0713"/>
    <w:rsid w:val="000F0875"/>
    <w:rsid w:val="000F0884"/>
    <w:rsid w:val="000F0934"/>
    <w:rsid w:val="000F0D30"/>
    <w:rsid w:val="000F0F58"/>
    <w:rsid w:val="000F0F67"/>
    <w:rsid w:val="000F102C"/>
    <w:rsid w:val="000F15A3"/>
    <w:rsid w:val="000F178E"/>
    <w:rsid w:val="000F1917"/>
    <w:rsid w:val="000F218B"/>
    <w:rsid w:val="000F2BBE"/>
    <w:rsid w:val="000F3064"/>
    <w:rsid w:val="000F3213"/>
    <w:rsid w:val="000F3712"/>
    <w:rsid w:val="000F4B09"/>
    <w:rsid w:val="000F4EE7"/>
    <w:rsid w:val="000F4FDF"/>
    <w:rsid w:val="000F5487"/>
    <w:rsid w:val="000F55D3"/>
    <w:rsid w:val="000F58D1"/>
    <w:rsid w:val="000F5AAA"/>
    <w:rsid w:val="000F5DC3"/>
    <w:rsid w:val="000F6079"/>
    <w:rsid w:val="000F60B8"/>
    <w:rsid w:val="000F61F7"/>
    <w:rsid w:val="000F6451"/>
    <w:rsid w:val="000F66C5"/>
    <w:rsid w:val="000F6719"/>
    <w:rsid w:val="000F68E7"/>
    <w:rsid w:val="000F6943"/>
    <w:rsid w:val="000F69A1"/>
    <w:rsid w:val="000F7314"/>
    <w:rsid w:val="000F79A1"/>
    <w:rsid w:val="000F79A2"/>
    <w:rsid w:val="000F79F0"/>
    <w:rsid w:val="000F7B70"/>
    <w:rsid w:val="000F7BD1"/>
    <w:rsid w:val="000F7CF6"/>
    <w:rsid w:val="000F7D55"/>
    <w:rsid w:val="0010005A"/>
    <w:rsid w:val="001003FD"/>
    <w:rsid w:val="00100430"/>
    <w:rsid w:val="001004D7"/>
    <w:rsid w:val="00100529"/>
    <w:rsid w:val="00100D18"/>
    <w:rsid w:val="00100DA4"/>
    <w:rsid w:val="001010A4"/>
    <w:rsid w:val="00101207"/>
    <w:rsid w:val="00101236"/>
    <w:rsid w:val="0010199E"/>
    <w:rsid w:val="001019FB"/>
    <w:rsid w:val="00101CF8"/>
    <w:rsid w:val="00101F85"/>
    <w:rsid w:val="0010281C"/>
    <w:rsid w:val="00102820"/>
    <w:rsid w:val="00102A3B"/>
    <w:rsid w:val="00102F36"/>
    <w:rsid w:val="0010318B"/>
    <w:rsid w:val="00103387"/>
    <w:rsid w:val="001033F5"/>
    <w:rsid w:val="00103D78"/>
    <w:rsid w:val="00103E64"/>
    <w:rsid w:val="00103FEF"/>
    <w:rsid w:val="00104093"/>
    <w:rsid w:val="00104B09"/>
    <w:rsid w:val="00104BEA"/>
    <w:rsid w:val="0010565B"/>
    <w:rsid w:val="001056BD"/>
    <w:rsid w:val="0010570E"/>
    <w:rsid w:val="00105B03"/>
    <w:rsid w:val="00105CD5"/>
    <w:rsid w:val="00105EF7"/>
    <w:rsid w:val="00106148"/>
    <w:rsid w:val="00106229"/>
    <w:rsid w:val="001069AF"/>
    <w:rsid w:val="00106E45"/>
    <w:rsid w:val="00106FC3"/>
    <w:rsid w:val="001070BE"/>
    <w:rsid w:val="00107246"/>
    <w:rsid w:val="0010728D"/>
    <w:rsid w:val="001072E0"/>
    <w:rsid w:val="0010799A"/>
    <w:rsid w:val="00107A75"/>
    <w:rsid w:val="00107AF9"/>
    <w:rsid w:val="00107BE4"/>
    <w:rsid w:val="001105DC"/>
    <w:rsid w:val="0011070A"/>
    <w:rsid w:val="00110971"/>
    <w:rsid w:val="00110B08"/>
    <w:rsid w:val="00110C9C"/>
    <w:rsid w:val="0011100E"/>
    <w:rsid w:val="001110F6"/>
    <w:rsid w:val="001111DB"/>
    <w:rsid w:val="001111F5"/>
    <w:rsid w:val="001116D5"/>
    <w:rsid w:val="00111E82"/>
    <w:rsid w:val="00112176"/>
    <w:rsid w:val="00112217"/>
    <w:rsid w:val="0011264D"/>
    <w:rsid w:val="00112842"/>
    <w:rsid w:val="00112907"/>
    <w:rsid w:val="00112977"/>
    <w:rsid w:val="001129BF"/>
    <w:rsid w:val="00112BA8"/>
    <w:rsid w:val="00112CBC"/>
    <w:rsid w:val="00113061"/>
    <w:rsid w:val="0011309C"/>
    <w:rsid w:val="00113209"/>
    <w:rsid w:val="0011322E"/>
    <w:rsid w:val="001133DB"/>
    <w:rsid w:val="001142FD"/>
    <w:rsid w:val="00114339"/>
    <w:rsid w:val="00114E91"/>
    <w:rsid w:val="001151D0"/>
    <w:rsid w:val="00115358"/>
    <w:rsid w:val="00115628"/>
    <w:rsid w:val="00115953"/>
    <w:rsid w:val="00115C8A"/>
    <w:rsid w:val="00116697"/>
    <w:rsid w:val="001167AB"/>
    <w:rsid w:val="0011695C"/>
    <w:rsid w:val="00116A19"/>
    <w:rsid w:val="00116BB9"/>
    <w:rsid w:val="0011720F"/>
    <w:rsid w:val="00117453"/>
    <w:rsid w:val="00117519"/>
    <w:rsid w:val="00117D08"/>
    <w:rsid w:val="0012003B"/>
    <w:rsid w:val="0012010A"/>
    <w:rsid w:val="001205F0"/>
    <w:rsid w:val="00120C82"/>
    <w:rsid w:val="00120E4B"/>
    <w:rsid w:val="00120F26"/>
    <w:rsid w:val="00121279"/>
    <w:rsid w:val="001213FB"/>
    <w:rsid w:val="00121982"/>
    <w:rsid w:val="00122485"/>
    <w:rsid w:val="00122788"/>
    <w:rsid w:val="00122C03"/>
    <w:rsid w:val="00122D2F"/>
    <w:rsid w:val="00123360"/>
    <w:rsid w:val="00123424"/>
    <w:rsid w:val="00123651"/>
    <w:rsid w:val="001237E1"/>
    <w:rsid w:val="001241B8"/>
    <w:rsid w:val="001244CA"/>
    <w:rsid w:val="001245B4"/>
    <w:rsid w:val="0012492B"/>
    <w:rsid w:val="00124CDB"/>
    <w:rsid w:val="0012504E"/>
    <w:rsid w:val="00125333"/>
    <w:rsid w:val="001253FB"/>
    <w:rsid w:val="0012540C"/>
    <w:rsid w:val="001254DE"/>
    <w:rsid w:val="0012596F"/>
    <w:rsid w:val="001259BD"/>
    <w:rsid w:val="00125C2E"/>
    <w:rsid w:val="00125C41"/>
    <w:rsid w:val="0012635C"/>
    <w:rsid w:val="001263A4"/>
    <w:rsid w:val="0012642B"/>
    <w:rsid w:val="001264C5"/>
    <w:rsid w:val="001268DD"/>
    <w:rsid w:val="00126A7A"/>
    <w:rsid w:val="00126B5D"/>
    <w:rsid w:val="00126C5E"/>
    <w:rsid w:val="00126DE4"/>
    <w:rsid w:val="00126E51"/>
    <w:rsid w:val="0012704B"/>
    <w:rsid w:val="00127470"/>
    <w:rsid w:val="001278D8"/>
    <w:rsid w:val="00127B97"/>
    <w:rsid w:val="00127CF9"/>
    <w:rsid w:val="00127FC4"/>
    <w:rsid w:val="0013017F"/>
    <w:rsid w:val="001301A7"/>
    <w:rsid w:val="0013080F"/>
    <w:rsid w:val="00131466"/>
    <w:rsid w:val="001318F8"/>
    <w:rsid w:val="00131E1E"/>
    <w:rsid w:val="001322F7"/>
    <w:rsid w:val="001323DF"/>
    <w:rsid w:val="001331BF"/>
    <w:rsid w:val="001334E3"/>
    <w:rsid w:val="00133B8D"/>
    <w:rsid w:val="00133BF9"/>
    <w:rsid w:val="0013438E"/>
    <w:rsid w:val="001347C0"/>
    <w:rsid w:val="00134975"/>
    <w:rsid w:val="00134BA6"/>
    <w:rsid w:val="00134BB1"/>
    <w:rsid w:val="00134BE5"/>
    <w:rsid w:val="001355AA"/>
    <w:rsid w:val="00135773"/>
    <w:rsid w:val="00135786"/>
    <w:rsid w:val="001358DD"/>
    <w:rsid w:val="00135978"/>
    <w:rsid w:val="001366C2"/>
    <w:rsid w:val="0013687C"/>
    <w:rsid w:val="001368E9"/>
    <w:rsid w:val="00136A69"/>
    <w:rsid w:val="00136B08"/>
    <w:rsid w:val="00136FC2"/>
    <w:rsid w:val="0013767B"/>
    <w:rsid w:val="001376F6"/>
    <w:rsid w:val="00137DDB"/>
    <w:rsid w:val="001400BC"/>
    <w:rsid w:val="00140140"/>
    <w:rsid w:val="001402B3"/>
    <w:rsid w:val="001416F6"/>
    <w:rsid w:val="00141932"/>
    <w:rsid w:val="00141AD1"/>
    <w:rsid w:val="00141B19"/>
    <w:rsid w:val="00141D39"/>
    <w:rsid w:val="00142295"/>
    <w:rsid w:val="00142963"/>
    <w:rsid w:val="001429A8"/>
    <w:rsid w:val="00142C9A"/>
    <w:rsid w:val="00143522"/>
    <w:rsid w:val="0014393D"/>
    <w:rsid w:val="00143A10"/>
    <w:rsid w:val="001442BD"/>
    <w:rsid w:val="0014431D"/>
    <w:rsid w:val="001443FF"/>
    <w:rsid w:val="00144730"/>
    <w:rsid w:val="00144C44"/>
    <w:rsid w:val="00144C8C"/>
    <w:rsid w:val="00144CE8"/>
    <w:rsid w:val="001450FE"/>
    <w:rsid w:val="00145439"/>
    <w:rsid w:val="001455C4"/>
    <w:rsid w:val="00145F46"/>
    <w:rsid w:val="0014608E"/>
    <w:rsid w:val="00146133"/>
    <w:rsid w:val="001461DE"/>
    <w:rsid w:val="001461DF"/>
    <w:rsid w:val="00146CDD"/>
    <w:rsid w:val="00147274"/>
    <w:rsid w:val="001473FF"/>
    <w:rsid w:val="00147AEE"/>
    <w:rsid w:val="0015013C"/>
    <w:rsid w:val="00150448"/>
    <w:rsid w:val="001505E2"/>
    <w:rsid w:val="00150871"/>
    <w:rsid w:val="00150906"/>
    <w:rsid w:val="00150BD7"/>
    <w:rsid w:val="00150BE7"/>
    <w:rsid w:val="00150E52"/>
    <w:rsid w:val="00150EBB"/>
    <w:rsid w:val="00151026"/>
    <w:rsid w:val="0015108C"/>
    <w:rsid w:val="00151271"/>
    <w:rsid w:val="001514F6"/>
    <w:rsid w:val="00151502"/>
    <w:rsid w:val="00151D5D"/>
    <w:rsid w:val="00152416"/>
    <w:rsid w:val="0015247F"/>
    <w:rsid w:val="001531A2"/>
    <w:rsid w:val="0015442A"/>
    <w:rsid w:val="00154561"/>
    <w:rsid w:val="0015500B"/>
    <w:rsid w:val="00155A54"/>
    <w:rsid w:val="00155D8B"/>
    <w:rsid w:val="00155F1D"/>
    <w:rsid w:val="0015625C"/>
    <w:rsid w:val="0015662D"/>
    <w:rsid w:val="00156A99"/>
    <w:rsid w:val="00156C88"/>
    <w:rsid w:val="00156D6F"/>
    <w:rsid w:val="00156F06"/>
    <w:rsid w:val="00157589"/>
    <w:rsid w:val="00157B60"/>
    <w:rsid w:val="00157CB2"/>
    <w:rsid w:val="00157D5F"/>
    <w:rsid w:val="00157E2B"/>
    <w:rsid w:val="00160200"/>
    <w:rsid w:val="001604C8"/>
    <w:rsid w:val="00160787"/>
    <w:rsid w:val="00160801"/>
    <w:rsid w:val="00160CB9"/>
    <w:rsid w:val="00160D66"/>
    <w:rsid w:val="0016127E"/>
    <w:rsid w:val="0016197A"/>
    <w:rsid w:val="00161BA9"/>
    <w:rsid w:val="00161BEE"/>
    <w:rsid w:val="00161E6B"/>
    <w:rsid w:val="00161F35"/>
    <w:rsid w:val="00161F43"/>
    <w:rsid w:val="00162065"/>
    <w:rsid w:val="00162244"/>
    <w:rsid w:val="00162C59"/>
    <w:rsid w:val="0016330C"/>
    <w:rsid w:val="0016339A"/>
    <w:rsid w:val="001634A1"/>
    <w:rsid w:val="001638C0"/>
    <w:rsid w:val="001639A7"/>
    <w:rsid w:val="00163CBF"/>
    <w:rsid w:val="00163D14"/>
    <w:rsid w:val="001648CA"/>
    <w:rsid w:val="001649C8"/>
    <w:rsid w:val="00164B60"/>
    <w:rsid w:val="00164C0E"/>
    <w:rsid w:val="00164D91"/>
    <w:rsid w:val="0016578D"/>
    <w:rsid w:val="001658E1"/>
    <w:rsid w:val="00165960"/>
    <w:rsid w:val="0016598B"/>
    <w:rsid w:val="00165DAC"/>
    <w:rsid w:val="00165DF7"/>
    <w:rsid w:val="001660D9"/>
    <w:rsid w:val="00166250"/>
    <w:rsid w:val="0016632E"/>
    <w:rsid w:val="00166458"/>
    <w:rsid w:val="0016654F"/>
    <w:rsid w:val="00166745"/>
    <w:rsid w:val="00166858"/>
    <w:rsid w:val="00167123"/>
    <w:rsid w:val="0016719E"/>
    <w:rsid w:val="001677BC"/>
    <w:rsid w:val="00167C6A"/>
    <w:rsid w:val="00167EB9"/>
    <w:rsid w:val="00170037"/>
    <w:rsid w:val="00170069"/>
    <w:rsid w:val="001700EF"/>
    <w:rsid w:val="001703AE"/>
    <w:rsid w:val="0017068E"/>
    <w:rsid w:val="00171110"/>
    <w:rsid w:val="001714FE"/>
    <w:rsid w:val="00171EC5"/>
    <w:rsid w:val="00172048"/>
    <w:rsid w:val="00172415"/>
    <w:rsid w:val="001726E8"/>
    <w:rsid w:val="001728B4"/>
    <w:rsid w:val="001728CC"/>
    <w:rsid w:val="00172AF7"/>
    <w:rsid w:val="00172EA0"/>
    <w:rsid w:val="001734D8"/>
    <w:rsid w:val="00173507"/>
    <w:rsid w:val="0017382B"/>
    <w:rsid w:val="00173987"/>
    <w:rsid w:val="001739BA"/>
    <w:rsid w:val="00173CBE"/>
    <w:rsid w:val="00174202"/>
    <w:rsid w:val="001746FC"/>
    <w:rsid w:val="0017474D"/>
    <w:rsid w:val="00174E26"/>
    <w:rsid w:val="00174E61"/>
    <w:rsid w:val="001750CC"/>
    <w:rsid w:val="001751DA"/>
    <w:rsid w:val="001753E6"/>
    <w:rsid w:val="00175568"/>
    <w:rsid w:val="0017593B"/>
    <w:rsid w:val="001759C3"/>
    <w:rsid w:val="00175A08"/>
    <w:rsid w:val="00175B00"/>
    <w:rsid w:val="00175B33"/>
    <w:rsid w:val="001763A8"/>
    <w:rsid w:val="001766B2"/>
    <w:rsid w:val="001767F7"/>
    <w:rsid w:val="0017691E"/>
    <w:rsid w:val="00176A6C"/>
    <w:rsid w:val="00177253"/>
    <w:rsid w:val="00177444"/>
    <w:rsid w:val="00177789"/>
    <w:rsid w:val="00177E2A"/>
    <w:rsid w:val="00177EA8"/>
    <w:rsid w:val="00177FEC"/>
    <w:rsid w:val="0018051F"/>
    <w:rsid w:val="00180598"/>
    <w:rsid w:val="00180722"/>
    <w:rsid w:val="00180A06"/>
    <w:rsid w:val="00180B4D"/>
    <w:rsid w:val="0018113B"/>
    <w:rsid w:val="0018130D"/>
    <w:rsid w:val="001816AC"/>
    <w:rsid w:val="00181BBD"/>
    <w:rsid w:val="00181F45"/>
    <w:rsid w:val="00181F63"/>
    <w:rsid w:val="0018255F"/>
    <w:rsid w:val="001829BE"/>
    <w:rsid w:val="00182B0F"/>
    <w:rsid w:val="00182EE7"/>
    <w:rsid w:val="00182FA0"/>
    <w:rsid w:val="00183092"/>
    <w:rsid w:val="001830E3"/>
    <w:rsid w:val="00183863"/>
    <w:rsid w:val="001842FE"/>
    <w:rsid w:val="001843E3"/>
    <w:rsid w:val="00184D3F"/>
    <w:rsid w:val="00185C1D"/>
    <w:rsid w:val="00185EBF"/>
    <w:rsid w:val="001867D2"/>
    <w:rsid w:val="00186BF2"/>
    <w:rsid w:val="00186F59"/>
    <w:rsid w:val="001870BC"/>
    <w:rsid w:val="001870D1"/>
    <w:rsid w:val="0018758E"/>
    <w:rsid w:val="001876F3"/>
    <w:rsid w:val="0018772D"/>
    <w:rsid w:val="00187743"/>
    <w:rsid w:val="0019005F"/>
    <w:rsid w:val="00190203"/>
    <w:rsid w:val="00190768"/>
    <w:rsid w:val="00190892"/>
    <w:rsid w:val="00190D7F"/>
    <w:rsid w:val="00190F8F"/>
    <w:rsid w:val="00191126"/>
    <w:rsid w:val="00191151"/>
    <w:rsid w:val="001919F3"/>
    <w:rsid w:val="00191E80"/>
    <w:rsid w:val="00192302"/>
    <w:rsid w:val="00192732"/>
    <w:rsid w:val="001929B2"/>
    <w:rsid w:val="00192D80"/>
    <w:rsid w:val="001935BC"/>
    <w:rsid w:val="00193B70"/>
    <w:rsid w:val="00193C66"/>
    <w:rsid w:val="00193CDC"/>
    <w:rsid w:val="00193D78"/>
    <w:rsid w:val="00193FBB"/>
    <w:rsid w:val="001947F5"/>
    <w:rsid w:val="0019495C"/>
    <w:rsid w:val="001949E5"/>
    <w:rsid w:val="001949F6"/>
    <w:rsid w:val="00194F6A"/>
    <w:rsid w:val="00195227"/>
    <w:rsid w:val="001953AE"/>
    <w:rsid w:val="00195939"/>
    <w:rsid w:val="00195C82"/>
    <w:rsid w:val="00196225"/>
    <w:rsid w:val="00196344"/>
    <w:rsid w:val="00196392"/>
    <w:rsid w:val="00196859"/>
    <w:rsid w:val="00196D20"/>
    <w:rsid w:val="00196F19"/>
    <w:rsid w:val="00196F48"/>
    <w:rsid w:val="001971C4"/>
    <w:rsid w:val="00197238"/>
    <w:rsid w:val="001972AA"/>
    <w:rsid w:val="001973B6"/>
    <w:rsid w:val="001976D3"/>
    <w:rsid w:val="001979E9"/>
    <w:rsid w:val="00197A93"/>
    <w:rsid w:val="001A020E"/>
    <w:rsid w:val="001A0754"/>
    <w:rsid w:val="001A09FA"/>
    <w:rsid w:val="001A0C26"/>
    <w:rsid w:val="001A0FE1"/>
    <w:rsid w:val="001A13C3"/>
    <w:rsid w:val="001A18A9"/>
    <w:rsid w:val="001A19DB"/>
    <w:rsid w:val="001A1A57"/>
    <w:rsid w:val="001A1D13"/>
    <w:rsid w:val="001A1FDC"/>
    <w:rsid w:val="001A247D"/>
    <w:rsid w:val="001A271E"/>
    <w:rsid w:val="001A2D5B"/>
    <w:rsid w:val="001A2DED"/>
    <w:rsid w:val="001A2F6C"/>
    <w:rsid w:val="001A33B3"/>
    <w:rsid w:val="001A37C4"/>
    <w:rsid w:val="001A4649"/>
    <w:rsid w:val="001A4665"/>
    <w:rsid w:val="001A5298"/>
    <w:rsid w:val="001A59B8"/>
    <w:rsid w:val="001A5A21"/>
    <w:rsid w:val="001A5CD0"/>
    <w:rsid w:val="001A5F23"/>
    <w:rsid w:val="001A643C"/>
    <w:rsid w:val="001A64CD"/>
    <w:rsid w:val="001A66DF"/>
    <w:rsid w:val="001A75BC"/>
    <w:rsid w:val="001A76EE"/>
    <w:rsid w:val="001A7E44"/>
    <w:rsid w:val="001A7EFF"/>
    <w:rsid w:val="001B078F"/>
    <w:rsid w:val="001B08E0"/>
    <w:rsid w:val="001B0A14"/>
    <w:rsid w:val="001B0B1A"/>
    <w:rsid w:val="001B0B4E"/>
    <w:rsid w:val="001B0D26"/>
    <w:rsid w:val="001B0F57"/>
    <w:rsid w:val="001B174C"/>
    <w:rsid w:val="001B199E"/>
    <w:rsid w:val="001B227C"/>
    <w:rsid w:val="001B293B"/>
    <w:rsid w:val="001B2BD3"/>
    <w:rsid w:val="001B2C85"/>
    <w:rsid w:val="001B2F15"/>
    <w:rsid w:val="001B3120"/>
    <w:rsid w:val="001B33BE"/>
    <w:rsid w:val="001B3697"/>
    <w:rsid w:val="001B3EB6"/>
    <w:rsid w:val="001B45DA"/>
    <w:rsid w:val="001B4CDE"/>
    <w:rsid w:val="001B5071"/>
    <w:rsid w:val="001B50B8"/>
    <w:rsid w:val="001B5274"/>
    <w:rsid w:val="001B5496"/>
    <w:rsid w:val="001B5777"/>
    <w:rsid w:val="001B59EA"/>
    <w:rsid w:val="001B5B1C"/>
    <w:rsid w:val="001B5C36"/>
    <w:rsid w:val="001B5D2D"/>
    <w:rsid w:val="001B638E"/>
    <w:rsid w:val="001B6713"/>
    <w:rsid w:val="001B6B89"/>
    <w:rsid w:val="001B6D47"/>
    <w:rsid w:val="001B6D8B"/>
    <w:rsid w:val="001B702A"/>
    <w:rsid w:val="001B719B"/>
    <w:rsid w:val="001B7E6D"/>
    <w:rsid w:val="001B7E99"/>
    <w:rsid w:val="001C014B"/>
    <w:rsid w:val="001C032E"/>
    <w:rsid w:val="001C0391"/>
    <w:rsid w:val="001C0524"/>
    <w:rsid w:val="001C0755"/>
    <w:rsid w:val="001C0781"/>
    <w:rsid w:val="001C0C70"/>
    <w:rsid w:val="001C124D"/>
    <w:rsid w:val="001C1273"/>
    <w:rsid w:val="001C138D"/>
    <w:rsid w:val="001C1AB3"/>
    <w:rsid w:val="001C1CF2"/>
    <w:rsid w:val="001C20F8"/>
    <w:rsid w:val="001C2109"/>
    <w:rsid w:val="001C21FD"/>
    <w:rsid w:val="001C24B4"/>
    <w:rsid w:val="001C25F1"/>
    <w:rsid w:val="001C277B"/>
    <w:rsid w:val="001C2A9E"/>
    <w:rsid w:val="001C2D5F"/>
    <w:rsid w:val="001C31F1"/>
    <w:rsid w:val="001C3330"/>
    <w:rsid w:val="001C353E"/>
    <w:rsid w:val="001C3665"/>
    <w:rsid w:val="001C3779"/>
    <w:rsid w:val="001C385C"/>
    <w:rsid w:val="001C40E6"/>
    <w:rsid w:val="001C5155"/>
    <w:rsid w:val="001C577C"/>
    <w:rsid w:val="001C579F"/>
    <w:rsid w:val="001C5CE6"/>
    <w:rsid w:val="001C5E5E"/>
    <w:rsid w:val="001C5EEB"/>
    <w:rsid w:val="001C6878"/>
    <w:rsid w:val="001C6EEC"/>
    <w:rsid w:val="001C6F33"/>
    <w:rsid w:val="001C72BB"/>
    <w:rsid w:val="001C7B0E"/>
    <w:rsid w:val="001C7BBF"/>
    <w:rsid w:val="001C7C95"/>
    <w:rsid w:val="001C7D03"/>
    <w:rsid w:val="001D03EA"/>
    <w:rsid w:val="001D0428"/>
    <w:rsid w:val="001D0794"/>
    <w:rsid w:val="001D0AC6"/>
    <w:rsid w:val="001D160E"/>
    <w:rsid w:val="001D17A2"/>
    <w:rsid w:val="001D1A30"/>
    <w:rsid w:val="001D1AA4"/>
    <w:rsid w:val="001D1AD2"/>
    <w:rsid w:val="001D1FBC"/>
    <w:rsid w:val="001D20E0"/>
    <w:rsid w:val="001D2464"/>
    <w:rsid w:val="001D25D2"/>
    <w:rsid w:val="001D2E62"/>
    <w:rsid w:val="001D30A1"/>
    <w:rsid w:val="001D32D1"/>
    <w:rsid w:val="001D33F4"/>
    <w:rsid w:val="001D3FAA"/>
    <w:rsid w:val="001D415D"/>
    <w:rsid w:val="001D51D0"/>
    <w:rsid w:val="001D5307"/>
    <w:rsid w:val="001D53A5"/>
    <w:rsid w:val="001D5425"/>
    <w:rsid w:val="001D589F"/>
    <w:rsid w:val="001D59EC"/>
    <w:rsid w:val="001D5B44"/>
    <w:rsid w:val="001D5C79"/>
    <w:rsid w:val="001D5E2C"/>
    <w:rsid w:val="001D6000"/>
    <w:rsid w:val="001D6378"/>
    <w:rsid w:val="001D66D6"/>
    <w:rsid w:val="001D6790"/>
    <w:rsid w:val="001D67CB"/>
    <w:rsid w:val="001D7265"/>
    <w:rsid w:val="001D73E9"/>
    <w:rsid w:val="001D7C81"/>
    <w:rsid w:val="001E00D5"/>
    <w:rsid w:val="001E0182"/>
    <w:rsid w:val="001E04FA"/>
    <w:rsid w:val="001E095C"/>
    <w:rsid w:val="001E0FD6"/>
    <w:rsid w:val="001E11CA"/>
    <w:rsid w:val="001E211C"/>
    <w:rsid w:val="001E220F"/>
    <w:rsid w:val="001E28BE"/>
    <w:rsid w:val="001E2D1C"/>
    <w:rsid w:val="001E2D72"/>
    <w:rsid w:val="001E2F69"/>
    <w:rsid w:val="001E32BB"/>
    <w:rsid w:val="001E4202"/>
    <w:rsid w:val="001E43D6"/>
    <w:rsid w:val="001E4B91"/>
    <w:rsid w:val="001E5458"/>
    <w:rsid w:val="001E549C"/>
    <w:rsid w:val="001E56D8"/>
    <w:rsid w:val="001E5797"/>
    <w:rsid w:val="001E5908"/>
    <w:rsid w:val="001E616D"/>
    <w:rsid w:val="001E6AAA"/>
    <w:rsid w:val="001E6AC5"/>
    <w:rsid w:val="001E6CE8"/>
    <w:rsid w:val="001E6D78"/>
    <w:rsid w:val="001E6EDE"/>
    <w:rsid w:val="001E6FCF"/>
    <w:rsid w:val="001E7500"/>
    <w:rsid w:val="001E7592"/>
    <w:rsid w:val="001E75A1"/>
    <w:rsid w:val="001E7AAF"/>
    <w:rsid w:val="001E7C85"/>
    <w:rsid w:val="001E7E4D"/>
    <w:rsid w:val="001F0237"/>
    <w:rsid w:val="001F02DD"/>
    <w:rsid w:val="001F06C8"/>
    <w:rsid w:val="001F08EC"/>
    <w:rsid w:val="001F0AF2"/>
    <w:rsid w:val="001F0BCB"/>
    <w:rsid w:val="001F126E"/>
    <w:rsid w:val="001F15CB"/>
    <w:rsid w:val="001F16B5"/>
    <w:rsid w:val="001F16F9"/>
    <w:rsid w:val="001F19C1"/>
    <w:rsid w:val="001F20D2"/>
    <w:rsid w:val="001F37FC"/>
    <w:rsid w:val="001F3CA4"/>
    <w:rsid w:val="001F3FA0"/>
    <w:rsid w:val="001F40AA"/>
    <w:rsid w:val="001F4958"/>
    <w:rsid w:val="001F56E8"/>
    <w:rsid w:val="001F5797"/>
    <w:rsid w:val="001F57C2"/>
    <w:rsid w:val="001F57F6"/>
    <w:rsid w:val="001F597F"/>
    <w:rsid w:val="001F6635"/>
    <w:rsid w:val="001F67F4"/>
    <w:rsid w:val="001F6A0A"/>
    <w:rsid w:val="001F6DD3"/>
    <w:rsid w:val="001F6E77"/>
    <w:rsid w:val="001F7138"/>
    <w:rsid w:val="001F752D"/>
    <w:rsid w:val="001F791F"/>
    <w:rsid w:val="001F7BFD"/>
    <w:rsid w:val="001F7DA9"/>
    <w:rsid w:val="001F7DD3"/>
    <w:rsid w:val="001F7F77"/>
    <w:rsid w:val="002000F6"/>
    <w:rsid w:val="002002D7"/>
    <w:rsid w:val="00200C74"/>
    <w:rsid w:val="00200DBC"/>
    <w:rsid w:val="002014E6"/>
    <w:rsid w:val="002019EC"/>
    <w:rsid w:val="00201C16"/>
    <w:rsid w:val="00201E23"/>
    <w:rsid w:val="00201EAB"/>
    <w:rsid w:val="002022A1"/>
    <w:rsid w:val="00202310"/>
    <w:rsid w:val="002023AD"/>
    <w:rsid w:val="0020244C"/>
    <w:rsid w:val="00202B5C"/>
    <w:rsid w:val="00202DAB"/>
    <w:rsid w:val="002031A5"/>
    <w:rsid w:val="00203601"/>
    <w:rsid w:val="0020444E"/>
    <w:rsid w:val="00204531"/>
    <w:rsid w:val="00204687"/>
    <w:rsid w:val="002049EC"/>
    <w:rsid w:val="00204A70"/>
    <w:rsid w:val="00204E7F"/>
    <w:rsid w:val="002053FB"/>
    <w:rsid w:val="002054E4"/>
    <w:rsid w:val="002054EE"/>
    <w:rsid w:val="00205F5B"/>
    <w:rsid w:val="0020655B"/>
    <w:rsid w:val="00206884"/>
    <w:rsid w:val="00206C26"/>
    <w:rsid w:val="00206D3E"/>
    <w:rsid w:val="00207B15"/>
    <w:rsid w:val="0021017D"/>
    <w:rsid w:val="00210407"/>
    <w:rsid w:val="00210C09"/>
    <w:rsid w:val="00210D66"/>
    <w:rsid w:val="0021111E"/>
    <w:rsid w:val="00211158"/>
    <w:rsid w:val="0021142A"/>
    <w:rsid w:val="00211763"/>
    <w:rsid w:val="00211A3C"/>
    <w:rsid w:val="00212024"/>
    <w:rsid w:val="0021206A"/>
    <w:rsid w:val="0021233F"/>
    <w:rsid w:val="002126DA"/>
    <w:rsid w:val="00212BED"/>
    <w:rsid w:val="00212DDD"/>
    <w:rsid w:val="00212F5A"/>
    <w:rsid w:val="00212FCA"/>
    <w:rsid w:val="0021329F"/>
    <w:rsid w:val="0021347C"/>
    <w:rsid w:val="0021384C"/>
    <w:rsid w:val="002138BE"/>
    <w:rsid w:val="00213D07"/>
    <w:rsid w:val="00213DE8"/>
    <w:rsid w:val="00214126"/>
    <w:rsid w:val="0021466D"/>
    <w:rsid w:val="0021468B"/>
    <w:rsid w:val="0021468C"/>
    <w:rsid w:val="0021495B"/>
    <w:rsid w:val="00214B86"/>
    <w:rsid w:val="00214F9A"/>
    <w:rsid w:val="00215076"/>
    <w:rsid w:val="00215133"/>
    <w:rsid w:val="00215527"/>
    <w:rsid w:val="00215B9E"/>
    <w:rsid w:val="002161F5"/>
    <w:rsid w:val="00216222"/>
    <w:rsid w:val="00216241"/>
    <w:rsid w:val="002167A8"/>
    <w:rsid w:val="002169A0"/>
    <w:rsid w:val="00216AAB"/>
    <w:rsid w:val="00216FD9"/>
    <w:rsid w:val="002175D6"/>
    <w:rsid w:val="00217850"/>
    <w:rsid w:val="00217A54"/>
    <w:rsid w:val="00217B94"/>
    <w:rsid w:val="0022024F"/>
    <w:rsid w:val="0022041B"/>
    <w:rsid w:val="002205E9"/>
    <w:rsid w:val="00220D06"/>
    <w:rsid w:val="002211E2"/>
    <w:rsid w:val="0022120F"/>
    <w:rsid w:val="00221A84"/>
    <w:rsid w:val="00221AFF"/>
    <w:rsid w:val="00221D02"/>
    <w:rsid w:val="002221D7"/>
    <w:rsid w:val="0022237E"/>
    <w:rsid w:val="00222549"/>
    <w:rsid w:val="002227F5"/>
    <w:rsid w:val="00222CAD"/>
    <w:rsid w:val="00222D5E"/>
    <w:rsid w:val="00222DA5"/>
    <w:rsid w:val="00223130"/>
    <w:rsid w:val="002231C1"/>
    <w:rsid w:val="00223606"/>
    <w:rsid w:val="002236E9"/>
    <w:rsid w:val="002238E3"/>
    <w:rsid w:val="0022402E"/>
    <w:rsid w:val="0022420E"/>
    <w:rsid w:val="002247F2"/>
    <w:rsid w:val="002249C2"/>
    <w:rsid w:val="00225734"/>
    <w:rsid w:val="00225950"/>
    <w:rsid w:val="00225E3C"/>
    <w:rsid w:val="0022604C"/>
    <w:rsid w:val="0022684D"/>
    <w:rsid w:val="0022702B"/>
    <w:rsid w:val="002270CE"/>
    <w:rsid w:val="0022723E"/>
    <w:rsid w:val="00227B68"/>
    <w:rsid w:val="002305D8"/>
    <w:rsid w:val="00230766"/>
    <w:rsid w:val="0023089B"/>
    <w:rsid w:val="00230FE7"/>
    <w:rsid w:val="00231E6D"/>
    <w:rsid w:val="002326CE"/>
    <w:rsid w:val="0023296D"/>
    <w:rsid w:val="002329BE"/>
    <w:rsid w:val="002331BB"/>
    <w:rsid w:val="00233387"/>
    <w:rsid w:val="0023354B"/>
    <w:rsid w:val="00233C08"/>
    <w:rsid w:val="00233D39"/>
    <w:rsid w:val="002343E1"/>
    <w:rsid w:val="00234465"/>
    <w:rsid w:val="00235147"/>
    <w:rsid w:val="00235A8F"/>
    <w:rsid w:val="0023668E"/>
    <w:rsid w:val="00236900"/>
    <w:rsid w:val="00236D81"/>
    <w:rsid w:val="00236ED9"/>
    <w:rsid w:val="00236FEB"/>
    <w:rsid w:val="0023715B"/>
    <w:rsid w:val="0023719B"/>
    <w:rsid w:val="0023745E"/>
    <w:rsid w:val="00237A81"/>
    <w:rsid w:val="00237E93"/>
    <w:rsid w:val="00237F8F"/>
    <w:rsid w:val="00240484"/>
    <w:rsid w:val="00240864"/>
    <w:rsid w:val="00240B85"/>
    <w:rsid w:val="002411F2"/>
    <w:rsid w:val="0024122B"/>
    <w:rsid w:val="002412F1"/>
    <w:rsid w:val="00241582"/>
    <w:rsid w:val="002417CC"/>
    <w:rsid w:val="002418C0"/>
    <w:rsid w:val="00241EFA"/>
    <w:rsid w:val="00242891"/>
    <w:rsid w:val="00242A9B"/>
    <w:rsid w:val="00242AA7"/>
    <w:rsid w:val="00243285"/>
    <w:rsid w:val="002437F0"/>
    <w:rsid w:val="00243CEF"/>
    <w:rsid w:val="00243DA2"/>
    <w:rsid w:val="00243E4C"/>
    <w:rsid w:val="00243FF3"/>
    <w:rsid w:val="0024434D"/>
    <w:rsid w:val="002447A4"/>
    <w:rsid w:val="002447B9"/>
    <w:rsid w:val="00244872"/>
    <w:rsid w:val="00245051"/>
    <w:rsid w:val="002450E0"/>
    <w:rsid w:val="00245235"/>
    <w:rsid w:val="00245B3C"/>
    <w:rsid w:val="00245E43"/>
    <w:rsid w:val="0024644F"/>
    <w:rsid w:val="00246841"/>
    <w:rsid w:val="00246C68"/>
    <w:rsid w:val="002477C1"/>
    <w:rsid w:val="00250D19"/>
    <w:rsid w:val="0025101F"/>
    <w:rsid w:val="00251748"/>
    <w:rsid w:val="00251A04"/>
    <w:rsid w:val="00251BEB"/>
    <w:rsid w:val="002520EE"/>
    <w:rsid w:val="00252381"/>
    <w:rsid w:val="002525E1"/>
    <w:rsid w:val="00252BD6"/>
    <w:rsid w:val="00252D3D"/>
    <w:rsid w:val="00252DCE"/>
    <w:rsid w:val="00252F9A"/>
    <w:rsid w:val="002534F2"/>
    <w:rsid w:val="002535E0"/>
    <w:rsid w:val="00253ABE"/>
    <w:rsid w:val="00253CD2"/>
    <w:rsid w:val="00253E6C"/>
    <w:rsid w:val="0025436E"/>
    <w:rsid w:val="00254619"/>
    <w:rsid w:val="00254D5D"/>
    <w:rsid w:val="002555A9"/>
    <w:rsid w:val="00255D59"/>
    <w:rsid w:val="00256465"/>
    <w:rsid w:val="00256871"/>
    <w:rsid w:val="00256F06"/>
    <w:rsid w:val="00256F0B"/>
    <w:rsid w:val="0025715D"/>
    <w:rsid w:val="00257289"/>
    <w:rsid w:val="00257962"/>
    <w:rsid w:val="00257B87"/>
    <w:rsid w:val="00257E98"/>
    <w:rsid w:val="00260082"/>
    <w:rsid w:val="002602BC"/>
    <w:rsid w:val="002602F0"/>
    <w:rsid w:val="0026036A"/>
    <w:rsid w:val="002606D9"/>
    <w:rsid w:val="002607A7"/>
    <w:rsid w:val="0026098D"/>
    <w:rsid w:val="00260CF2"/>
    <w:rsid w:val="002615A5"/>
    <w:rsid w:val="0026165B"/>
    <w:rsid w:val="00261B0A"/>
    <w:rsid w:val="00262097"/>
    <w:rsid w:val="00262606"/>
    <w:rsid w:val="00262953"/>
    <w:rsid w:val="00262A00"/>
    <w:rsid w:val="00264462"/>
    <w:rsid w:val="00264766"/>
    <w:rsid w:val="002648CF"/>
    <w:rsid w:val="00264A6F"/>
    <w:rsid w:val="00265280"/>
    <w:rsid w:val="00265A79"/>
    <w:rsid w:val="00265D24"/>
    <w:rsid w:val="00265F1D"/>
    <w:rsid w:val="00266256"/>
    <w:rsid w:val="002663E2"/>
    <w:rsid w:val="0026661E"/>
    <w:rsid w:val="00266810"/>
    <w:rsid w:val="00267474"/>
    <w:rsid w:val="00267855"/>
    <w:rsid w:val="00267D31"/>
    <w:rsid w:val="00267D45"/>
    <w:rsid w:val="00267E5E"/>
    <w:rsid w:val="002700B0"/>
    <w:rsid w:val="002700E1"/>
    <w:rsid w:val="00270518"/>
    <w:rsid w:val="00271010"/>
    <w:rsid w:val="002714FF"/>
    <w:rsid w:val="00271B4E"/>
    <w:rsid w:val="00271C2E"/>
    <w:rsid w:val="00271CCF"/>
    <w:rsid w:val="00271CF5"/>
    <w:rsid w:val="00271F12"/>
    <w:rsid w:val="002721E0"/>
    <w:rsid w:val="00272326"/>
    <w:rsid w:val="002728DB"/>
    <w:rsid w:val="00272C1D"/>
    <w:rsid w:val="00272C2B"/>
    <w:rsid w:val="002734F9"/>
    <w:rsid w:val="002739B1"/>
    <w:rsid w:val="00273D14"/>
    <w:rsid w:val="00273DF8"/>
    <w:rsid w:val="00273F0B"/>
    <w:rsid w:val="00273F6C"/>
    <w:rsid w:val="002744B8"/>
    <w:rsid w:val="0027462C"/>
    <w:rsid w:val="0027468E"/>
    <w:rsid w:val="00275662"/>
    <w:rsid w:val="002758BE"/>
    <w:rsid w:val="00275CCB"/>
    <w:rsid w:val="00275DB0"/>
    <w:rsid w:val="00275E8A"/>
    <w:rsid w:val="00276458"/>
    <w:rsid w:val="00276E0E"/>
    <w:rsid w:val="00276F09"/>
    <w:rsid w:val="00277597"/>
    <w:rsid w:val="00277A66"/>
    <w:rsid w:val="00277E20"/>
    <w:rsid w:val="00277E3B"/>
    <w:rsid w:val="00277FC3"/>
    <w:rsid w:val="0028012C"/>
    <w:rsid w:val="00280552"/>
    <w:rsid w:val="00280FA2"/>
    <w:rsid w:val="002813B4"/>
    <w:rsid w:val="0028144C"/>
    <w:rsid w:val="002814A6"/>
    <w:rsid w:val="002815C8"/>
    <w:rsid w:val="002816FB"/>
    <w:rsid w:val="00281A0C"/>
    <w:rsid w:val="00281B1B"/>
    <w:rsid w:val="00281E03"/>
    <w:rsid w:val="00281E4D"/>
    <w:rsid w:val="0028222F"/>
    <w:rsid w:val="00282609"/>
    <w:rsid w:val="00282829"/>
    <w:rsid w:val="00282BCD"/>
    <w:rsid w:val="00282BFF"/>
    <w:rsid w:val="00282C00"/>
    <w:rsid w:val="00282F19"/>
    <w:rsid w:val="00282FAB"/>
    <w:rsid w:val="0028397A"/>
    <w:rsid w:val="002842A3"/>
    <w:rsid w:val="002844AC"/>
    <w:rsid w:val="002846F0"/>
    <w:rsid w:val="002847A7"/>
    <w:rsid w:val="00284C4E"/>
    <w:rsid w:val="0028505D"/>
    <w:rsid w:val="002850CB"/>
    <w:rsid w:val="002852DB"/>
    <w:rsid w:val="00285623"/>
    <w:rsid w:val="0028564F"/>
    <w:rsid w:val="0028579B"/>
    <w:rsid w:val="002857E2"/>
    <w:rsid w:val="00285A3B"/>
    <w:rsid w:val="00285BA0"/>
    <w:rsid w:val="002860F9"/>
    <w:rsid w:val="0028664C"/>
    <w:rsid w:val="00286B57"/>
    <w:rsid w:val="00286B95"/>
    <w:rsid w:val="002871E0"/>
    <w:rsid w:val="00287671"/>
    <w:rsid w:val="00287AFC"/>
    <w:rsid w:val="002901C3"/>
    <w:rsid w:val="00290C49"/>
    <w:rsid w:val="00291084"/>
    <w:rsid w:val="00291475"/>
    <w:rsid w:val="002915DB"/>
    <w:rsid w:val="00291B14"/>
    <w:rsid w:val="00291B29"/>
    <w:rsid w:val="002925FD"/>
    <w:rsid w:val="00292894"/>
    <w:rsid w:val="002928A6"/>
    <w:rsid w:val="00292B3E"/>
    <w:rsid w:val="00292BD5"/>
    <w:rsid w:val="00293444"/>
    <w:rsid w:val="0029420A"/>
    <w:rsid w:val="00294316"/>
    <w:rsid w:val="002949E2"/>
    <w:rsid w:val="00294A88"/>
    <w:rsid w:val="00294B4A"/>
    <w:rsid w:val="00294E79"/>
    <w:rsid w:val="00295061"/>
    <w:rsid w:val="002953FC"/>
    <w:rsid w:val="00295751"/>
    <w:rsid w:val="00295A2F"/>
    <w:rsid w:val="00296639"/>
    <w:rsid w:val="002967EA"/>
    <w:rsid w:val="00296B2C"/>
    <w:rsid w:val="00296C10"/>
    <w:rsid w:val="00296CF0"/>
    <w:rsid w:val="00296CF6"/>
    <w:rsid w:val="002A01CF"/>
    <w:rsid w:val="002A0E02"/>
    <w:rsid w:val="002A14D2"/>
    <w:rsid w:val="002A16DC"/>
    <w:rsid w:val="002A19C9"/>
    <w:rsid w:val="002A1A29"/>
    <w:rsid w:val="002A225C"/>
    <w:rsid w:val="002A2297"/>
    <w:rsid w:val="002A22AB"/>
    <w:rsid w:val="002A2325"/>
    <w:rsid w:val="002A255A"/>
    <w:rsid w:val="002A289C"/>
    <w:rsid w:val="002A29C2"/>
    <w:rsid w:val="002A2A90"/>
    <w:rsid w:val="002A2F33"/>
    <w:rsid w:val="002A31EF"/>
    <w:rsid w:val="002A328D"/>
    <w:rsid w:val="002A3FAE"/>
    <w:rsid w:val="002A453A"/>
    <w:rsid w:val="002A4810"/>
    <w:rsid w:val="002A4E01"/>
    <w:rsid w:val="002A558F"/>
    <w:rsid w:val="002A56D1"/>
    <w:rsid w:val="002A58F1"/>
    <w:rsid w:val="002A599D"/>
    <w:rsid w:val="002A59B7"/>
    <w:rsid w:val="002A6106"/>
    <w:rsid w:val="002A66A5"/>
    <w:rsid w:val="002A6BBE"/>
    <w:rsid w:val="002A6F4D"/>
    <w:rsid w:val="002A742C"/>
    <w:rsid w:val="002A77B3"/>
    <w:rsid w:val="002A7A11"/>
    <w:rsid w:val="002A7DC3"/>
    <w:rsid w:val="002B0505"/>
    <w:rsid w:val="002B0557"/>
    <w:rsid w:val="002B05BC"/>
    <w:rsid w:val="002B06E0"/>
    <w:rsid w:val="002B0945"/>
    <w:rsid w:val="002B0A4F"/>
    <w:rsid w:val="002B0ACD"/>
    <w:rsid w:val="002B0AE3"/>
    <w:rsid w:val="002B0B43"/>
    <w:rsid w:val="002B0C55"/>
    <w:rsid w:val="002B0D9B"/>
    <w:rsid w:val="002B12F4"/>
    <w:rsid w:val="002B191E"/>
    <w:rsid w:val="002B1D7F"/>
    <w:rsid w:val="002B2A1E"/>
    <w:rsid w:val="002B2E2A"/>
    <w:rsid w:val="002B3185"/>
    <w:rsid w:val="002B3229"/>
    <w:rsid w:val="002B415C"/>
    <w:rsid w:val="002B4D1E"/>
    <w:rsid w:val="002B4D23"/>
    <w:rsid w:val="002B5E84"/>
    <w:rsid w:val="002B5EF8"/>
    <w:rsid w:val="002B635E"/>
    <w:rsid w:val="002B6395"/>
    <w:rsid w:val="002B659C"/>
    <w:rsid w:val="002B66B9"/>
    <w:rsid w:val="002B6810"/>
    <w:rsid w:val="002B6832"/>
    <w:rsid w:val="002B6C2A"/>
    <w:rsid w:val="002B6E72"/>
    <w:rsid w:val="002B759D"/>
    <w:rsid w:val="002B7638"/>
    <w:rsid w:val="002B76C4"/>
    <w:rsid w:val="002B78A0"/>
    <w:rsid w:val="002B79B0"/>
    <w:rsid w:val="002B7B32"/>
    <w:rsid w:val="002B7F11"/>
    <w:rsid w:val="002C0119"/>
    <w:rsid w:val="002C033A"/>
    <w:rsid w:val="002C04A4"/>
    <w:rsid w:val="002C0B0F"/>
    <w:rsid w:val="002C0D5A"/>
    <w:rsid w:val="002C1132"/>
    <w:rsid w:val="002C1159"/>
    <w:rsid w:val="002C1343"/>
    <w:rsid w:val="002C143D"/>
    <w:rsid w:val="002C159A"/>
    <w:rsid w:val="002C1B55"/>
    <w:rsid w:val="002C217B"/>
    <w:rsid w:val="002C2697"/>
    <w:rsid w:val="002C2707"/>
    <w:rsid w:val="002C295B"/>
    <w:rsid w:val="002C339E"/>
    <w:rsid w:val="002C37F9"/>
    <w:rsid w:val="002C3F1B"/>
    <w:rsid w:val="002C3F96"/>
    <w:rsid w:val="002C41A8"/>
    <w:rsid w:val="002C4239"/>
    <w:rsid w:val="002C4446"/>
    <w:rsid w:val="002C4E27"/>
    <w:rsid w:val="002C5011"/>
    <w:rsid w:val="002C54F1"/>
    <w:rsid w:val="002C5CD9"/>
    <w:rsid w:val="002C68F0"/>
    <w:rsid w:val="002C6E42"/>
    <w:rsid w:val="002C715E"/>
    <w:rsid w:val="002C723D"/>
    <w:rsid w:val="002C7570"/>
    <w:rsid w:val="002C7966"/>
    <w:rsid w:val="002C7D08"/>
    <w:rsid w:val="002D0436"/>
    <w:rsid w:val="002D045A"/>
    <w:rsid w:val="002D07E7"/>
    <w:rsid w:val="002D08E1"/>
    <w:rsid w:val="002D0993"/>
    <w:rsid w:val="002D0EC2"/>
    <w:rsid w:val="002D121A"/>
    <w:rsid w:val="002D151A"/>
    <w:rsid w:val="002D1690"/>
    <w:rsid w:val="002D1820"/>
    <w:rsid w:val="002D198A"/>
    <w:rsid w:val="002D1C7F"/>
    <w:rsid w:val="002D25C4"/>
    <w:rsid w:val="002D2800"/>
    <w:rsid w:val="002D2B7A"/>
    <w:rsid w:val="002D3DB6"/>
    <w:rsid w:val="002D4137"/>
    <w:rsid w:val="002D457B"/>
    <w:rsid w:val="002D4908"/>
    <w:rsid w:val="002D49AB"/>
    <w:rsid w:val="002D4A08"/>
    <w:rsid w:val="002D4BEC"/>
    <w:rsid w:val="002D4F5E"/>
    <w:rsid w:val="002D53EE"/>
    <w:rsid w:val="002D5742"/>
    <w:rsid w:val="002D5936"/>
    <w:rsid w:val="002D5EE7"/>
    <w:rsid w:val="002D6717"/>
    <w:rsid w:val="002D673B"/>
    <w:rsid w:val="002D6C89"/>
    <w:rsid w:val="002D6FA4"/>
    <w:rsid w:val="002D788E"/>
    <w:rsid w:val="002D7B77"/>
    <w:rsid w:val="002D7E9A"/>
    <w:rsid w:val="002E00D4"/>
    <w:rsid w:val="002E0709"/>
    <w:rsid w:val="002E09A2"/>
    <w:rsid w:val="002E0D59"/>
    <w:rsid w:val="002E1351"/>
    <w:rsid w:val="002E1405"/>
    <w:rsid w:val="002E1A07"/>
    <w:rsid w:val="002E1D27"/>
    <w:rsid w:val="002E239C"/>
    <w:rsid w:val="002E248A"/>
    <w:rsid w:val="002E27C8"/>
    <w:rsid w:val="002E290B"/>
    <w:rsid w:val="002E2920"/>
    <w:rsid w:val="002E2992"/>
    <w:rsid w:val="002E2BFD"/>
    <w:rsid w:val="002E2E1E"/>
    <w:rsid w:val="002E2EC6"/>
    <w:rsid w:val="002E2EE9"/>
    <w:rsid w:val="002E34A4"/>
    <w:rsid w:val="002E357F"/>
    <w:rsid w:val="002E3690"/>
    <w:rsid w:val="002E3C07"/>
    <w:rsid w:val="002E3D24"/>
    <w:rsid w:val="002E3EAE"/>
    <w:rsid w:val="002E4A18"/>
    <w:rsid w:val="002E4A4A"/>
    <w:rsid w:val="002E4C7A"/>
    <w:rsid w:val="002E4DD6"/>
    <w:rsid w:val="002E508C"/>
    <w:rsid w:val="002E5631"/>
    <w:rsid w:val="002E5662"/>
    <w:rsid w:val="002E579F"/>
    <w:rsid w:val="002E5C36"/>
    <w:rsid w:val="002E5E1F"/>
    <w:rsid w:val="002E5EFD"/>
    <w:rsid w:val="002E62C1"/>
    <w:rsid w:val="002E638C"/>
    <w:rsid w:val="002E6991"/>
    <w:rsid w:val="002E6A09"/>
    <w:rsid w:val="002E6FD3"/>
    <w:rsid w:val="002E72D6"/>
    <w:rsid w:val="002E7A0A"/>
    <w:rsid w:val="002E7C3F"/>
    <w:rsid w:val="002F018F"/>
    <w:rsid w:val="002F019F"/>
    <w:rsid w:val="002F04ED"/>
    <w:rsid w:val="002F0C81"/>
    <w:rsid w:val="002F0D1B"/>
    <w:rsid w:val="002F0D91"/>
    <w:rsid w:val="002F115C"/>
    <w:rsid w:val="002F120A"/>
    <w:rsid w:val="002F14EC"/>
    <w:rsid w:val="002F1519"/>
    <w:rsid w:val="002F1D28"/>
    <w:rsid w:val="002F1D9A"/>
    <w:rsid w:val="002F1E78"/>
    <w:rsid w:val="002F2310"/>
    <w:rsid w:val="002F26F9"/>
    <w:rsid w:val="002F29CD"/>
    <w:rsid w:val="002F2A6D"/>
    <w:rsid w:val="002F2D6B"/>
    <w:rsid w:val="002F2DB8"/>
    <w:rsid w:val="002F30A0"/>
    <w:rsid w:val="002F311A"/>
    <w:rsid w:val="002F40B3"/>
    <w:rsid w:val="002F4CB2"/>
    <w:rsid w:val="002F4E3A"/>
    <w:rsid w:val="002F50FB"/>
    <w:rsid w:val="002F52B1"/>
    <w:rsid w:val="002F5600"/>
    <w:rsid w:val="002F56B4"/>
    <w:rsid w:val="002F5AE6"/>
    <w:rsid w:val="002F5F75"/>
    <w:rsid w:val="002F6189"/>
    <w:rsid w:val="002F651F"/>
    <w:rsid w:val="002F65DE"/>
    <w:rsid w:val="002F6708"/>
    <w:rsid w:val="002F6778"/>
    <w:rsid w:val="002F6C93"/>
    <w:rsid w:val="002F6CD4"/>
    <w:rsid w:val="002F6D3F"/>
    <w:rsid w:val="002F6E54"/>
    <w:rsid w:val="002F6EB8"/>
    <w:rsid w:val="002F74C1"/>
    <w:rsid w:val="002F7FFE"/>
    <w:rsid w:val="0030014A"/>
    <w:rsid w:val="00300287"/>
    <w:rsid w:val="0030033F"/>
    <w:rsid w:val="00300433"/>
    <w:rsid w:val="00300DCC"/>
    <w:rsid w:val="00300E68"/>
    <w:rsid w:val="00301004"/>
    <w:rsid w:val="003016E2"/>
    <w:rsid w:val="003018AB"/>
    <w:rsid w:val="003019F5"/>
    <w:rsid w:val="003020C7"/>
    <w:rsid w:val="00302198"/>
    <w:rsid w:val="00302440"/>
    <w:rsid w:val="0030259E"/>
    <w:rsid w:val="00302CA8"/>
    <w:rsid w:val="00302DA6"/>
    <w:rsid w:val="003031E9"/>
    <w:rsid w:val="0030332B"/>
    <w:rsid w:val="00303606"/>
    <w:rsid w:val="003039B3"/>
    <w:rsid w:val="00303A64"/>
    <w:rsid w:val="00304446"/>
    <w:rsid w:val="003044D2"/>
    <w:rsid w:val="00304883"/>
    <w:rsid w:val="0030492A"/>
    <w:rsid w:val="00304AD3"/>
    <w:rsid w:val="00305178"/>
    <w:rsid w:val="003052A7"/>
    <w:rsid w:val="003062D5"/>
    <w:rsid w:val="003064A6"/>
    <w:rsid w:val="0030653C"/>
    <w:rsid w:val="00306988"/>
    <w:rsid w:val="00306CEC"/>
    <w:rsid w:val="00306E82"/>
    <w:rsid w:val="00307157"/>
    <w:rsid w:val="0030769A"/>
    <w:rsid w:val="003078BE"/>
    <w:rsid w:val="00307BB6"/>
    <w:rsid w:val="00307CCC"/>
    <w:rsid w:val="00307D16"/>
    <w:rsid w:val="00307D65"/>
    <w:rsid w:val="00307DE2"/>
    <w:rsid w:val="00310298"/>
    <w:rsid w:val="0031039E"/>
    <w:rsid w:val="003103D1"/>
    <w:rsid w:val="0031050D"/>
    <w:rsid w:val="00310887"/>
    <w:rsid w:val="00310AEF"/>
    <w:rsid w:val="00310E7C"/>
    <w:rsid w:val="00311166"/>
    <w:rsid w:val="0031125E"/>
    <w:rsid w:val="0031128F"/>
    <w:rsid w:val="0031172B"/>
    <w:rsid w:val="00312F3F"/>
    <w:rsid w:val="00313535"/>
    <w:rsid w:val="00313982"/>
    <w:rsid w:val="003139F7"/>
    <w:rsid w:val="00313C42"/>
    <w:rsid w:val="00314187"/>
    <w:rsid w:val="003141B1"/>
    <w:rsid w:val="0031422F"/>
    <w:rsid w:val="0031480A"/>
    <w:rsid w:val="00314A78"/>
    <w:rsid w:val="00314FB6"/>
    <w:rsid w:val="003155D7"/>
    <w:rsid w:val="00315BAB"/>
    <w:rsid w:val="00315CC0"/>
    <w:rsid w:val="00315CCE"/>
    <w:rsid w:val="00315EC7"/>
    <w:rsid w:val="00316344"/>
    <w:rsid w:val="00316A9E"/>
    <w:rsid w:val="00316C12"/>
    <w:rsid w:val="00316CF4"/>
    <w:rsid w:val="003177FB"/>
    <w:rsid w:val="0031789D"/>
    <w:rsid w:val="003178D8"/>
    <w:rsid w:val="003179A2"/>
    <w:rsid w:val="00317E27"/>
    <w:rsid w:val="00317E8A"/>
    <w:rsid w:val="00317F04"/>
    <w:rsid w:val="00317F3F"/>
    <w:rsid w:val="00317FAE"/>
    <w:rsid w:val="003200EE"/>
    <w:rsid w:val="003201CB"/>
    <w:rsid w:val="003203C4"/>
    <w:rsid w:val="003208A9"/>
    <w:rsid w:val="00320C55"/>
    <w:rsid w:val="00320DA0"/>
    <w:rsid w:val="00320F70"/>
    <w:rsid w:val="0032105E"/>
    <w:rsid w:val="003218BC"/>
    <w:rsid w:val="0032193C"/>
    <w:rsid w:val="00321B74"/>
    <w:rsid w:val="00321E2C"/>
    <w:rsid w:val="00322011"/>
    <w:rsid w:val="003220E4"/>
    <w:rsid w:val="003222F0"/>
    <w:rsid w:val="00322545"/>
    <w:rsid w:val="003226E4"/>
    <w:rsid w:val="00322AB8"/>
    <w:rsid w:val="00322B1F"/>
    <w:rsid w:val="00322B5B"/>
    <w:rsid w:val="00322BED"/>
    <w:rsid w:val="00323071"/>
    <w:rsid w:val="00323A0B"/>
    <w:rsid w:val="00323CBF"/>
    <w:rsid w:val="00323D97"/>
    <w:rsid w:val="00323E31"/>
    <w:rsid w:val="00323E8D"/>
    <w:rsid w:val="003241F7"/>
    <w:rsid w:val="003245E5"/>
    <w:rsid w:val="0032483D"/>
    <w:rsid w:val="00324E0D"/>
    <w:rsid w:val="00324F55"/>
    <w:rsid w:val="00325E8A"/>
    <w:rsid w:val="00326A81"/>
    <w:rsid w:val="00326CFC"/>
    <w:rsid w:val="0032718C"/>
    <w:rsid w:val="0032730A"/>
    <w:rsid w:val="00327E90"/>
    <w:rsid w:val="00330171"/>
    <w:rsid w:val="00331DBC"/>
    <w:rsid w:val="00331E45"/>
    <w:rsid w:val="00332B5C"/>
    <w:rsid w:val="0033387A"/>
    <w:rsid w:val="0033393D"/>
    <w:rsid w:val="00333ACD"/>
    <w:rsid w:val="00333C44"/>
    <w:rsid w:val="00334151"/>
    <w:rsid w:val="00334180"/>
    <w:rsid w:val="003342DF"/>
    <w:rsid w:val="003343B1"/>
    <w:rsid w:val="00334DE7"/>
    <w:rsid w:val="00335099"/>
    <w:rsid w:val="00335215"/>
    <w:rsid w:val="0033571D"/>
    <w:rsid w:val="003360E6"/>
    <w:rsid w:val="003361E2"/>
    <w:rsid w:val="00336333"/>
    <w:rsid w:val="0033647D"/>
    <w:rsid w:val="003367B8"/>
    <w:rsid w:val="00336B8C"/>
    <w:rsid w:val="00336B8F"/>
    <w:rsid w:val="0033723E"/>
    <w:rsid w:val="0033769E"/>
    <w:rsid w:val="0033797E"/>
    <w:rsid w:val="00337DD9"/>
    <w:rsid w:val="003407AD"/>
    <w:rsid w:val="00340805"/>
    <w:rsid w:val="00340D55"/>
    <w:rsid w:val="00340FCD"/>
    <w:rsid w:val="00341392"/>
    <w:rsid w:val="00341B9A"/>
    <w:rsid w:val="00341CAB"/>
    <w:rsid w:val="00341DD3"/>
    <w:rsid w:val="0034250F"/>
    <w:rsid w:val="00342595"/>
    <w:rsid w:val="00342CCF"/>
    <w:rsid w:val="0034303F"/>
    <w:rsid w:val="00343067"/>
    <w:rsid w:val="00343118"/>
    <w:rsid w:val="00343366"/>
    <w:rsid w:val="003433D6"/>
    <w:rsid w:val="0034350B"/>
    <w:rsid w:val="0034396E"/>
    <w:rsid w:val="00343AA2"/>
    <w:rsid w:val="00343E13"/>
    <w:rsid w:val="00344360"/>
    <w:rsid w:val="00344854"/>
    <w:rsid w:val="00344A19"/>
    <w:rsid w:val="00345001"/>
    <w:rsid w:val="003453C2"/>
    <w:rsid w:val="00345A3B"/>
    <w:rsid w:val="00345C88"/>
    <w:rsid w:val="00345CF6"/>
    <w:rsid w:val="00346522"/>
    <w:rsid w:val="00346550"/>
    <w:rsid w:val="0034694B"/>
    <w:rsid w:val="00346BA7"/>
    <w:rsid w:val="00346CFE"/>
    <w:rsid w:val="003475FE"/>
    <w:rsid w:val="003476E6"/>
    <w:rsid w:val="003477EA"/>
    <w:rsid w:val="00347A33"/>
    <w:rsid w:val="00347B0D"/>
    <w:rsid w:val="00347B0E"/>
    <w:rsid w:val="0035032D"/>
    <w:rsid w:val="003503AD"/>
    <w:rsid w:val="003505F6"/>
    <w:rsid w:val="00350807"/>
    <w:rsid w:val="0035101D"/>
    <w:rsid w:val="0035106B"/>
    <w:rsid w:val="003514FD"/>
    <w:rsid w:val="0035175B"/>
    <w:rsid w:val="00351942"/>
    <w:rsid w:val="00351D5A"/>
    <w:rsid w:val="0035223E"/>
    <w:rsid w:val="0035235C"/>
    <w:rsid w:val="00352455"/>
    <w:rsid w:val="003525A3"/>
    <w:rsid w:val="00352C09"/>
    <w:rsid w:val="00352CDB"/>
    <w:rsid w:val="00352EF3"/>
    <w:rsid w:val="0035353E"/>
    <w:rsid w:val="00354097"/>
    <w:rsid w:val="003542C9"/>
    <w:rsid w:val="003545B4"/>
    <w:rsid w:val="00354717"/>
    <w:rsid w:val="00354A3C"/>
    <w:rsid w:val="00354AD2"/>
    <w:rsid w:val="00354C49"/>
    <w:rsid w:val="0035524D"/>
    <w:rsid w:val="003553B5"/>
    <w:rsid w:val="00355906"/>
    <w:rsid w:val="00356182"/>
    <w:rsid w:val="0035619B"/>
    <w:rsid w:val="00356238"/>
    <w:rsid w:val="003567F1"/>
    <w:rsid w:val="003568CA"/>
    <w:rsid w:val="00356B48"/>
    <w:rsid w:val="00356CFA"/>
    <w:rsid w:val="00356E58"/>
    <w:rsid w:val="003575BF"/>
    <w:rsid w:val="00357BAC"/>
    <w:rsid w:val="003600C7"/>
    <w:rsid w:val="003601DC"/>
    <w:rsid w:val="003602A2"/>
    <w:rsid w:val="003604CB"/>
    <w:rsid w:val="003609D0"/>
    <w:rsid w:val="003609E4"/>
    <w:rsid w:val="003609E5"/>
    <w:rsid w:val="00360F67"/>
    <w:rsid w:val="003611FA"/>
    <w:rsid w:val="003613B8"/>
    <w:rsid w:val="003618FD"/>
    <w:rsid w:val="00361B44"/>
    <w:rsid w:val="00361BD5"/>
    <w:rsid w:val="00361D3C"/>
    <w:rsid w:val="00361E05"/>
    <w:rsid w:val="0036208E"/>
    <w:rsid w:val="00362428"/>
    <w:rsid w:val="0036298E"/>
    <w:rsid w:val="00362B7F"/>
    <w:rsid w:val="00362D63"/>
    <w:rsid w:val="0036324E"/>
    <w:rsid w:val="0036342E"/>
    <w:rsid w:val="003639A1"/>
    <w:rsid w:val="003641A4"/>
    <w:rsid w:val="00364460"/>
    <w:rsid w:val="0036453D"/>
    <w:rsid w:val="003647F9"/>
    <w:rsid w:val="00364DA5"/>
    <w:rsid w:val="00364F6C"/>
    <w:rsid w:val="003654BC"/>
    <w:rsid w:val="00365712"/>
    <w:rsid w:val="00365732"/>
    <w:rsid w:val="003658C1"/>
    <w:rsid w:val="00365CB9"/>
    <w:rsid w:val="00365D6D"/>
    <w:rsid w:val="00365E5E"/>
    <w:rsid w:val="00366B94"/>
    <w:rsid w:val="00366E0A"/>
    <w:rsid w:val="00366E91"/>
    <w:rsid w:val="00367447"/>
    <w:rsid w:val="003679EB"/>
    <w:rsid w:val="00367B6B"/>
    <w:rsid w:val="00367D29"/>
    <w:rsid w:val="00367EA9"/>
    <w:rsid w:val="0037006F"/>
    <w:rsid w:val="0037041D"/>
    <w:rsid w:val="00370516"/>
    <w:rsid w:val="0037057B"/>
    <w:rsid w:val="0037058F"/>
    <w:rsid w:val="003705BE"/>
    <w:rsid w:val="00370800"/>
    <w:rsid w:val="00370E70"/>
    <w:rsid w:val="00371154"/>
    <w:rsid w:val="003711C8"/>
    <w:rsid w:val="003718B0"/>
    <w:rsid w:val="00371C85"/>
    <w:rsid w:val="00371DB9"/>
    <w:rsid w:val="00371F7C"/>
    <w:rsid w:val="00372105"/>
    <w:rsid w:val="00372713"/>
    <w:rsid w:val="0037274E"/>
    <w:rsid w:val="0037289E"/>
    <w:rsid w:val="0037292F"/>
    <w:rsid w:val="00372EA5"/>
    <w:rsid w:val="0037374A"/>
    <w:rsid w:val="00373790"/>
    <w:rsid w:val="00373796"/>
    <w:rsid w:val="00373FB5"/>
    <w:rsid w:val="003741CA"/>
    <w:rsid w:val="003746CE"/>
    <w:rsid w:val="00375292"/>
    <w:rsid w:val="00375BB5"/>
    <w:rsid w:val="00375C96"/>
    <w:rsid w:val="00375F72"/>
    <w:rsid w:val="003760F4"/>
    <w:rsid w:val="003768F6"/>
    <w:rsid w:val="00376DA3"/>
    <w:rsid w:val="00377162"/>
    <w:rsid w:val="0037717B"/>
    <w:rsid w:val="00377204"/>
    <w:rsid w:val="003772B6"/>
    <w:rsid w:val="00377383"/>
    <w:rsid w:val="003773B9"/>
    <w:rsid w:val="00377647"/>
    <w:rsid w:val="00377879"/>
    <w:rsid w:val="003806EA"/>
    <w:rsid w:val="003807D9"/>
    <w:rsid w:val="003809A4"/>
    <w:rsid w:val="00380B2A"/>
    <w:rsid w:val="00380E1C"/>
    <w:rsid w:val="00380F3B"/>
    <w:rsid w:val="00380F49"/>
    <w:rsid w:val="00381204"/>
    <w:rsid w:val="003817B7"/>
    <w:rsid w:val="00381D3A"/>
    <w:rsid w:val="00382148"/>
    <w:rsid w:val="00382276"/>
    <w:rsid w:val="0038229F"/>
    <w:rsid w:val="0038271D"/>
    <w:rsid w:val="0038288D"/>
    <w:rsid w:val="003828EA"/>
    <w:rsid w:val="0038294D"/>
    <w:rsid w:val="00382997"/>
    <w:rsid w:val="00382B22"/>
    <w:rsid w:val="00382C2D"/>
    <w:rsid w:val="00382D68"/>
    <w:rsid w:val="00382DAE"/>
    <w:rsid w:val="00382EC7"/>
    <w:rsid w:val="00383259"/>
    <w:rsid w:val="003835A1"/>
    <w:rsid w:val="00383B00"/>
    <w:rsid w:val="00383F10"/>
    <w:rsid w:val="00383F4F"/>
    <w:rsid w:val="00384066"/>
    <w:rsid w:val="00384486"/>
    <w:rsid w:val="00384793"/>
    <w:rsid w:val="0038498F"/>
    <w:rsid w:val="00384A97"/>
    <w:rsid w:val="00384CDA"/>
    <w:rsid w:val="0038582C"/>
    <w:rsid w:val="00385BE7"/>
    <w:rsid w:val="00385F3E"/>
    <w:rsid w:val="00385F5B"/>
    <w:rsid w:val="0038618C"/>
    <w:rsid w:val="003866D8"/>
    <w:rsid w:val="00386948"/>
    <w:rsid w:val="00386D2A"/>
    <w:rsid w:val="003877EF"/>
    <w:rsid w:val="0038794A"/>
    <w:rsid w:val="0038794C"/>
    <w:rsid w:val="00387C58"/>
    <w:rsid w:val="00390045"/>
    <w:rsid w:val="0039020D"/>
    <w:rsid w:val="003902AD"/>
    <w:rsid w:val="00390383"/>
    <w:rsid w:val="00390777"/>
    <w:rsid w:val="00391408"/>
    <w:rsid w:val="00391B37"/>
    <w:rsid w:val="00391D69"/>
    <w:rsid w:val="00392158"/>
    <w:rsid w:val="00392508"/>
    <w:rsid w:val="0039252C"/>
    <w:rsid w:val="003927BD"/>
    <w:rsid w:val="00392E00"/>
    <w:rsid w:val="003930E8"/>
    <w:rsid w:val="00393A1F"/>
    <w:rsid w:val="00393EB4"/>
    <w:rsid w:val="0039419B"/>
    <w:rsid w:val="003943CB"/>
    <w:rsid w:val="003949F9"/>
    <w:rsid w:val="00394AD4"/>
    <w:rsid w:val="003958AD"/>
    <w:rsid w:val="00395C85"/>
    <w:rsid w:val="00396002"/>
    <w:rsid w:val="00396710"/>
    <w:rsid w:val="0039702B"/>
    <w:rsid w:val="003971F7"/>
    <w:rsid w:val="00397212"/>
    <w:rsid w:val="0039724C"/>
    <w:rsid w:val="00397445"/>
    <w:rsid w:val="003974DE"/>
    <w:rsid w:val="00397881"/>
    <w:rsid w:val="00397ADB"/>
    <w:rsid w:val="00397B64"/>
    <w:rsid w:val="00397B8A"/>
    <w:rsid w:val="00397D5B"/>
    <w:rsid w:val="00397DD7"/>
    <w:rsid w:val="003A06EF"/>
    <w:rsid w:val="003A0E12"/>
    <w:rsid w:val="003A1354"/>
    <w:rsid w:val="003A147A"/>
    <w:rsid w:val="003A1743"/>
    <w:rsid w:val="003A174F"/>
    <w:rsid w:val="003A1919"/>
    <w:rsid w:val="003A1C04"/>
    <w:rsid w:val="003A1D67"/>
    <w:rsid w:val="003A1DA3"/>
    <w:rsid w:val="003A1E6A"/>
    <w:rsid w:val="003A200A"/>
    <w:rsid w:val="003A2032"/>
    <w:rsid w:val="003A20AF"/>
    <w:rsid w:val="003A211F"/>
    <w:rsid w:val="003A24EA"/>
    <w:rsid w:val="003A27D2"/>
    <w:rsid w:val="003A2955"/>
    <w:rsid w:val="003A2A13"/>
    <w:rsid w:val="003A2E1D"/>
    <w:rsid w:val="003A343A"/>
    <w:rsid w:val="003A35B0"/>
    <w:rsid w:val="003A36CC"/>
    <w:rsid w:val="003A3BA4"/>
    <w:rsid w:val="003A3F51"/>
    <w:rsid w:val="003A4D05"/>
    <w:rsid w:val="003A57FE"/>
    <w:rsid w:val="003A65F0"/>
    <w:rsid w:val="003A6BBF"/>
    <w:rsid w:val="003A6DF8"/>
    <w:rsid w:val="003A7196"/>
    <w:rsid w:val="003A72F4"/>
    <w:rsid w:val="003A7473"/>
    <w:rsid w:val="003A776C"/>
    <w:rsid w:val="003A7A25"/>
    <w:rsid w:val="003A7C5F"/>
    <w:rsid w:val="003A7CC8"/>
    <w:rsid w:val="003A7EE1"/>
    <w:rsid w:val="003B0378"/>
    <w:rsid w:val="003B0470"/>
    <w:rsid w:val="003B0706"/>
    <w:rsid w:val="003B07DF"/>
    <w:rsid w:val="003B0844"/>
    <w:rsid w:val="003B0D7E"/>
    <w:rsid w:val="003B0F3A"/>
    <w:rsid w:val="003B11E7"/>
    <w:rsid w:val="003B124C"/>
    <w:rsid w:val="003B193D"/>
    <w:rsid w:val="003B1CC6"/>
    <w:rsid w:val="003B205E"/>
    <w:rsid w:val="003B2283"/>
    <w:rsid w:val="003B2F87"/>
    <w:rsid w:val="003B2FEB"/>
    <w:rsid w:val="003B32E1"/>
    <w:rsid w:val="003B3C1F"/>
    <w:rsid w:val="003B4052"/>
    <w:rsid w:val="003B41D5"/>
    <w:rsid w:val="003B4481"/>
    <w:rsid w:val="003B4B4F"/>
    <w:rsid w:val="003B4B5D"/>
    <w:rsid w:val="003B4CC6"/>
    <w:rsid w:val="003B4D81"/>
    <w:rsid w:val="003B4EF5"/>
    <w:rsid w:val="003B50CC"/>
    <w:rsid w:val="003B666E"/>
    <w:rsid w:val="003B6B66"/>
    <w:rsid w:val="003B7145"/>
    <w:rsid w:val="003B751C"/>
    <w:rsid w:val="003B798E"/>
    <w:rsid w:val="003B7DB1"/>
    <w:rsid w:val="003C020D"/>
    <w:rsid w:val="003C0288"/>
    <w:rsid w:val="003C035D"/>
    <w:rsid w:val="003C0973"/>
    <w:rsid w:val="003C0A0C"/>
    <w:rsid w:val="003C0CA7"/>
    <w:rsid w:val="003C0DA7"/>
    <w:rsid w:val="003C0DA9"/>
    <w:rsid w:val="003C0DF6"/>
    <w:rsid w:val="003C119B"/>
    <w:rsid w:val="003C13D8"/>
    <w:rsid w:val="003C1417"/>
    <w:rsid w:val="003C1727"/>
    <w:rsid w:val="003C1CA6"/>
    <w:rsid w:val="003C248C"/>
    <w:rsid w:val="003C263A"/>
    <w:rsid w:val="003C265C"/>
    <w:rsid w:val="003C2C0A"/>
    <w:rsid w:val="003C2F3F"/>
    <w:rsid w:val="003C2F5E"/>
    <w:rsid w:val="003C334A"/>
    <w:rsid w:val="003C33D9"/>
    <w:rsid w:val="003C3736"/>
    <w:rsid w:val="003C3E66"/>
    <w:rsid w:val="003C4076"/>
    <w:rsid w:val="003C4321"/>
    <w:rsid w:val="003C477E"/>
    <w:rsid w:val="003C4C43"/>
    <w:rsid w:val="003C4E65"/>
    <w:rsid w:val="003C4EC8"/>
    <w:rsid w:val="003C52DA"/>
    <w:rsid w:val="003C6585"/>
    <w:rsid w:val="003C67B3"/>
    <w:rsid w:val="003C6952"/>
    <w:rsid w:val="003C6B6C"/>
    <w:rsid w:val="003C6BEA"/>
    <w:rsid w:val="003C7554"/>
    <w:rsid w:val="003C76E8"/>
    <w:rsid w:val="003C79EC"/>
    <w:rsid w:val="003C7A20"/>
    <w:rsid w:val="003C7BAF"/>
    <w:rsid w:val="003C7D04"/>
    <w:rsid w:val="003C7D25"/>
    <w:rsid w:val="003D016C"/>
    <w:rsid w:val="003D03EB"/>
    <w:rsid w:val="003D05B1"/>
    <w:rsid w:val="003D0878"/>
    <w:rsid w:val="003D08D8"/>
    <w:rsid w:val="003D09E2"/>
    <w:rsid w:val="003D0A16"/>
    <w:rsid w:val="003D0B71"/>
    <w:rsid w:val="003D105E"/>
    <w:rsid w:val="003D1135"/>
    <w:rsid w:val="003D13DE"/>
    <w:rsid w:val="003D1690"/>
    <w:rsid w:val="003D1697"/>
    <w:rsid w:val="003D1A72"/>
    <w:rsid w:val="003D1B31"/>
    <w:rsid w:val="003D1C9A"/>
    <w:rsid w:val="003D1EC3"/>
    <w:rsid w:val="003D2B7F"/>
    <w:rsid w:val="003D2F2C"/>
    <w:rsid w:val="003D3071"/>
    <w:rsid w:val="003D31F2"/>
    <w:rsid w:val="003D324F"/>
    <w:rsid w:val="003D33A5"/>
    <w:rsid w:val="003D358B"/>
    <w:rsid w:val="003D3746"/>
    <w:rsid w:val="003D3F6E"/>
    <w:rsid w:val="003D46F7"/>
    <w:rsid w:val="003D4BF0"/>
    <w:rsid w:val="003D4FC0"/>
    <w:rsid w:val="003D5233"/>
    <w:rsid w:val="003D59E6"/>
    <w:rsid w:val="003D5F80"/>
    <w:rsid w:val="003D66EB"/>
    <w:rsid w:val="003D66FF"/>
    <w:rsid w:val="003D6706"/>
    <w:rsid w:val="003D6B4C"/>
    <w:rsid w:val="003D77FA"/>
    <w:rsid w:val="003D7D37"/>
    <w:rsid w:val="003D7D44"/>
    <w:rsid w:val="003D7D76"/>
    <w:rsid w:val="003D7D99"/>
    <w:rsid w:val="003E015A"/>
    <w:rsid w:val="003E05BC"/>
    <w:rsid w:val="003E15AA"/>
    <w:rsid w:val="003E15DC"/>
    <w:rsid w:val="003E173B"/>
    <w:rsid w:val="003E23E8"/>
    <w:rsid w:val="003E25B6"/>
    <w:rsid w:val="003E26DD"/>
    <w:rsid w:val="003E2A4E"/>
    <w:rsid w:val="003E3476"/>
    <w:rsid w:val="003E34ED"/>
    <w:rsid w:val="003E36C6"/>
    <w:rsid w:val="003E3DDA"/>
    <w:rsid w:val="003E3F10"/>
    <w:rsid w:val="003E3F87"/>
    <w:rsid w:val="003E4084"/>
    <w:rsid w:val="003E4FBC"/>
    <w:rsid w:val="003E5582"/>
    <w:rsid w:val="003E565A"/>
    <w:rsid w:val="003E5806"/>
    <w:rsid w:val="003E5A62"/>
    <w:rsid w:val="003E5B4B"/>
    <w:rsid w:val="003E5DD3"/>
    <w:rsid w:val="003E61B5"/>
    <w:rsid w:val="003E6DEA"/>
    <w:rsid w:val="003E705D"/>
    <w:rsid w:val="003E7193"/>
    <w:rsid w:val="003E722B"/>
    <w:rsid w:val="003E73E7"/>
    <w:rsid w:val="003E7839"/>
    <w:rsid w:val="003E7A1B"/>
    <w:rsid w:val="003E7A92"/>
    <w:rsid w:val="003E7B90"/>
    <w:rsid w:val="003E7ED9"/>
    <w:rsid w:val="003E7F83"/>
    <w:rsid w:val="003F015F"/>
    <w:rsid w:val="003F04AC"/>
    <w:rsid w:val="003F06BD"/>
    <w:rsid w:val="003F0715"/>
    <w:rsid w:val="003F07B1"/>
    <w:rsid w:val="003F08F1"/>
    <w:rsid w:val="003F0AB7"/>
    <w:rsid w:val="003F0B0C"/>
    <w:rsid w:val="003F0BF1"/>
    <w:rsid w:val="003F0FE4"/>
    <w:rsid w:val="003F1418"/>
    <w:rsid w:val="003F1517"/>
    <w:rsid w:val="003F160C"/>
    <w:rsid w:val="003F179E"/>
    <w:rsid w:val="003F1C5C"/>
    <w:rsid w:val="003F1D43"/>
    <w:rsid w:val="003F33BF"/>
    <w:rsid w:val="003F3558"/>
    <w:rsid w:val="003F3BF0"/>
    <w:rsid w:val="003F3CDF"/>
    <w:rsid w:val="003F3D55"/>
    <w:rsid w:val="003F3D76"/>
    <w:rsid w:val="003F4084"/>
    <w:rsid w:val="003F4243"/>
    <w:rsid w:val="003F42D2"/>
    <w:rsid w:val="003F476B"/>
    <w:rsid w:val="003F50BB"/>
    <w:rsid w:val="003F50FD"/>
    <w:rsid w:val="003F515D"/>
    <w:rsid w:val="003F5511"/>
    <w:rsid w:val="003F58DC"/>
    <w:rsid w:val="003F5A3A"/>
    <w:rsid w:val="003F6015"/>
    <w:rsid w:val="003F6810"/>
    <w:rsid w:val="003F6CED"/>
    <w:rsid w:val="003F6EBC"/>
    <w:rsid w:val="003F70B9"/>
    <w:rsid w:val="003F72F1"/>
    <w:rsid w:val="003F744D"/>
    <w:rsid w:val="003F7C4F"/>
    <w:rsid w:val="004002E9"/>
    <w:rsid w:val="00400501"/>
    <w:rsid w:val="004009C2"/>
    <w:rsid w:val="00400C55"/>
    <w:rsid w:val="00400DF2"/>
    <w:rsid w:val="00400E75"/>
    <w:rsid w:val="00400F73"/>
    <w:rsid w:val="0040107B"/>
    <w:rsid w:val="00401125"/>
    <w:rsid w:val="004013E7"/>
    <w:rsid w:val="004016AF"/>
    <w:rsid w:val="00402419"/>
    <w:rsid w:val="0040280B"/>
    <w:rsid w:val="00402FAF"/>
    <w:rsid w:val="00403022"/>
    <w:rsid w:val="004031B0"/>
    <w:rsid w:val="00403256"/>
    <w:rsid w:val="004033C3"/>
    <w:rsid w:val="00403AEA"/>
    <w:rsid w:val="00404177"/>
    <w:rsid w:val="00404718"/>
    <w:rsid w:val="00404BEF"/>
    <w:rsid w:val="00404F70"/>
    <w:rsid w:val="00404FAB"/>
    <w:rsid w:val="004052B7"/>
    <w:rsid w:val="00405429"/>
    <w:rsid w:val="00405E70"/>
    <w:rsid w:val="00405FC9"/>
    <w:rsid w:val="00406053"/>
    <w:rsid w:val="00406258"/>
    <w:rsid w:val="00406624"/>
    <w:rsid w:val="00406848"/>
    <w:rsid w:val="00406949"/>
    <w:rsid w:val="0040695E"/>
    <w:rsid w:val="00406AAD"/>
    <w:rsid w:val="00406DB8"/>
    <w:rsid w:val="00407418"/>
    <w:rsid w:val="004075D7"/>
    <w:rsid w:val="004075FF"/>
    <w:rsid w:val="00407C6A"/>
    <w:rsid w:val="00410431"/>
    <w:rsid w:val="00410962"/>
    <w:rsid w:val="00410AED"/>
    <w:rsid w:val="00410F35"/>
    <w:rsid w:val="00410F9C"/>
    <w:rsid w:val="00411044"/>
    <w:rsid w:val="004110B3"/>
    <w:rsid w:val="0041121D"/>
    <w:rsid w:val="004112B2"/>
    <w:rsid w:val="0041160B"/>
    <w:rsid w:val="004116A9"/>
    <w:rsid w:val="00411859"/>
    <w:rsid w:val="00411864"/>
    <w:rsid w:val="00411884"/>
    <w:rsid w:val="00411A9E"/>
    <w:rsid w:val="00411AFE"/>
    <w:rsid w:val="004122BE"/>
    <w:rsid w:val="004123C6"/>
    <w:rsid w:val="004123C8"/>
    <w:rsid w:val="00412483"/>
    <w:rsid w:val="004125AD"/>
    <w:rsid w:val="004134F7"/>
    <w:rsid w:val="004138A2"/>
    <w:rsid w:val="00413AE1"/>
    <w:rsid w:val="00413E11"/>
    <w:rsid w:val="004140F3"/>
    <w:rsid w:val="004143BC"/>
    <w:rsid w:val="0041470D"/>
    <w:rsid w:val="00414DE7"/>
    <w:rsid w:val="00414E3B"/>
    <w:rsid w:val="004151F8"/>
    <w:rsid w:val="004153B3"/>
    <w:rsid w:val="004156E0"/>
    <w:rsid w:val="00415DF2"/>
    <w:rsid w:val="004160B5"/>
    <w:rsid w:val="004162F0"/>
    <w:rsid w:val="00416734"/>
    <w:rsid w:val="004167EE"/>
    <w:rsid w:val="00416D4B"/>
    <w:rsid w:val="00416F18"/>
    <w:rsid w:val="004173CC"/>
    <w:rsid w:val="004178E5"/>
    <w:rsid w:val="0041796D"/>
    <w:rsid w:val="0042056A"/>
    <w:rsid w:val="00420581"/>
    <w:rsid w:val="0042092C"/>
    <w:rsid w:val="00420B6B"/>
    <w:rsid w:val="0042165B"/>
    <w:rsid w:val="004219C9"/>
    <w:rsid w:val="004224A1"/>
    <w:rsid w:val="00422500"/>
    <w:rsid w:val="0042275C"/>
    <w:rsid w:val="00422807"/>
    <w:rsid w:val="00422D08"/>
    <w:rsid w:val="00423054"/>
    <w:rsid w:val="00423326"/>
    <w:rsid w:val="0042365D"/>
    <w:rsid w:val="00423A9C"/>
    <w:rsid w:val="00423E8E"/>
    <w:rsid w:val="0042404E"/>
    <w:rsid w:val="00424330"/>
    <w:rsid w:val="004243DB"/>
    <w:rsid w:val="0042447D"/>
    <w:rsid w:val="00424653"/>
    <w:rsid w:val="00424AA1"/>
    <w:rsid w:val="00424AD7"/>
    <w:rsid w:val="00424FC7"/>
    <w:rsid w:val="00425A40"/>
    <w:rsid w:val="00425BEB"/>
    <w:rsid w:val="00426886"/>
    <w:rsid w:val="00427057"/>
    <w:rsid w:val="004278A8"/>
    <w:rsid w:val="00427979"/>
    <w:rsid w:val="00427A81"/>
    <w:rsid w:val="00427AD7"/>
    <w:rsid w:val="00427B56"/>
    <w:rsid w:val="00427DB8"/>
    <w:rsid w:val="00427E15"/>
    <w:rsid w:val="00427F31"/>
    <w:rsid w:val="004303D9"/>
    <w:rsid w:val="00430606"/>
    <w:rsid w:val="00430860"/>
    <w:rsid w:val="00430891"/>
    <w:rsid w:val="00430EDA"/>
    <w:rsid w:val="004317C9"/>
    <w:rsid w:val="004319EC"/>
    <w:rsid w:val="00431D71"/>
    <w:rsid w:val="00431F2B"/>
    <w:rsid w:val="00432275"/>
    <w:rsid w:val="0043247C"/>
    <w:rsid w:val="004324F2"/>
    <w:rsid w:val="00432681"/>
    <w:rsid w:val="00432A6F"/>
    <w:rsid w:val="00432B2C"/>
    <w:rsid w:val="00432E73"/>
    <w:rsid w:val="004333A8"/>
    <w:rsid w:val="0043384D"/>
    <w:rsid w:val="004338C6"/>
    <w:rsid w:val="004338E3"/>
    <w:rsid w:val="00433A4F"/>
    <w:rsid w:val="00433A7A"/>
    <w:rsid w:val="00433F6A"/>
    <w:rsid w:val="0043404C"/>
    <w:rsid w:val="004342EC"/>
    <w:rsid w:val="0043444F"/>
    <w:rsid w:val="00434851"/>
    <w:rsid w:val="00434FAD"/>
    <w:rsid w:val="0043527B"/>
    <w:rsid w:val="00435F3C"/>
    <w:rsid w:val="00436152"/>
    <w:rsid w:val="00436220"/>
    <w:rsid w:val="00436284"/>
    <w:rsid w:val="004366ED"/>
    <w:rsid w:val="00436AAA"/>
    <w:rsid w:val="00436BE2"/>
    <w:rsid w:val="0043706E"/>
    <w:rsid w:val="004370BE"/>
    <w:rsid w:val="004371D7"/>
    <w:rsid w:val="00437464"/>
    <w:rsid w:val="004374AF"/>
    <w:rsid w:val="0043770E"/>
    <w:rsid w:val="00437970"/>
    <w:rsid w:val="00437AF0"/>
    <w:rsid w:val="00437AF9"/>
    <w:rsid w:val="004400DB"/>
    <w:rsid w:val="00440359"/>
    <w:rsid w:val="004404E8"/>
    <w:rsid w:val="00440832"/>
    <w:rsid w:val="0044167A"/>
    <w:rsid w:val="00441E44"/>
    <w:rsid w:val="00442515"/>
    <w:rsid w:val="004425E0"/>
    <w:rsid w:val="0044260A"/>
    <w:rsid w:val="004428F1"/>
    <w:rsid w:val="00442E59"/>
    <w:rsid w:val="00442F03"/>
    <w:rsid w:val="00442FDF"/>
    <w:rsid w:val="004432B8"/>
    <w:rsid w:val="00443868"/>
    <w:rsid w:val="00443905"/>
    <w:rsid w:val="00443991"/>
    <w:rsid w:val="00443BC2"/>
    <w:rsid w:val="00443BE5"/>
    <w:rsid w:val="004445C2"/>
    <w:rsid w:val="004446A7"/>
    <w:rsid w:val="0044529A"/>
    <w:rsid w:val="00445C99"/>
    <w:rsid w:val="00446458"/>
    <w:rsid w:val="00446639"/>
    <w:rsid w:val="00446718"/>
    <w:rsid w:val="00446BB4"/>
    <w:rsid w:val="00446CB7"/>
    <w:rsid w:val="00446E50"/>
    <w:rsid w:val="004470D8"/>
    <w:rsid w:val="00447410"/>
    <w:rsid w:val="00447EAA"/>
    <w:rsid w:val="0045043A"/>
    <w:rsid w:val="0045065F"/>
    <w:rsid w:val="00450D31"/>
    <w:rsid w:val="00451436"/>
    <w:rsid w:val="00451792"/>
    <w:rsid w:val="00451833"/>
    <w:rsid w:val="00451ED7"/>
    <w:rsid w:val="0045212A"/>
    <w:rsid w:val="00452226"/>
    <w:rsid w:val="004523AC"/>
    <w:rsid w:val="00452767"/>
    <w:rsid w:val="00452935"/>
    <w:rsid w:val="00452AC4"/>
    <w:rsid w:val="00452C4E"/>
    <w:rsid w:val="00452CD8"/>
    <w:rsid w:val="00453557"/>
    <w:rsid w:val="004536E5"/>
    <w:rsid w:val="004536F3"/>
    <w:rsid w:val="00453A20"/>
    <w:rsid w:val="00453D06"/>
    <w:rsid w:val="00453D79"/>
    <w:rsid w:val="0045473F"/>
    <w:rsid w:val="00454957"/>
    <w:rsid w:val="00454B52"/>
    <w:rsid w:val="00455710"/>
    <w:rsid w:val="00455DC7"/>
    <w:rsid w:val="0045654B"/>
    <w:rsid w:val="00456D15"/>
    <w:rsid w:val="00457556"/>
    <w:rsid w:val="004578CF"/>
    <w:rsid w:val="00457E55"/>
    <w:rsid w:val="00457E7C"/>
    <w:rsid w:val="00457EDC"/>
    <w:rsid w:val="00460911"/>
    <w:rsid w:val="00460B01"/>
    <w:rsid w:val="00460B68"/>
    <w:rsid w:val="00460F76"/>
    <w:rsid w:val="004610B7"/>
    <w:rsid w:val="004614CA"/>
    <w:rsid w:val="00461914"/>
    <w:rsid w:val="00461E8C"/>
    <w:rsid w:val="00461FE7"/>
    <w:rsid w:val="00462193"/>
    <w:rsid w:val="00462885"/>
    <w:rsid w:val="004628C5"/>
    <w:rsid w:val="0046374A"/>
    <w:rsid w:val="00463897"/>
    <w:rsid w:val="00463AF3"/>
    <w:rsid w:val="00463BFF"/>
    <w:rsid w:val="0046401C"/>
    <w:rsid w:val="004645B6"/>
    <w:rsid w:val="00464AF3"/>
    <w:rsid w:val="00464BE0"/>
    <w:rsid w:val="00464D15"/>
    <w:rsid w:val="00465106"/>
    <w:rsid w:val="004653FF"/>
    <w:rsid w:val="004657F2"/>
    <w:rsid w:val="004664A1"/>
    <w:rsid w:val="00466837"/>
    <w:rsid w:val="00466AE7"/>
    <w:rsid w:val="004675BB"/>
    <w:rsid w:val="004677A8"/>
    <w:rsid w:val="004679D3"/>
    <w:rsid w:val="00467D78"/>
    <w:rsid w:val="00470008"/>
    <w:rsid w:val="004701F2"/>
    <w:rsid w:val="00470658"/>
    <w:rsid w:val="0047088D"/>
    <w:rsid w:val="00470F71"/>
    <w:rsid w:val="00471B20"/>
    <w:rsid w:val="00471B2B"/>
    <w:rsid w:val="00471CAC"/>
    <w:rsid w:val="00471D20"/>
    <w:rsid w:val="00471D93"/>
    <w:rsid w:val="0047224D"/>
    <w:rsid w:val="004727A4"/>
    <w:rsid w:val="00472A56"/>
    <w:rsid w:val="00472ABA"/>
    <w:rsid w:val="00473156"/>
    <w:rsid w:val="004733C2"/>
    <w:rsid w:val="00473767"/>
    <w:rsid w:val="00473E7E"/>
    <w:rsid w:val="004740B0"/>
    <w:rsid w:val="004741E9"/>
    <w:rsid w:val="00474265"/>
    <w:rsid w:val="004744E0"/>
    <w:rsid w:val="00474744"/>
    <w:rsid w:val="00474F2D"/>
    <w:rsid w:val="00475416"/>
    <w:rsid w:val="0047572C"/>
    <w:rsid w:val="00475A95"/>
    <w:rsid w:val="00475B1B"/>
    <w:rsid w:val="004760C7"/>
    <w:rsid w:val="00476450"/>
    <w:rsid w:val="004765C6"/>
    <w:rsid w:val="00476724"/>
    <w:rsid w:val="00476C0A"/>
    <w:rsid w:val="00476EFF"/>
    <w:rsid w:val="00477214"/>
    <w:rsid w:val="004773A1"/>
    <w:rsid w:val="004777D7"/>
    <w:rsid w:val="004777FA"/>
    <w:rsid w:val="004778D4"/>
    <w:rsid w:val="00477F21"/>
    <w:rsid w:val="00480051"/>
    <w:rsid w:val="00480508"/>
    <w:rsid w:val="00480869"/>
    <w:rsid w:val="00480DB3"/>
    <w:rsid w:val="00481C76"/>
    <w:rsid w:val="004824B9"/>
    <w:rsid w:val="0048263C"/>
    <w:rsid w:val="0048272F"/>
    <w:rsid w:val="00482E50"/>
    <w:rsid w:val="00483061"/>
    <w:rsid w:val="0048324D"/>
    <w:rsid w:val="0048357C"/>
    <w:rsid w:val="00483B66"/>
    <w:rsid w:val="00483D23"/>
    <w:rsid w:val="00483FAD"/>
    <w:rsid w:val="004844A2"/>
    <w:rsid w:val="004844B2"/>
    <w:rsid w:val="004845F8"/>
    <w:rsid w:val="00484653"/>
    <w:rsid w:val="00484CF1"/>
    <w:rsid w:val="00484D89"/>
    <w:rsid w:val="0048528B"/>
    <w:rsid w:val="004861DE"/>
    <w:rsid w:val="004868F2"/>
    <w:rsid w:val="004869B3"/>
    <w:rsid w:val="00486B0F"/>
    <w:rsid w:val="00486BD9"/>
    <w:rsid w:val="0048721E"/>
    <w:rsid w:val="00487414"/>
    <w:rsid w:val="004875A4"/>
    <w:rsid w:val="00487812"/>
    <w:rsid w:val="00487A5E"/>
    <w:rsid w:val="00487C5A"/>
    <w:rsid w:val="0049057C"/>
    <w:rsid w:val="004907B0"/>
    <w:rsid w:val="0049135A"/>
    <w:rsid w:val="004914C1"/>
    <w:rsid w:val="00491E84"/>
    <w:rsid w:val="0049205F"/>
    <w:rsid w:val="00492BA8"/>
    <w:rsid w:val="00492D42"/>
    <w:rsid w:val="00492D7C"/>
    <w:rsid w:val="00492F22"/>
    <w:rsid w:val="00492F35"/>
    <w:rsid w:val="00492F92"/>
    <w:rsid w:val="00493504"/>
    <w:rsid w:val="004935BA"/>
    <w:rsid w:val="004936A8"/>
    <w:rsid w:val="0049387F"/>
    <w:rsid w:val="004939D9"/>
    <w:rsid w:val="00493CFB"/>
    <w:rsid w:val="00494123"/>
    <w:rsid w:val="0049446C"/>
    <w:rsid w:val="00494E5F"/>
    <w:rsid w:val="00494EE2"/>
    <w:rsid w:val="00495677"/>
    <w:rsid w:val="0049568C"/>
    <w:rsid w:val="004961EF"/>
    <w:rsid w:val="004962B8"/>
    <w:rsid w:val="004967C6"/>
    <w:rsid w:val="004969A8"/>
    <w:rsid w:val="00496ED5"/>
    <w:rsid w:val="00497245"/>
    <w:rsid w:val="004972F3"/>
    <w:rsid w:val="0049744B"/>
    <w:rsid w:val="0049768A"/>
    <w:rsid w:val="004979AB"/>
    <w:rsid w:val="00497B44"/>
    <w:rsid w:val="00497F83"/>
    <w:rsid w:val="004A011B"/>
    <w:rsid w:val="004A027D"/>
    <w:rsid w:val="004A02B8"/>
    <w:rsid w:val="004A03EB"/>
    <w:rsid w:val="004A0725"/>
    <w:rsid w:val="004A0867"/>
    <w:rsid w:val="004A09C6"/>
    <w:rsid w:val="004A0CB3"/>
    <w:rsid w:val="004A0E70"/>
    <w:rsid w:val="004A0F88"/>
    <w:rsid w:val="004A13EC"/>
    <w:rsid w:val="004A1407"/>
    <w:rsid w:val="004A1857"/>
    <w:rsid w:val="004A1B08"/>
    <w:rsid w:val="004A1EA0"/>
    <w:rsid w:val="004A20C2"/>
    <w:rsid w:val="004A22A6"/>
    <w:rsid w:val="004A25E6"/>
    <w:rsid w:val="004A2632"/>
    <w:rsid w:val="004A2707"/>
    <w:rsid w:val="004A39D7"/>
    <w:rsid w:val="004A3C64"/>
    <w:rsid w:val="004A45A3"/>
    <w:rsid w:val="004A4671"/>
    <w:rsid w:val="004A479A"/>
    <w:rsid w:val="004A4885"/>
    <w:rsid w:val="004A50F5"/>
    <w:rsid w:val="004A5238"/>
    <w:rsid w:val="004A52DB"/>
    <w:rsid w:val="004A6165"/>
    <w:rsid w:val="004A6186"/>
    <w:rsid w:val="004A6510"/>
    <w:rsid w:val="004A6520"/>
    <w:rsid w:val="004A6598"/>
    <w:rsid w:val="004A6908"/>
    <w:rsid w:val="004A6A25"/>
    <w:rsid w:val="004A7739"/>
    <w:rsid w:val="004A7B0F"/>
    <w:rsid w:val="004A7D36"/>
    <w:rsid w:val="004A7E38"/>
    <w:rsid w:val="004B03AA"/>
    <w:rsid w:val="004B04AD"/>
    <w:rsid w:val="004B0628"/>
    <w:rsid w:val="004B12CC"/>
    <w:rsid w:val="004B170E"/>
    <w:rsid w:val="004B171A"/>
    <w:rsid w:val="004B1969"/>
    <w:rsid w:val="004B19F5"/>
    <w:rsid w:val="004B1F5C"/>
    <w:rsid w:val="004B1FA2"/>
    <w:rsid w:val="004B20C4"/>
    <w:rsid w:val="004B22A6"/>
    <w:rsid w:val="004B22D4"/>
    <w:rsid w:val="004B2861"/>
    <w:rsid w:val="004B3137"/>
    <w:rsid w:val="004B3549"/>
    <w:rsid w:val="004B36F8"/>
    <w:rsid w:val="004B391C"/>
    <w:rsid w:val="004B3FF1"/>
    <w:rsid w:val="004B4001"/>
    <w:rsid w:val="004B401F"/>
    <w:rsid w:val="004B4203"/>
    <w:rsid w:val="004B458C"/>
    <w:rsid w:val="004B4D75"/>
    <w:rsid w:val="004B5C5D"/>
    <w:rsid w:val="004B605D"/>
    <w:rsid w:val="004B61C8"/>
    <w:rsid w:val="004B625D"/>
    <w:rsid w:val="004B666F"/>
    <w:rsid w:val="004B66A5"/>
    <w:rsid w:val="004B6790"/>
    <w:rsid w:val="004B686B"/>
    <w:rsid w:val="004B6C99"/>
    <w:rsid w:val="004B6EA3"/>
    <w:rsid w:val="004B7933"/>
    <w:rsid w:val="004B7DCB"/>
    <w:rsid w:val="004B7F9E"/>
    <w:rsid w:val="004C05EA"/>
    <w:rsid w:val="004C09A6"/>
    <w:rsid w:val="004C0ABA"/>
    <w:rsid w:val="004C0C79"/>
    <w:rsid w:val="004C0CA2"/>
    <w:rsid w:val="004C0F74"/>
    <w:rsid w:val="004C115D"/>
    <w:rsid w:val="004C146E"/>
    <w:rsid w:val="004C14B7"/>
    <w:rsid w:val="004C174E"/>
    <w:rsid w:val="004C193E"/>
    <w:rsid w:val="004C204D"/>
    <w:rsid w:val="004C2357"/>
    <w:rsid w:val="004C240E"/>
    <w:rsid w:val="004C2572"/>
    <w:rsid w:val="004C28C4"/>
    <w:rsid w:val="004C2B26"/>
    <w:rsid w:val="004C2B72"/>
    <w:rsid w:val="004C2D49"/>
    <w:rsid w:val="004C3199"/>
    <w:rsid w:val="004C3653"/>
    <w:rsid w:val="004C3BE3"/>
    <w:rsid w:val="004C3C21"/>
    <w:rsid w:val="004C4187"/>
    <w:rsid w:val="004C4788"/>
    <w:rsid w:val="004C4BB8"/>
    <w:rsid w:val="004C5825"/>
    <w:rsid w:val="004C5A8A"/>
    <w:rsid w:val="004C5B86"/>
    <w:rsid w:val="004C5DEA"/>
    <w:rsid w:val="004C5EC5"/>
    <w:rsid w:val="004C6444"/>
    <w:rsid w:val="004C647D"/>
    <w:rsid w:val="004C6686"/>
    <w:rsid w:val="004C6B98"/>
    <w:rsid w:val="004C6C1C"/>
    <w:rsid w:val="004C7998"/>
    <w:rsid w:val="004C7B42"/>
    <w:rsid w:val="004C7B5A"/>
    <w:rsid w:val="004C7F37"/>
    <w:rsid w:val="004D037B"/>
    <w:rsid w:val="004D04D8"/>
    <w:rsid w:val="004D05DD"/>
    <w:rsid w:val="004D09CD"/>
    <w:rsid w:val="004D09E0"/>
    <w:rsid w:val="004D0E4B"/>
    <w:rsid w:val="004D1043"/>
    <w:rsid w:val="004D151D"/>
    <w:rsid w:val="004D16BD"/>
    <w:rsid w:val="004D189C"/>
    <w:rsid w:val="004D1CD2"/>
    <w:rsid w:val="004D1F28"/>
    <w:rsid w:val="004D278C"/>
    <w:rsid w:val="004D2EED"/>
    <w:rsid w:val="004D3159"/>
    <w:rsid w:val="004D3359"/>
    <w:rsid w:val="004D3422"/>
    <w:rsid w:val="004D3580"/>
    <w:rsid w:val="004D3CA0"/>
    <w:rsid w:val="004D4054"/>
    <w:rsid w:val="004D433E"/>
    <w:rsid w:val="004D45A9"/>
    <w:rsid w:val="004D45E1"/>
    <w:rsid w:val="004D49AB"/>
    <w:rsid w:val="004D4CAD"/>
    <w:rsid w:val="004D4D54"/>
    <w:rsid w:val="004D4D7D"/>
    <w:rsid w:val="004D51CF"/>
    <w:rsid w:val="004D52C4"/>
    <w:rsid w:val="004D5BEE"/>
    <w:rsid w:val="004D5EEC"/>
    <w:rsid w:val="004D5FD4"/>
    <w:rsid w:val="004D60D6"/>
    <w:rsid w:val="004D62A8"/>
    <w:rsid w:val="004D62EC"/>
    <w:rsid w:val="004D65AE"/>
    <w:rsid w:val="004D6AB8"/>
    <w:rsid w:val="004D73EB"/>
    <w:rsid w:val="004D765A"/>
    <w:rsid w:val="004D7B37"/>
    <w:rsid w:val="004E0337"/>
    <w:rsid w:val="004E047A"/>
    <w:rsid w:val="004E0A4F"/>
    <w:rsid w:val="004E0C02"/>
    <w:rsid w:val="004E0CF9"/>
    <w:rsid w:val="004E1116"/>
    <w:rsid w:val="004E166A"/>
    <w:rsid w:val="004E179A"/>
    <w:rsid w:val="004E17E8"/>
    <w:rsid w:val="004E1812"/>
    <w:rsid w:val="004E1906"/>
    <w:rsid w:val="004E1B31"/>
    <w:rsid w:val="004E1CD8"/>
    <w:rsid w:val="004E1DD8"/>
    <w:rsid w:val="004E2635"/>
    <w:rsid w:val="004E2F32"/>
    <w:rsid w:val="004E3120"/>
    <w:rsid w:val="004E34DC"/>
    <w:rsid w:val="004E35BA"/>
    <w:rsid w:val="004E3FB2"/>
    <w:rsid w:val="004E4004"/>
    <w:rsid w:val="004E404E"/>
    <w:rsid w:val="004E40FC"/>
    <w:rsid w:val="004E4131"/>
    <w:rsid w:val="004E4657"/>
    <w:rsid w:val="004E4B2F"/>
    <w:rsid w:val="004E4DB7"/>
    <w:rsid w:val="004E4F08"/>
    <w:rsid w:val="004E58CE"/>
    <w:rsid w:val="004E5932"/>
    <w:rsid w:val="004E5952"/>
    <w:rsid w:val="004E5AFF"/>
    <w:rsid w:val="004E5C93"/>
    <w:rsid w:val="004E5D5D"/>
    <w:rsid w:val="004E5EF3"/>
    <w:rsid w:val="004E72BC"/>
    <w:rsid w:val="004E752F"/>
    <w:rsid w:val="004E799E"/>
    <w:rsid w:val="004E7AA9"/>
    <w:rsid w:val="004E7B2B"/>
    <w:rsid w:val="004E7B95"/>
    <w:rsid w:val="004E7DEF"/>
    <w:rsid w:val="004F02B5"/>
    <w:rsid w:val="004F02B9"/>
    <w:rsid w:val="004F04C9"/>
    <w:rsid w:val="004F0A07"/>
    <w:rsid w:val="004F0DBF"/>
    <w:rsid w:val="004F18C2"/>
    <w:rsid w:val="004F22C7"/>
    <w:rsid w:val="004F296A"/>
    <w:rsid w:val="004F307F"/>
    <w:rsid w:val="004F39DB"/>
    <w:rsid w:val="004F459D"/>
    <w:rsid w:val="004F4666"/>
    <w:rsid w:val="004F46C2"/>
    <w:rsid w:val="004F4D72"/>
    <w:rsid w:val="004F4D7E"/>
    <w:rsid w:val="004F52FD"/>
    <w:rsid w:val="004F5302"/>
    <w:rsid w:val="004F5547"/>
    <w:rsid w:val="004F56FF"/>
    <w:rsid w:val="004F594D"/>
    <w:rsid w:val="004F5B32"/>
    <w:rsid w:val="004F6000"/>
    <w:rsid w:val="004F6775"/>
    <w:rsid w:val="004F6809"/>
    <w:rsid w:val="004F6B87"/>
    <w:rsid w:val="004F6BAC"/>
    <w:rsid w:val="004F6CA0"/>
    <w:rsid w:val="004F6E3D"/>
    <w:rsid w:val="004F79B8"/>
    <w:rsid w:val="004F7DA9"/>
    <w:rsid w:val="004F7FB8"/>
    <w:rsid w:val="00500538"/>
    <w:rsid w:val="0050068C"/>
    <w:rsid w:val="005007DC"/>
    <w:rsid w:val="00500908"/>
    <w:rsid w:val="00500B4E"/>
    <w:rsid w:val="00500DAF"/>
    <w:rsid w:val="00500ECF"/>
    <w:rsid w:val="00501668"/>
    <w:rsid w:val="00501710"/>
    <w:rsid w:val="00501745"/>
    <w:rsid w:val="00501948"/>
    <w:rsid w:val="00501989"/>
    <w:rsid w:val="00501A80"/>
    <w:rsid w:val="00501A8F"/>
    <w:rsid w:val="0050228F"/>
    <w:rsid w:val="00502D28"/>
    <w:rsid w:val="00502D45"/>
    <w:rsid w:val="00502EC5"/>
    <w:rsid w:val="005035BE"/>
    <w:rsid w:val="005038D4"/>
    <w:rsid w:val="00504281"/>
    <w:rsid w:val="00504B95"/>
    <w:rsid w:val="00504D6F"/>
    <w:rsid w:val="00505326"/>
    <w:rsid w:val="00505D6D"/>
    <w:rsid w:val="005061D9"/>
    <w:rsid w:val="00506263"/>
    <w:rsid w:val="00506BA5"/>
    <w:rsid w:val="00506C43"/>
    <w:rsid w:val="00506F00"/>
    <w:rsid w:val="00506FAF"/>
    <w:rsid w:val="005071EF"/>
    <w:rsid w:val="005075D4"/>
    <w:rsid w:val="005079EF"/>
    <w:rsid w:val="005102A4"/>
    <w:rsid w:val="00510506"/>
    <w:rsid w:val="00510770"/>
    <w:rsid w:val="00510C19"/>
    <w:rsid w:val="0051100A"/>
    <w:rsid w:val="00511958"/>
    <w:rsid w:val="005119E3"/>
    <w:rsid w:val="00511B00"/>
    <w:rsid w:val="00511BD5"/>
    <w:rsid w:val="00511DEC"/>
    <w:rsid w:val="00511FE0"/>
    <w:rsid w:val="00512348"/>
    <w:rsid w:val="00512681"/>
    <w:rsid w:val="005126C5"/>
    <w:rsid w:val="005128D0"/>
    <w:rsid w:val="00513004"/>
    <w:rsid w:val="00513341"/>
    <w:rsid w:val="00513376"/>
    <w:rsid w:val="00513641"/>
    <w:rsid w:val="00513C2E"/>
    <w:rsid w:val="005141BA"/>
    <w:rsid w:val="00514949"/>
    <w:rsid w:val="00514A31"/>
    <w:rsid w:val="00514FA1"/>
    <w:rsid w:val="00515510"/>
    <w:rsid w:val="00515808"/>
    <w:rsid w:val="00515851"/>
    <w:rsid w:val="00515941"/>
    <w:rsid w:val="0051594E"/>
    <w:rsid w:val="0051611F"/>
    <w:rsid w:val="0051695E"/>
    <w:rsid w:val="00516B57"/>
    <w:rsid w:val="00516B94"/>
    <w:rsid w:val="00516C29"/>
    <w:rsid w:val="00516E52"/>
    <w:rsid w:val="00516E5C"/>
    <w:rsid w:val="00516EFA"/>
    <w:rsid w:val="0051723E"/>
    <w:rsid w:val="005173EB"/>
    <w:rsid w:val="0051753F"/>
    <w:rsid w:val="0051790E"/>
    <w:rsid w:val="00517EBD"/>
    <w:rsid w:val="00520569"/>
    <w:rsid w:val="00520E69"/>
    <w:rsid w:val="00521203"/>
    <w:rsid w:val="005218FC"/>
    <w:rsid w:val="00521EB8"/>
    <w:rsid w:val="005227A1"/>
    <w:rsid w:val="005227BD"/>
    <w:rsid w:val="00522A7C"/>
    <w:rsid w:val="00522C14"/>
    <w:rsid w:val="00522C17"/>
    <w:rsid w:val="00522E9F"/>
    <w:rsid w:val="00522FDE"/>
    <w:rsid w:val="0052310F"/>
    <w:rsid w:val="0052330A"/>
    <w:rsid w:val="005233AC"/>
    <w:rsid w:val="00523898"/>
    <w:rsid w:val="00523DEB"/>
    <w:rsid w:val="00523FAD"/>
    <w:rsid w:val="00524125"/>
    <w:rsid w:val="00524267"/>
    <w:rsid w:val="005242C6"/>
    <w:rsid w:val="005243C4"/>
    <w:rsid w:val="00524E59"/>
    <w:rsid w:val="00524F0E"/>
    <w:rsid w:val="0052575A"/>
    <w:rsid w:val="00525838"/>
    <w:rsid w:val="00525873"/>
    <w:rsid w:val="00525946"/>
    <w:rsid w:val="00525D25"/>
    <w:rsid w:val="00526674"/>
    <w:rsid w:val="005268D3"/>
    <w:rsid w:val="00526D9C"/>
    <w:rsid w:val="0052722F"/>
    <w:rsid w:val="005272EB"/>
    <w:rsid w:val="00527725"/>
    <w:rsid w:val="00527899"/>
    <w:rsid w:val="00527929"/>
    <w:rsid w:val="005279F6"/>
    <w:rsid w:val="00527ACB"/>
    <w:rsid w:val="00527AE7"/>
    <w:rsid w:val="00527B01"/>
    <w:rsid w:val="00527C93"/>
    <w:rsid w:val="00527FC4"/>
    <w:rsid w:val="00530219"/>
    <w:rsid w:val="005305E0"/>
    <w:rsid w:val="005307A4"/>
    <w:rsid w:val="005308C6"/>
    <w:rsid w:val="00530F41"/>
    <w:rsid w:val="00530F45"/>
    <w:rsid w:val="0053118D"/>
    <w:rsid w:val="00531343"/>
    <w:rsid w:val="00531898"/>
    <w:rsid w:val="00531AC9"/>
    <w:rsid w:val="00531E89"/>
    <w:rsid w:val="00532253"/>
    <w:rsid w:val="005322CE"/>
    <w:rsid w:val="00532414"/>
    <w:rsid w:val="005326B2"/>
    <w:rsid w:val="00532BC3"/>
    <w:rsid w:val="005333DE"/>
    <w:rsid w:val="00533982"/>
    <w:rsid w:val="00533F8C"/>
    <w:rsid w:val="00534348"/>
    <w:rsid w:val="00534365"/>
    <w:rsid w:val="0053438D"/>
    <w:rsid w:val="00534715"/>
    <w:rsid w:val="00534844"/>
    <w:rsid w:val="00534DEB"/>
    <w:rsid w:val="00534DED"/>
    <w:rsid w:val="00534F21"/>
    <w:rsid w:val="0053500E"/>
    <w:rsid w:val="00535103"/>
    <w:rsid w:val="00535287"/>
    <w:rsid w:val="005354C1"/>
    <w:rsid w:val="00535622"/>
    <w:rsid w:val="00535B37"/>
    <w:rsid w:val="00535FF9"/>
    <w:rsid w:val="005372EB"/>
    <w:rsid w:val="00537D40"/>
    <w:rsid w:val="00537E8E"/>
    <w:rsid w:val="005403EA"/>
    <w:rsid w:val="00540BF1"/>
    <w:rsid w:val="00541AAE"/>
    <w:rsid w:val="00541DC2"/>
    <w:rsid w:val="005420AC"/>
    <w:rsid w:val="0054243A"/>
    <w:rsid w:val="005425BD"/>
    <w:rsid w:val="00542730"/>
    <w:rsid w:val="0054292A"/>
    <w:rsid w:val="00542F99"/>
    <w:rsid w:val="005437F9"/>
    <w:rsid w:val="0054390A"/>
    <w:rsid w:val="00543DA7"/>
    <w:rsid w:val="00543DF9"/>
    <w:rsid w:val="00543E84"/>
    <w:rsid w:val="00544056"/>
    <w:rsid w:val="00544508"/>
    <w:rsid w:val="005445F9"/>
    <w:rsid w:val="005446B0"/>
    <w:rsid w:val="005446E6"/>
    <w:rsid w:val="00544B0F"/>
    <w:rsid w:val="00544B29"/>
    <w:rsid w:val="00544C8A"/>
    <w:rsid w:val="00544EF4"/>
    <w:rsid w:val="005453DC"/>
    <w:rsid w:val="005458D7"/>
    <w:rsid w:val="0054637C"/>
    <w:rsid w:val="00547043"/>
    <w:rsid w:val="0054713E"/>
    <w:rsid w:val="005472B5"/>
    <w:rsid w:val="00547A5E"/>
    <w:rsid w:val="005501E0"/>
    <w:rsid w:val="00550A41"/>
    <w:rsid w:val="005510FA"/>
    <w:rsid w:val="005513DB"/>
    <w:rsid w:val="0055195B"/>
    <w:rsid w:val="00551A6D"/>
    <w:rsid w:val="00551B77"/>
    <w:rsid w:val="00551C1B"/>
    <w:rsid w:val="00551DC0"/>
    <w:rsid w:val="00551EF5"/>
    <w:rsid w:val="00552671"/>
    <w:rsid w:val="00552878"/>
    <w:rsid w:val="00552B62"/>
    <w:rsid w:val="00552C21"/>
    <w:rsid w:val="00552FCF"/>
    <w:rsid w:val="005530AD"/>
    <w:rsid w:val="00553667"/>
    <w:rsid w:val="00553718"/>
    <w:rsid w:val="00554031"/>
    <w:rsid w:val="0055443C"/>
    <w:rsid w:val="005548A7"/>
    <w:rsid w:val="00554C98"/>
    <w:rsid w:val="00554EC4"/>
    <w:rsid w:val="00554EEF"/>
    <w:rsid w:val="005553DF"/>
    <w:rsid w:val="00555623"/>
    <w:rsid w:val="0055585D"/>
    <w:rsid w:val="00555B7E"/>
    <w:rsid w:val="00555FD6"/>
    <w:rsid w:val="00556163"/>
    <w:rsid w:val="0055637F"/>
    <w:rsid w:val="00557518"/>
    <w:rsid w:val="0055752E"/>
    <w:rsid w:val="005577C6"/>
    <w:rsid w:val="005578C5"/>
    <w:rsid w:val="005579FA"/>
    <w:rsid w:val="00557D09"/>
    <w:rsid w:val="00557E7B"/>
    <w:rsid w:val="00560578"/>
    <w:rsid w:val="00560D01"/>
    <w:rsid w:val="00560EF8"/>
    <w:rsid w:val="00561650"/>
    <w:rsid w:val="00561A4E"/>
    <w:rsid w:val="0056214F"/>
    <w:rsid w:val="00562CA4"/>
    <w:rsid w:val="00562EDF"/>
    <w:rsid w:val="005635BB"/>
    <w:rsid w:val="005638C3"/>
    <w:rsid w:val="00563AB6"/>
    <w:rsid w:val="00563EC0"/>
    <w:rsid w:val="00564332"/>
    <w:rsid w:val="0056448C"/>
    <w:rsid w:val="005650C3"/>
    <w:rsid w:val="00565260"/>
    <w:rsid w:val="005653E3"/>
    <w:rsid w:val="00565C05"/>
    <w:rsid w:val="00566458"/>
    <w:rsid w:val="005668D5"/>
    <w:rsid w:val="00566D06"/>
    <w:rsid w:val="00566F16"/>
    <w:rsid w:val="005670DB"/>
    <w:rsid w:val="0056753A"/>
    <w:rsid w:val="005675F6"/>
    <w:rsid w:val="00567843"/>
    <w:rsid w:val="00567D53"/>
    <w:rsid w:val="005700E5"/>
    <w:rsid w:val="005706A0"/>
    <w:rsid w:val="005708FC"/>
    <w:rsid w:val="0057092A"/>
    <w:rsid w:val="0057095C"/>
    <w:rsid w:val="00570AC4"/>
    <w:rsid w:val="00570F43"/>
    <w:rsid w:val="00571168"/>
    <w:rsid w:val="0057163B"/>
    <w:rsid w:val="005718A9"/>
    <w:rsid w:val="005718B6"/>
    <w:rsid w:val="005719DE"/>
    <w:rsid w:val="005719FA"/>
    <w:rsid w:val="00571AF9"/>
    <w:rsid w:val="00571B1B"/>
    <w:rsid w:val="00571DA4"/>
    <w:rsid w:val="00572395"/>
    <w:rsid w:val="005723C3"/>
    <w:rsid w:val="00572748"/>
    <w:rsid w:val="005727AF"/>
    <w:rsid w:val="00572840"/>
    <w:rsid w:val="0057288F"/>
    <w:rsid w:val="00572977"/>
    <w:rsid w:val="00572A1B"/>
    <w:rsid w:val="00572AD5"/>
    <w:rsid w:val="005730C2"/>
    <w:rsid w:val="005737F0"/>
    <w:rsid w:val="0057388B"/>
    <w:rsid w:val="0057398C"/>
    <w:rsid w:val="00573DC5"/>
    <w:rsid w:val="00573F75"/>
    <w:rsid w:val="005740CA"/>
    <w:rsid w:val="005740F6"/>
    <w:rsid w:val="00574DD3"/>
    <w:rsid w:val="0057506F"/>
    <w:rsid w:val="00575166"/>
    <w:rsid w:val="005752C3"/>
    <w:rsid w:val="0057537E"/>
    <w:rsid w:val="00575694"/>
    <w:rsid w:val="0057586A"/>
    <w:rsid w:val="00575A36"/>
    <w:rsid w:val="00575BBD"/>
    <w:rsid w:val="00575E0B"/>
    <w:rsid w:val="00575FB0"/>
    <w:rsid w:val="00576314"/>
    <w:rsid w:val="005768D5"/>
    <w:rsid w:val="0057721A"/>
    <w:rsid w:val="005773B0"/>
    <w:rsid w:val="0057771C"/>
    <w:rsid w:val="00577764"/>
    <w:rsid w:val="00577D41"/>
    <w:rsid w:val="00577D94"/>
    <w:rsid w:val="00577FE3"/>
    <w:rsid w:val="005805C2"/>
    <w:rsid w:val="00580732"/>
    <w:rsid w:val="0058083F"/>
    <w:rsid w:val="00580895"/>
    <w:rsid w:val="0058098F"/>
    <w:rsid w:val="00581497"/>
    <w:rsid w:val="005815A7"/>
    <w:rsid w:val="00581AED"/>
    <w:rsid w:val="00581B6E"/>
    <w:rsid w:val="00581CF4"/>
    <w:rsid w:val="00581F25"/>
    <w:rsid w:val="00582215"/>
    <w:rsid w:val="00582370"/>
    <w:rsid w:val="00582D73"/>
    <w:rsid w:val="005832B4"/>
    <w:rsid w:val="0058363F"/>
    <w:rsid w:val="0058370D"/>
    <w:rsid w:val="00583882"/>
    <w:rsid w:val="00583F33"/>
    <w:rsid w:val="00583F8C"/>
    <w:rsid w:val="005841BC"/>
    <w:rsid w:val="00584726"/>
    <w:rsid w:val="00584901"/>
    <w:rsid w:val="00584BAC"/>
    <w:rsid w:val="00584C3A"/>
    <w:rsid w:val="00584DED"/>
    <w:rsid w:val="00584E06"/>
    <w:rsid w:val="00584EB3"/>
    <w:rsid w:val="0058616F"/>
    <w:rsid w:val="005863C5"/>
    <w:rsid w:val="00586502"/>
    <w:rsid w:val="00586843"/>
    <w:rsid w:val="00586930"/>
    <w:rsid w:val="00586B1D"/>
    <w:rsid w:val="00587145"/>
    <w:rsid w:val="005872A4"/>
    <w:rsid w:val="00587304"/>
    <w:rsid w:val="005879B0"/>
    <w:rsid w:val="00587D20"/>
    <w:rsid w:val="0059027D"/>
    <w:rsid w:val="005902AA"/>
    <w:rsid w:val="00590609"/>
    <w:rsid w:val="00590FB6"/>
    <w:rsid w:val="005912F0"/>
    <w:rsid w:val="005913EA"/>
    <w:rsid w:val="00591449"/>
    <w:rsid w:val="005915BA"/>
    <w:rsid w:val="00591D4B"/>
    <w:rsid w:val="005926A5"/>
    <w:rsid w:val="00593174"/>
    <w:rsid w:val="00593822"/>
    <w:rsid w:val="00593A3F"/>
    <w:rsid w:val="00593C85"/>
    <w:rsid w:val="00594573"/>
    <w:rsid w:val="00594D58"/>
    <w:rsid w:val="00594F29"/>
    <w:rsid w:val="00594F57"/>
    <w:rsid w:val="005950C2"/>
    <w:rsid w:val="005953C5"/>
    <w:rsid w:val="0059544A"/>
    <w:rsid w:val="00595891"/>
    <w:rsid w:val="005964E0"/>
    <w:rsid w:val="00596C86"/>
    <w:rsid w:val="005979D0"/>
    <w:rsid w:val="005A03B3"/>
    <w:rsid w:val="005A03C2"/>
    <w:rsid w:val="005A060E"/>
    <w:rsid w:val="005A07AD"/>
    <w:rsid w:val="005A1303"/>
    <w:rsid w:val="005A1612"/>
    <w:rsid w:val="005A1882"/>
    <w:rsid w:val="005A18E3"/>
    <w:rsid w:val="005A1DD5"/>
    <w:rsid w:val="005A214A"/>
    <w:rsid w:val="005A2ADA"/>
    <w:rsid w:val="005A2BBC"/>
    <w:rsid w:val="005A2D8A"/>
    <w:rsid w:val="005A2DDD"/>
    <w:rsid w:val="005A31CD"/>
    <w:rsid w:val="005A3243"/>
    <w:rsid w:val="005A35A2"/>
    <w:rsid w:val="005A452F"/>
    <w:rsid w:val="005A4747"/>
    <w:rsid w:val="005A4B5E"/>
    <w:rsid w:val="005A4CB5"/>
    <w:rsid w:val="005A4FB3"/>
    <w:rsid w:val="005A5087"/>
    <w:rsid w:val="005A57C2"/>
    <w:rsid w:val="005A5AAA"/>
    <w:rsid w:val="005A5FF6"/>
    <w:rsid w:val="005A6043"/>
    <w:rsid w:val="005A6595"/>
    <w:rsid w:val="005A6778"/>
    <w:rsid w:val="005A68FF"/>
    <w:rsid w:val="005A6920"/>
    <w:rsid w:val="005A69D2"/>
    <w:rsid w:val="005A6FA7"/>
    <w:rsid w:val="005A7241"/>
    <w:rsid w:val="005A73BC"/>
    <w:rsid w:val="005A7445"/>
    <w:rsid w:val="005B043D"/>
    <w:rsid w:val="005B044E"/>
    <w:rsid w:val="005B0B01"/>
    <w:rsid w:val="005B0CED"/>
    <w:rsid w:val="005B0DBE"/>
    <w:rsid w:val="005B105B"/>
    <w:rsid w:val="005B105E"/>
    <w:rsid w:val="005B10AE"/>
    <w:rsid w:val="005B141D"/>
    <w:rsid w:val="005B172D"/>
    <w:rsid w:val="005B1A45"/>
    <w:rsid w:val="005B1B33"/>
    <w:rsid w:val="005B1D9E"/>
    <w:rsid w:val="005B1E9B"/>
    <w:rsid w:val="005B202B"/>
    <w:rsid w:val="005B23E2"/>
    <w:rsid w:val="005B28B8"/>
    <w:rsid w:val="005B2B84"/>
    <w:rsid w:val="005B3A2C"/>
    <w:rsid w:val="005B3E59"/>
    <w:rsid w:val="005B3F09"/>
    <w:rsid w:val="005B41BA"/>
    <w:rsid w:val="005B457C"/>
    <w:rsid w:val="005B48E0"/>
    <w:rsid w:val="005B4A14"/>
    <w:rsid w:val="005B4BD8"/>
    <w:rsid w:val="005B4C24"/>
    <w:rsid w:val="005B5448"/>
    <w:rsid w:val="005B577D"/>
    <w:rsid w:val="005B5A73"/>
    <w:rsid w:val="005B5AAC"/>
    <w:rsid w:val="005B5B91"/>
    <w:rsid w:val="005B5C26"/>
    <w:rsid w:val="005B5D22"/>
    <w:rsid w:val="005B6250"/>
    <w:rsid w:val="005B684F"/>
    <w:rsid w:val="005B6CFE"/>
    <w:rsid w:val="005B6F25"/>
    <w:rsid w:val="005B7078"/>
    <w:rsid w:val="005B73A2"/>
    <w:rsid w:val="005B75E9"/>
    <w:rsid w:val="005B7C36"/>
    <w:rsid w:val="005B7F5A"/>
    <w:rsid w:val="005C012D"/>
    <w:rsid w:val="005C08C7"/>
    <w:rsid w:val="005C0B52"/>
    <w:rsid w:val="005C1515"/>
    <w:rsid w:val="005C1A2D"/>
    <w:rsid w:val="005C2070"/>
    <w:rsid w:val="005C2771"/>
    <w:rsid w:val="005C29EF"/>
    <w:rsid w:val="005C2BD4"/>
    <w:rsid w:val="005C2DEC"/>
    <w:rsid w:val="005C354A"/>
    <w:rsid w:val="005C383D"/>
    <w:rsid w:val="005C3973"/>
    <w:rsid w:val="005C3AA9"/>
    <w:rsid w:val="005C3F5B"/>
    <w:rsid w:val="005C4167"/>
    <w:rsid w:val="005C4211"/>
    <w:rsid w:val="005C4DC7"/>
    <w:rsid w:val="005C51E9"/>
    <w:rsid w:val="005C5234"/>
    <w:rsid w:val="005C5B02"/>
    <w:rsid w:val="005C5B10"/>
    <w:rsid w:val="005C65C3"/>
    <w:rsid w:val="005C6A93"/>
    <w:rsid w:val="005C6D89"/>
    <w:rsid w:val="005C6E45"/>
    <w:rsid w:val="005C711E"/>
    <w:rsid w:val="005C72CC"/>
    <w:rsid w:val="005C74EE"/>
    <w:rsid w:val="005C7748"/>
    <w:rsid w:val="005C7796"/>
    <w:rsid w:val="005C7B55"/>
    <w:rsid w:val="005D05B1"/>
    <w:rsid w:val="005D05E2"/>
    <w:rsid w:val="005D077E"/>
    <w:rsid w:val="005D0BC0"/>
    <w:rsid w:val="005D0D2B"/>
    <w:rsid w:val="005D1849"/>
    <w:rsid w:val="005D19C8"/>
    <w:rsid w:val="005D2312"/>
    <w:rsid w:val="005D251D"/>
    <w:rsid w:val="005D25F8"/>
    <w:rsid w:val="005D2611"/>
    <w:rsid w:val="005D26D6"/>
    <w:rsid w:val="005D2825"/>
    <w:rsid w:val="005D2A8A"/>
    <w:rsid w:val="005D2B3E"/>
    <w:rsid w:val="005D2C48"/>
    <w:rsid w:val="005D358F"/>
    <w:rsid w:val="005D3B78"/>
    <w:rsid w:val="005D3D76"/>
    <w:rsid w:val="005D46CB"/>
    <w:rsid w:val="005D4EA7"/>
    <w:rsid w:val="005D5198"/>
    <w:rsid w:val="005D5791"/>
    <w:rsid w:val="005D5ADC"/>
    <w:rsid w:val="005D5B1B"/>
    <w:rsid w:val="005D5BDB"/>
    <w:rsid w:val="005D6445"/>
    <w:rsid w:val="005D65C7"/>
    <w:rsid w:val="005D6A47"/>
    <w:rsid w:val="005D6A71"/>
    <w:rsid w:val="005D6C9B"/>
    <w:rsid w:val="005D7024"/>
    <w:rsid w:val="005D71E8"/>
    <w:rsid w:val="005D7529"/>
    <w:rsid w:val="005D7557"/>
    <w:rsid w:val="005D7576"/>
    <w:rsid w:val="005D7B0F"/>
    <w:rsid w:val="005D7B5E"/>
    <w:rsid w:val="005D7C4A"/>
    <w:rsid w:val="005D7DF6"/>
    <w:rsid w:val="005E0152"/>
    <w:rsid w:val="005E0236"/>
    <w:rsid w:val="005E02FD"/>
    <w:rsid w:val="005E049E"/>
    <w:rsid w:val="005E0C00"/>
    <w:rsid w:val="005E0EC2"/>
    <w:rsid w:val="005E0F63"/>
    <w:rsid w:val="005E1089"/>
    <w:rsid w:val="005E143C"/>
    <w:rsid w:val="005E1724"/>
    <w:rsid w:val="005E172D"/>
    <w:rsid w:val="005E1AD2"/>
    <w:rsid w:val="005E1B67"/>
    <w:rsid w:val="005E1EFD"/>
    <w:rsid w:val="005E1F42"/>
    <w:rsid w:val="005E2216"/>
    <w:rsid w:val="005E28CC"/>
    <w:rsid w:val="005E2FCD"/>
    <w:rsid w:val="005E339C"/>
    <w:rsid w:val="005E38B0"/>
    <w:rsid w:val="005E3977"/>
    <w:rsid w:val="005E3B14"/>
    <w:rsid w:val="005E4094"/>
    <w:rsid w:val="005E46EF"/>
    <w:rsid w:val="005E4889"/>
    <w:rsid w:val="005E4BA7"/>
    <w:rsid w:val="005E4D6F"/>
    <w:rsid w:val="005E4DAD"/>
    <w:rsid w:val="005E5120"/>
    <w:rsid w:val="005E51C1"/>
    <w:rsid w:val="005E5420"/>
    <w:rsid w:val="005E557A"/>
    <w:rsid w:val="005E5719"/>
    <w:rsid w:val="005E5D09"/>
    <w:rsid w:val="005E5DD9"/>
    <w:rsid w:val="005E6292"/>
    <w:rsid w:val="005E62CF"/>
    <w:rsid w:val="005E6563"/>
    <w:rsid w:val="005E668A"/>
    <w:rsid w:val="005E6B93"/>
    <w:rsid w:val="005E7258"/>
    <w:rsid w:val="005E77F5"/>
    <w:rsid w:val="005E7808"/>
    <w:rsid w:val="005E7AB6"/>
    <w:rsid w:val="005E7C84"/>
    <w:rsid w:val="005F034A"/>
    <w:rsid w:val="005F08F0"/>
    <w:rsid w:val="005F0964"/>
    <w:rsid w:val="005F0AED"/>
    <w:rsid w:val="005F0C4F"/>
    <w:rsid w:val="005F1249"/>
    <w:rsid w:val="005F1827"/>
    <w:rsid w:val="005F1B7B"/>
    <w:rsid w:val="005F1B8C"/>
    <w:rsid w:val="005F27DD"/>
    <w:rsid w:val="005F2924"/>
    <w:rsid w:val="005F2A6B"/>
    <w:rsid w:val="005F3013"/>
    <w:rsid w:val="005F3143"/>
    <w:rsid w:val="005F3A71"/>
    <w:rsid w:val="005F3A92"/>
    <w:rsid w:val="005F3BC8"/>
    <w:rsid w:val="005F3C41"/>
    <w:rsid w:val="005F3EBB"/>
    <w:rsid w:val="005F41DA"/>
    <w:rsid w:val="005F41EC"/>
    <w:rsid w:val="005F437C"/>
    <w:rsid w:val="005F44D6"/>
    <w:rsid w:val="005F4622"/>
    <w:rsid w:val="005F4971"/>
    <w:rsid w:val="005F4CB9"/>
    <w:rsid w:val="005F4E18"/>
    <w:rsid w:val="005F5B4A"/>
    <w:rsid w:val="005F5EF4"/>
    <w:rsid w:val="005F6369"/>
    <w:rsid w:val="005F6545"/>
    <w:rsid w:val="005F68E4"/>
    <w:rsid w:val="005F6FE5"/>
    <w:rsid w:val="005F708C"/>
    <w:rsid w:val="005F761A"/>
    <w:rsid w:val="005F7A41"/>
    <w:rsid w:val="00600096"/>
    <w:rsid w:val="00600252"/>
    <w:rsid w:val="00600695"/>
    <w:rsid w:val="0060095B"/>
    <w:rsid w:val="00600A51"/>
    <w:rsid w:val="00600AD1"/>
    <w:rsid w:val="00600C4E"/>
    <w:rsid w:val="00601006"/>
    <w:rsid w:val="0060132D"/>
    <w:rsid w:val="0060149F"/>
    <w:rsid w:val="00601B09"/>
    <w:rsid w:val="00601C52"/>
    <w:rsid w:val="00601C5B"/>
    <w:rsid w:val="00601D85"/>
    <w:rsid w:val="00601EE9"/>
    <w:rsid w:val="00602318"/>
    <w:rsid w:val="0060233B"/>
    <w:rsid w:val="0060254F"/>
    <w:rsid w:val="006025DE"/>
    <w:rsid w:val="0060275A"/>
    <w:rsid w:val="00602785"/>
    <w:rsid w:val="00602988"/>
    <w:rsid w:val="00602ACC"/>
    <w:rsid w:val="00602DE2"/>
    <w:rsid w:val="00603192"/>
    <w:rsid w:val="0060355F"/>
    <w:rsid w:val="00603771"/>
    <w:rsid w:val="0060416C"/>
    <w:rsid w:val="00604181"/>
    <w:rsid w:val="00604757"/>
    <w:rsid w:val="006047F3"/>
    <w:rsid w:val="00605020"/>
    <w:rsid w:val="006051D6"/>
    <w:rsid w:val="00605475"/>
    <w:rsid w:val="00605A15"/>
    <w:rsid w:val="00605E54"/>
    <w:rsid w:val="00605EFE"/>
    <w:rsid w:val="006065DE"/>
    <w:rsid w:val="006065F3"/>
    <w:rsid w:val="006067D8"/>
    <w:rsid w:val="00606D18"/>
    <w:rsid w:val="00606EC9"/>
    <w:rsid w:val="00607173"/>
    <w:rsid w:val="006078E4"/>
    <w:rsid w:val="00607C30"/>
    <w:rsid w:val="00607E0B"/>
    <w:rsid w:val="00607FB0"/>
    <w:rsid w:val="00607FF7"/>
    <w:rsid w:val="0061072D"/>
    <w:rsid w:val="00610BC6"/>
    <w:rsid w:val="00610F18"/>
    <w:rsid w:val="00611C06"/>
    <w:rsid w:val="006120B9"/>
    <w:rsid w:val="00612318"/>
    <w:rsid w:val="00612890"/>
    <w:rsid w:val="0061289F"/>
    <w:rsid w:val="00612939"/>
    <w:rsid w:val="00612A53"/>
    <w:rsid w:val="00612CAF"/>
    <w:rsid w:val="00612F2E"/>
    <w:rsid w:val="006133A4"/>
    <w:rsid w:val="00613900"/>
    <w:rsid w:val="00613CD3"/>
    <w:rsid w:val="00613D3A"/>
    <w:rsid w:val="00614A17"/>
    <w:rsid w:val="00614F45"/>
    <w:rsid w:val="00615260"/>
    <w:rsid w:val="0061530D"/>
    <w:rsid w:val="0061580C"/>
    <w:rsid w:val="006159E7"/>
    <w:rsid w:val="006160A5"/>
    <w:rsid w:val="006168EF"/>
    <w:rsid w:val="00616D07"/>
    <w:rsid w:val="00616DA2"/>
    <w:rsid w:val="00616EF1"/>
    <w:rsid w:val="006170A1"/>
    <w:rsid w:val="00617699"/>
    <w:rsid w:val="00617930"/>
    <w:rsid w:val="00617A0E"/>
    <w:rsid w:val="00617EEA"/>
    <w:rsid w:val="006203FC"/>
    <w:rsid w:val="0062051E"/>
    <w:rsid w:val="0062063B"/>
    <w:rsid w:val="0062064A"/>
    <w:rsid w:val="006209BE"/>
    <w:rsid w:val="00620B1A"/>
    <w:rsid w:val="00620BDD"/>
    <w:rsid w:val="00620E58"/>
    <w:rsid w:val="00620ED4"/>
    <w:rsid w:val="0062141C"/>
    <w:rsid w:val="00621929"/>
    <w:rsid w:val="00621D70"/>
    <w:rsid w:val="00622228"/>
    <w:rsid w:val="00622764"/>
    <w:rsid w:val="00622F70"/>
    <w:rsid w:val="006233A3"/>
    <w:rsid w:val="0062358B"/>
    <w:rsid w:val="006237A2"/>
    <w:rsid w:val="00623A08"/>
    <w:rsid w:val="00623AD7"/>
    <w:rsid w:val="00623BB9"/>
    <w:rsid w:val="00624D5F"/>
    <w:rsid w:val="00624E3D"/>
    <w:rsid w:val="00624F24"/>
    <w:rsid w:val="00624FEA"/>
    <w:rsid w:val="0062525F"/>
    <w:rsid w:val="0062529E"/>
    <w:rsid w:val="0062547C"/>
    <w:rsid w:val="0062571C"/>
    <w:rsid w:val="00625D43"/>
    <w:rsid w:val="00625ECF"/>
    <w:rsid w:val="00625FBE"/>
    <w:rsid w:val="00626488"/>
    <w:rsid w:val="00626BF4"/>
    <w:rsid w:val="00626D08"/>
    <w:rsid w:val="00626E9D"/>
    <w:rsid w:val="0062707E"/>
    <w:rsid w:val="00627743"/>
    <w:rsid w:val="00627783"/>
    <w:rsid w:val="006278CF"/>
    <w:rsid w:val="006278D6"/>
    <w:rsid w:val="00627938"/>
    <w:rsid w:val="006279F8"/>
    <w:rsid w:val="00627A71"/>
    <w:rsid w:val="00630193"/>
    <w:rsid w:val="006301D9"/>
    <w:rsid w:val="006306C1"/>
    <w:rsid w:val="006308BF"/>
    <w:rsid w:val="006309B5"/>
    <w:rsid w:val="00630A5E"/>
    <w:rsid w:val="00630B64"/>
    <w:rsid w:val="00631053"/>
    <w:rsid w:val="006310F5"/>
    <w:rsid w:val="006313EA"/>
    <w:rsid w:val="00631591"/>
    <w:rsid w:val="00631783"/>
    <w:rsid w:val="00631806"/>
    <w:rsid w:val="0063184D"/>
    <w:rsid w:val="00631AF6"/>
    <w:rsid w:val="00631DE0"/>
    <w:rsid w:val="00632BAC"/>
    <w:rsid w:val="00632EB7"/>
    <w:rsid w:val="00632EBB"/>
    <w:rsid w:val="00632EC2"/>
    <w:rsid w:val="00633463"/>
    <w:rsid w:val="006336FE"/>
    <w:rsid w:val="00633773"/>
    <w:rsid w:val="00633A22"/>
    <w:rsid w:val="006343C6"/>
    <w:rsid w:val="0063520E"/>
    <w:rsid w:val="00635B05"/>
    <w:rsid w:val="00635CD3"/>
    <w:rsid w:val="00635EB7"/>
    <w:rsid w:val="006364D2"/>
    <w:rsid w:val="00636F6A"/>
    <w:rsid w:val="006373E3"/>
    <w:rsid w:val="00637401"/>
    <w:rsid w:val="00637AD3"/>
    <w:rsid w:val="00637EE3"/>
    <w:rsid w:val="006403D4"/>
    <w:rsid w:val="0064056E"/>
    <w:rsid w:val="0064073D"/>
    <w:rsid w:val="00640829"/>
    <w:rsid w:val="00640BC1"/>
    <w:rsid w:val="00640F3C"/>
    <w:rsid w:val="00640FA4"/>
    <w:rsid w:val="00641307"/>
    <w:rsid w:val="00641309"/>
    <w:rsid w:val="006415F2"/>
    <w:rsid w:val="0064160A"/>
    <w:rsid w:val="0064175E"/>
    <w:rsid w:val="006417D7"/>
    <w:rsid w:val="00641DD9"/>
    <w:rsid w:val="00641F59"/>
    <w:rsid w:val="00642305"/>
    <w:rsid w:val="00642640"/>
    <w:rsid w:val="00642B6C"/>
    <w:rsid w:val="00642BFC"/>
    <w:rsid w:val="00642C9D"/>
    <w:rsid w:val="00642D43"/>
    <w:rsid w:val="0064352D"/>
    <w:rsid w:val="00643A8E"/>
    <w:rsid w:val="00643E90"/>
    <w:rsid w:val="006440B7"/>
    <w:rsid w:val="00644162"/>
    <w:rsid w:val="0064450A"/>
    <w:rsid w:val="00644DEE"/>
    <w:rsid w:val="006450E6"/>
    <w:rsid w:val="0064588E"/>
    <w:rsid w:val="00645AE2"/>
    <w:rsid w:val="00645C27"/>
    <w:rsid w:val="00645EBF"/>
    <w:rsid w:val="00645EDB"/>
    <w:rsid w:val="006464BA"/>
    <w:rsid w:val="00646866"/>
    <w:rsid w:val="00646A6B"/>
    <w:rsid w:val="00647441"/>
    <w:rsid w:val="00647829"/>
    <w:rsid w:val="00647965"/>
    <w:rsid w:val="00647B5B"/>
    <w:rsid w:val="0065110C"/>
    <w:rsid w:val="00651253"/>
    <w:rsid w:val="0065142C"/>
    <w:rsid w:val="006517B8"/>
    <w:rsid w:val="00651A87"/>
    <w:rsid w:val="00652221"/>
    <w:rsid w:val="0065230B"/>
    <w:rsid w:val="00652952"/>
    <w:rsid w:val="006529DE"/>
    <w:rsid w:val="006529DF"/>
    <w:rsid w:val="00652E4B"/>
    <w:rsid w:val="006530B2"/>
    <w:rsid w:val="006535FC"/>
    <w:rsid w:val="00653E7D"/>
    <w:rsid w:val="00654C2C"/>
    <w:rsid w:val="00654C67"/>
    <w:rsid w:val="00654D3B"/>
    <w:rsid w:val="00655066"/>
    <w:rsid w:val="0065506A"/>
    <w:rsid w:val="00655416"/>
    <w:rsid w:val="0065576B"/>
    <w:rsid w:val="00655EA1"/>
    <w:rsid w:val="00655EBC"/>
    <w:rsid w:val="00655FFD"/>
    <w:rsid w:val="006561F9"/>
    <w:rsid w:val="006564A1"/>
    <w:rsid w:val="006566CE"/>
    <w:rsid w:val="00656953"/>
    <w:rsid w:val="0065728D"/>
    <w:rsid w:val="006577C7"/>
    <w:rsid w:val="00657E7C"/>
    <w:rsid w:val="00657E7E"/>
    <w:rsid w:val="00660199"/>
    <w:rsid w:val="0066036B"/>
    <w:rsid w:val="0066062B"/>
    <w:rsid w:val="0066186C"/>
    <w:rsid w:val="00661D7A"/>
    <w:rsid w:val="00661F25"/>
    <w:rsid w:val="00661F86"/>
    <w:rsid w:val="0066225D"/>
    <w:rsid w:val="00662E03"/>
    <w:rsid w:val="00663039"/>
    <w:rsid w:val="0066312D"/>
    <w:rsid w:val="0066330C"/>
    <w:rsid w:val="00663459"/>
    <w:rsid w:val="006635F5"/>
    <w:rsid w:val="00663990"/>
    <w:rsid w:val="00663B8D"/>
    <w:rsid w:val="006640CC"/>
    <w:rsid w:val="006640D8"/>
    <w:rsid w:val="006641F5"/>
    <w:rsid w:val="00664443"/>
    <w:rsid w:val="006648C0"/>
    <w:rsid w:val="006648CF"/>
    <w:rsid w:val="00665460"/>
    <w:rsid w:val="0066575E"/>
    <w:rsid w:val="0066577E"/>
    <w:rsid w:val="00665950"/>
    <w:rsid w:val="00665E80"/>
    <w:rsid w:val="00665E8A"/>
    <w:rsid w:val="0066628B"/>
    <w:rsid w:val="0066633C"/>
    <w:rsid w:val="0066641B"/>
    <w:rsid w:val="00666634"/>
    <w:rsid w:val="006667EE"/>
    <w:rsid w:val="00666FC8"/>
    <w:rsid w:val="0066722C"/>
    <w:rsid w:val="006672CB"/>
    <w:rsid w:val="006673F8"/>
    <w:rsid w:val="006676A6"/>
    <w:rsid w:val="00667FCC"/>
    <w:rsid w:val="0067039C"/>
    <w:rsid w:val="006704CE"/>
    <w:rsid w:val="00670627"/>
    <w:rsid w:val="00671620"/>
    <w:rsid w:val="006718F9"/>
    <w:rsid w:val="00671AC2"/>
    <w:rsid w:val="00671BA9"/>
    <w:rsid w:val="00671C63"/>
    <w:rsid w:val="0067245E"/>
    <w:rsid w:val="0067279A"/>
    <w:rsid w:val="00672D1A"/>
    <w:rsid w:val="00672DE2"/>
    <w:rsid w:val="006730F1"/>
    <w:rsid w:val="0067323D"/>
    <w:rsid w:val="00673BA4"/>
    <w:rsid w:val="00673FDB"/>
    <w:rsid w:val="00674461"/>
    <w:rsid w:val="00674727"/>
    <w:rsid w:val="006748A4"/>
    <w:rsid w:val="006749F6"/>
    <w:rsid w:val="00674A94"/>
    <w:rsid w:val="006752C3"/>
    <w:rsid w:val="006754CD"/>
    <w:rsid w:val="00675AF5"/>
    <w:rsid w:val="00675B40"/>
    <w:rsid w:val="0067607E"/>
    <w:rsid w:val="00676624"/>
    <w:rsid w:val="00677FFE"/>
    <w:rsid w:val="006801A3"/>
    <w:rsid w:val="006801C2"/>
    <w:rsid w:val="00680771"/>
    <w:rsid w:val="00680794"/>
    <w:rsid w:val="0068089F"/>
    <w:rsid w:val="00680992"/>
    <w:rsid w:val="00680D58"/>
    <w:rsid w:val="006812EB"/>
    <w:rsid w:val="00681315"/>
    <w:rsid w:val="0068138B"/>
    <w:rsid w:val="006816DA"/>
    <w:rsid w:val="00681A16"/>
    <w:rsid w:val="00681A8E"/>
    <w:rsid w:val="006821DC"/>
    <w:rsid w:val="0068222C"/>
    <w:rsid w:val="006822FD"/>
    <w:rsid w:val="00682D04"/>
    <w:rsid w:val="00682FE7"/>
    <w:rsid w:val="006830E2"/>
    <w:rsid w:val="00683149"/>
    <w:rsid w:val="0068353F"/>
    <w:rsid w:val="006835A6"/>
    <w:rsid w:val="0068365B"/>
    <w:rsid w:val="0068379F"/>
    <w:rsid w:val="00683962"/>
    <w:rsid w:val="00683B0C"/>
    <w:rsid w:val="00683E2C"/>
    <w:rsid w:val="006842B6"/>
    <w:rsid w:val="006842F1"/>
    <w:rsid w:val="00684370"/>
    <w:rsid w:val="006846DF"/>
    <w:rsid w:val="0068493D"/>
    <w:rsid w:val="00685088"/>
    <w:rsid w:val="00685299"/>
    <w:rsid w:val="00685C8E"/>
    <w:rsid w:val="006863B4"/>
    <w:rsid w:val="0068667D"/>
    <w:rsid w:val="006871DB"/>
    <w:rsid w:val="00687242"/>
    <w:rsid w:val="0068781E"/>
    <w:rsid w:val="00687910"/>
    <w:rsid w:val="00687BEA"/>
    <w:rsid w:val="00687C1E"/>
    <w:rsid w:val="00687F47"/>
    <w:rsid w:val="00690BC9"/>
    <w:rsid w:val="00690C76"/>
    <w:rsid w:val="00690F5B"/>
    <w:rsid w:val="00691316"/>
    <w:rsid w:val="00691330"/>
    <w:rsid w:val="006913F9"/>
    <w:rsid w:val="00691657"/>
    <w:rsid w:val="00691D9C"/>
    <w:rsid w:val="00692325"/>
    <w:rsid w:val="00692B23"/>
    <w:rsid w:val="00692CD3"/>
    <w:rsid w:val="00693531"/>
    <w:rsid w:val="00693544"/>
    <w:rsid w:val="00693795"/>
    <w:rsid w:val="00693884"/>
    <w:rsid w:val="00693C30"/>
    <w:rsid w:val="006943AD"/>
    <w:rsid w:val="006947AB"/>
    <w:rsid w:val="00694AF5"/>
    <w:rsid w:val="00695448"/>
    <w:rsid w:val="00695C34"/>
    <w:rsid w:val="00695C3B"/>
    <w:rsid w:val="00695ECA"/>
    <w:rsid w:val="006969C9"/>
    <w:rsid w:val="00696BD8"/>
    <w:rsid w:val="00696C5D"/>
    <w:rsid w:val="00696FD8"/>
    <w:rsid w:val="006979DC"/>
    <w:rsid w:val="006A0206"/>
    <w:rsid w:val="006A0500"/>
    <w:rsid w:val="006A0557"/>
    <w:rsid w:val="006A0597"/>
    <w:rsid w:val="006A05EC"/>
    <w:rsid w:val="006A0D61"/>
    <w:rsid w:val="006A0F27"/>
    <w:rsid w:val="006A1772"/>
    <w:rsid w:val="006A192A"/>
    <w:rsid w:val="006A237D"/>
    <w:rsid w:val="006A2705"/>
    <w:rsid w:val="006A29A0"/>
    <w:rsid w:val="006A3296"/>
    <w:rsid w:val="006A3442"/>
    <w:rsid w:val="006A3599"/>
    <w:rsid w:val="006A3941"/>
    <w:rsid w:val="006A3AF1"/>
    <w:rsid w:val="006A3FF6"/>
    <w:rsid w:val="006A4647"/>
    <w:rsid w:val="006A4AC9"/>
    <w:rsid w:val="006A4F75"/>
    <w:rsid w:val="006A507F"/>
    <w:rsid w:val="006A535A"/>
    <w:rsid w:val="006A5817"/>
    <w:rsid w:val="006A5893"/>
    <w:rsid w:val="006A63BC"/>
    <w:rsid w:val="006A66CB"/>
    <w:rsid w:val="006A69F1"/>
    <w:rsid w:val="006A6C95"/>
    <w:rsid w:val="006A6E56"/>
    <w:rsid w:val="006A6F9E"/>
    <w:rsid w:val="006A7803"/>
    <w:rsid w:val="006A7D50"/>
    <w:rsid w:val="006B0081"/>
    <w:rsid w:val="006B0222"/>
    <w:rsid w:val="006B085D"/>
    <w:rsid w:val="006B0B2E"/>
    <w:rsid w:val="006B10BE"/>
    <w:rsid w:val="006B1248"/>
    <w:rsid w:val="006B1E42"/>
    <w:rsid w:val="006B2133"/>
    <w:rsid w:val="006B2274"/>
    <w:rsid w:val="006B24CA"/>
    <w:rsid w:val="006B261E"/>
    <w:rsid w:val="006B2753"/>
    <w:rsid w:val="006B28B9"/>
    <w:rsid w:val="006B2E68"/>
    <w:rsid w:val="006B3082"/>
    <w:rsid w:val="006B3588"/>
    <w:rsid w:val="006B3A2A"/>
    <w:rsid w:val="006B3AE9"/>
    <w:rsid w:val="006B43E2"/>
    <w:rsid w:val="006B4537"/>
    <w:rsid w:val="006B4544"/>
    <w:rsid w:val="006B461A"/>
    <w:rsid w:val="006B48BA"/>
    <w:rsid w:val="006B4DE7"/>
    <w:rsid w:val="006B4F81"/>
    <w:rsid w:val="006B513B"/>
    <w:rsid w:val="006B5373"/>
    <w:rsid w:val="006B5EC2"/>
    <w:rsid w:val="006B6474"/>
    <w:rsid w:val="006B66BF"/>
    <w:rsid w:val="006B66E9"/>
    <w:rsid w:val="006B6BD4"/>
    <w:rsid w:val="006B6D48"/>
    <w:rsid w:val="006B70CF"/>
    <w:rsid w:val="006B73B1"/>
    <w:rsid w:val="006B749F"/>
    <w:rsid w:val="006B7B21"/>
    <w:rsid w:val="006B7BBD"/>
    <w:rsid w:val="006B7BC1"/>
    <w:rsid w:val="006B7C19"/>
    <w:rsid w:val="006B7F6D"/>
    <w:rsid w:val="006C0E03"/>
    <w:rsid w:val="006C0E06"/>
    <w:rsid w:val="006C0E96"/>
    <w:rsid w:val="006C176D"/>
    <w:rsid w:val="006C1774"/>
    <w:rsid w:val="006C17E4"/>
    <w:rsid w:val="006C1AA9"/>
    <w:rsid w:val="006C1EAC"/>
    <w:rsid w:val="006C23A2"/>
    <w:rsid w:val="006C28AC"/>
    <w:rsid w:val="006C29BD"/>
    <w:rsid w:val="006C3357"/>
    <w:rsid w:val="006C345F"/>
    <w:rsid w:val="006C39BD"/>
    <w:rsid w:val="006C3FBD"/>
    <w:rsid w:val="006C4533"/>
    <w:rsid w:val="006C453A"/>
    <w:rsid w:val="006C495A"/>
    <w:rsid w:val="006C4DE2"/>
    <w:rsid w:val="006C5080"/>
    <w:rsid w:val="006C50EA"/>
    <w:rsid w:val="006C56EE"/>
    <w:rsid w:val="006C5A17"/>
    <w:rsid w:val="006C5B4E"/>
    <w:rsid w:val="006C5CDF"/>
    <w:rsid w:val="006C5DAE"/>
    <w:rsid w:val="006C5EE5"/>
    <w:rsid w:val="006C603A"/>
    <w:rsid w:val="006C6455"/>
    <w:rsid w:val="006C64DD"/>
    <w:rsid w:val="006C67D2"/>
    <w:rsid w:val="006C682D"/>
    <w:rsid w:val="006C6B71"/>
    <w:rsid w:val="006C7292"/>
    <w:rsid w:val="006C76A4"/>
    <w:rsid w:val="006C789F"/>
    <w:rsid w:val="006D02E5"/>
    <w:rsid w:val="006D04B7"/>
    <w:rsid w:val="006D05A3"/>
    <w:rsid w:val="006D1012"/>
    <w:rsid w:val="006D1D94"/>
    <w:rsid w:val="006D2082"/>
    <w:rsid w:val="006D21E6"/>
    <w:rsid w:val="006D27AB"/>
    <w:rsid w:val="006D27DC"/>
    <w:rsid w:val="006D2980"/>
    <w:rsid w:val="006D30B3"/>
    <w:rsid w:val="006D322F"/>
    <w:rsid w:val="006D3257"/>
    <w:rsid w:val="006D3BDD"/>
    <w:rsid w:val="006D449B"/>
    <w:rsid w:val="006D4764"/>
    <w:rsid w:val="006D4849"/>
    <w:rsid w:val="006D4AE2"/>
    <w:rsid w:val="006D4BC6"/>
    <w:rsid w:val="006D5086"/>
    <w:rsid w:val="006D5324"/>
    <w:rsid w:val="006D5331"/>
    <w:rsid w:val="006D5362"/>
    <w:rsid w:val="006D5A6A"/>
    <w:rsid w:val="006D5D2D"/>
    <w:rsid w:val="006D5D47"/>
    <w:rsid w:val="006D620D"/>
    <w:rsid w:val="006D6680"/>
    <w:rsid w:val="006D688E"/>
    <w:rsid w:val="006D6ADE"/>
    <w:rsid w:val="006D6B52"/>
    <w:rsid w:val="006D7027"/>
    <w:rsid w:val="006D70F1"/>
    <w:rsid w:val="006D7EE4"/>
    <w:rsid w:val="006E0224"/>
    <w:rsid w:val="006E070C"/>
    <w:rsid w:val="006E0882"/>
    <w:rsid w:val="006E0F32"/>
    <w:rsid w:val="006E1078"/>
    <w:rsid w:val="006E1711"/>
    <w:rsid w:val="006E1A52"/>
    <w:rsid w:val="006E1BFC"/>
    <w:rsid w:val="006E21EF"/>
    <w:rsid w:val="006E2232"/>
    <w:rsid w:val="006E2A2C"/>
    <w:rsid w:val="006E2B3F"/>
    <w:rsid w:val="006E2F8A"/>
    <w:rsid w:val="006E3696"/>
    <w:rsid w:val="006E395F"/>
    <w:rsid w:val="006E3E93"/>
    <w:rsid w:val="006E45C5"/>
    <w:rsid w:val="006E4630"/>
    <w:rsid w:val="006E4866"/>
    <w:rsid w:val="006E50CC"/>
    <w:rsid w:val="006E5227"/>
    <w:rsid w:val="006E54F7"/>
    <w:rsid w:val="006E57BF"/>
    <w:rsid w:val="006E5C5E"/>
    <w:rsid w:val="006E6075"/>
    <w:rsid w:val="006E64DB"/>
    <w:rsid w:val="006E6535"/>
    <w:rsid w:val="006E654A"/>
    <w:rsid w:val="006E6613"/>
    <w:rsid w:val="006E7201"/>
    <w:rsid w:val="006E74C7"/>
    <w:rsid w:val="006E7836"/>
    <w:rsid w:val="006E7A55"/>
    <w:rsid w:val="006E7CC7"/>
    <w:rsid w:val="006E7CE5"/>
    <w:rsid w:val="006E7E25"/>
    <w:rsid w:val="006F03D3"/>
    <w:rsid w:val="006F0762"/>
    <w:rsid w:val="006F0910"/>
    <w:rsid w:val="006F09F2"/>
    <w:rsid w:val="006F0DD9"/>
    <w:rsid w:val="006F1029"/>
    <w:rsid w:val="006F1617"/>
    <w:rsid w:val="006F1A05"/>
    <w:rsid w:val="006F1A90"/>
    <w:rsid w:val="006F1E6D"/>
    <w:rsid w:val="006F2015"/>
    <w:rsid w:val="006F22D6"/>
    <w:rsid w:val="006F2395"/>
    <w:rsid w:val="006F2739"/>
    <w:rsid w:val="006F2B6F"/>
    <w:rsid w:val="006F37C1"/>
    <w:rsid w:val="006F4189"/>
    <w:rsid w:val="006F41D2"/>
    <w:rsid w:val="006F4903"/>
    <w:rsid w:val="006F515F"/>
    <w:rsid w:val="006F56AC"/>
    <w:rsid w:val="006F5842"/>
    <w:rsid w:val="006F631C"/>
    <w:rsid w:val="006F6583"/>
    <w:rsid w:val="006F6850"/>
    <w:rsid w:val="006F69E0"/>
    <w:rsid w:val="006F6BDC"/>
    <w:rsid w:val="006F77F2"/>
    <w:rsid w:val="006F7DFC"/>
    <w:rsid w:val="00700057"/>
    <w:rsid w:val="007006A1"/>
    <w:rsid w:val="00700C7F"/>
    <w:rsid w:val="00700F0A"/>
    <w:rsid w:val="0070145D"/>
    <w:rsid w:val="0070155F"/>
    <w:rsid w:val="00701672"/>
    <w:rsid w:val="00701B53"/>
    <w:rsid w:val="00701DF5"/>
    <w:rsid w:val="00702195"/>
    <w:rsid w:val="007023B1"/>
    <w:rsid w:val="00702591"/>
    <w:rsid w:val="00702AB2"/>
    <w:rsid w:val="00702F66"/>
    <w:rsid w:val="00703041"/>
    <w:rsid w:val="00703149"/>
    <w:rsid w:val="0070335A"/>
    <w:rsid w:val="007033DF"/>
    <w:rsid w:val="007034AF"/>
    <w:rsid w:val="00703601"/>
    <w:rsid w:val="00703DE0"/>
    <w:rsid w:val="00703EC5"/>
    <w:rsid w:val="0070422A"/>
    <w:rsid w:val="00704686"/>
    <w:rsid w:val="0070484E"/>
    <w:rsid w:val="00704C5D"/>
    <w:rsid w:val="00704D00"/>
    <w:rsid w:val="00704ED9"/>
    <w:rsid w:val="00704F2E"/>
    <w:rsid w:val="00705331"/>
    <w:rsid w:val="007055E0"/>
    <w:rsid w:val="0070583E"/>
    <w:rsid w:val="00705A26"/>
    <w:rsid w:val="007063A5"/>
    <w:rsid w:val="0070668F"/>
    <w:rsid w:val="00706BCF"/>
    <w:rsid w:val="00706FA9"/>
    <w:rsid w:val="00707022"/>
    <w:rsid w:val="007070F5"/>
    <w:rsid w:val="00707ABC"/>
    <w:rsid w:val="00707B42"/>
    <w:rsid w:val="00707DE7"/>
    <w:rsid w:val="00707DE9"/>
    <w:rsid w:val="00710183"/>
    <w:rsid w:val="007102C9"/>
    <w:rsid w:val="007106A4"/>
    <w:rsid w:val="00710E6A"/>
    <w:rsid w:val="00711010"/>
    <w:rsid w:val="0071101C"/>
    <w:rsid w:val="00711087"/>
    <w:rsid w:val="00711187"/>
    <w:rsid w:val="007113F9"/>
    <w:rsid w:val="007114AB"/>
    <w:rsid w:val="0071180F"/>
    <w:rsid w:val="007118B8"/>
    <w:rsid w:val="00711D44"/>
    <w:rsid w:val="00712452"/>
    <w:rsid w:val="00712654"/>
    <w:rsid w:val="00712A1A"/>
    <w:rsid w:val="00712A7B"/>
    <w:rsid w:val="00712DD0"/>
    <w:rsid w:val="00713D07"/>
    <w:rsid w:val="00713E7D"/>
    <w:rsid w:val="00713FEC"/>
    <w:rsid w:val="0071422E"/>
    <w:rsid w:val="00714CE1"/>
    <w:rsid w:val="00714FD2"/>
    <w:rsid w:val="0071502E"/>
    <w:rsid w:val="00715E3B"/>
    <w:rsid w:val="00715EA8"/>
    <w:rsid w:val="00715F05"/>
    <w:rsid w:val="00715F9B"/>
    <w:rsid w:val="007161E5"/>
    <w:rsid w:val="007168DB"/>
    <w:rsid w:val="007168E4"/>
    <w:rsid w:val="00716B51"/>
    <w:rsid w:val="00716D1F"/>
    <w:rsid w:val="0071710E"/>
    <w:rsid w:val="0071714A"/>
    <w:rsid w:val="00717196"/>
    <w:rsid w:val="00717853"/>
    <w:rsid w:val="00717A89"/>
    <w:rsid w:val="0072019F"/>
    <w:rsid w:val="0072188F"/>
    <w:rsid w:val="00721D6C"/>
    <w:rsid w:val="00721E24"/>
    <w:rsid w:val="00721EBF"/>
    <w:rsid w:val="00722784"/>
    <w:rsid w:val="007229EE"/>
    <w:rsid w:val="00722A10"/>
    <w:rsid w:val="007230FA"/>
    <w:rsid w:val="00723693"/>
    <w:rsid w:val="007237B6"/>
    <w:rsid w:val="00723C15"/>
    <w:rsid w:val="00723D04"/>
    <w:rsid w:val="00723D52"/>
    <w:rsid w:val="00723D99"/>
    <w:rsid w:val="00724799"/>
    <w:rsid w:val="00724B5E"/>
    <w:rsid w:val="00725A67"/>
    <w:rsid w:val="00726735"/>
    <w:rsid w:val="00726ADF"/>
    <w:rsid w:val="00726BC8"/>
    <w:rsid w:val="00726DA4"/>
    <w:rsid w:val="00727865"/>
    <w:rsid w:val="00727873"/>
    <w:rsid w:val="0072792B"/>
    <w:rsid w:val="007279B5"/>
    <w:rsid w:val="00727B9D"/>
    <w:rsid w:val="00727EBA"/>
    <w:rsid w:val="00727ECF"/>
    <w:rsid w:val="007304B2"/>
    <w:rsid w:val="0073080A"/>
    <w:rsid w:val="00731144"/>
    <w:rsid w:val="007314E0"/>
    <w:rsid w:val="00731B3A"/>
    <w:rsid w:val="0073210A"/>
    <w:rsid w:val="007321E8"/>
    <w:rsid w:val="007323F8"/>
    <w:rsid w:val="007325C5"/>
    <w:rsid w:val="00732623"/>
    <w:rsid w:val="00733E1B"/>
    <w:rsid w:val="007340AA"/>
    <w:rsid w:val="007345E9"/>
    <w:rsid w:val="007345FC"/>
    <w:rsid w:val="00734D58"/>
    <w:rsid w:val="00735063"/>
    <w:rsid w:val="0073605D"/>
    <w:rsid w:val="00736272"/>
    <w:rsid w:val="00736E08"/>
    <w:rsid w:val="00737005"/>
    <w:rsid w:val="007378A5"/>
    <w:rsid w:val="00737BC7"/>
    <w:rsid w:val="00737D32"/>
    <w:rsid w:val="00740007"/>
    <w:rsid w:val="007401D6"/>
    <w:rsid w:val="007407FE"/>
    <w:rsid w:val="0074099C"/>
    <w:rsid w:val="00740A73"/>
    <w:rsid w:val="00740BF0"/>
    <w:rsid w:val="00741122"/>
    <w:rsid w:val="00741CF8"/>
    <w:rsid w:val="00741F86"/>
    <w:rsid w:val="007420C1"/>
    <w:rsid w:val="007420FB"/>
    <w:rsid w:val="007421E6"/>
    <w:rsid w:val="00742321"/>
    <w:rsid w:val="00742366"/>
    <w:rsid w:val="00742BBC"/>
    <w:rsid w:val="007436ED"/>
    <w:rsid w:val="00743C4D"/>
    <w:rsid w:val="00743CB8"/>
    <w:rsid w:val="007444E5"/>
    <w:rsid w:val="00744727"/>
    <w:rsid w:val="00744966"/>
    <w:rsid w:val="00744C87"/>
    <w:rsid w:val="0074516F"/>
    <w:rsid w:val="00745CB7"/>
    <w:rsid w:val="00745DA0"/>
    <w:rsid w:val="00746444"/>
    <w:rsid w:val="007467DA"/>
    <w:rsid w:val="00746817"/>
    <w:rsid w:val="00746E64"/>
    <w:rsid w:val="007471B0"/>
    <w:rsid w:val="007472BD"/>
    <w:rsid w:val="00747411"/>
    <w:rsid w:val="007474DA"/>
    <w:rsid w:val="00747B67"/>
    <w:rsid w:val="00747B96"/>
    <w:rsid w:val="007503CB"/>
    <w:rsid w:val="007505E3"/>
    <w:rsid w:val="007507BB"/>
    <w:rsid w:val="00750864"/>
    <w:rsid w:val="00750A57"/>
    <w:rsid w:val="00750CBA"/>
    <w:rsid w:val="00752D60"/>
    <w:rsid w:val="00753796"/>
    <w:rsid w:val="0075391C"/>
    <w:rsid w:val="00753D02"/>
    <w:rsid w:val="007540D3"/>
    <w:rsid w:val="007544D2"/>
    <w:rsid w:val="00754871"/>
    <w:rsid w:val="00755008"/>
    <w:rsid w:val="0075547B"/>
    <w:rsid w:val="007556F7"/>
    <w:rsid w:val="00755845"/>
    <w:rsid w:val="00755F7E"/>
    <w:rsid w:val="0075624D"/>
    <w:rsid w:val="007564CD"/>
    <w:rsid w:val="007566A5"/>
    <w:rsid w:val="007568A9"/>
    <w:rsid w:val="00756B10"/>
    <w:rsid w:val="00756BE9"/>
    <w:rsid w:val="007570ED"/>
    <w:rsid w:val="0075752B"/>
    <w:rsid w:val="00757873"/>
    <w:rsid w:val="0075797B"/>
    <w:rsid w:val="00757E4C"/>
    <w:rsid w:val="00757FCF"/>
    <w:rsid w:val="00760593"/>
    <w:rsid w:val="00760756"/>
    <w:rsid w:val="00760BD6"/>
    <w:rsid w:val="00761333"/>
    <w:rsid w:val="007613F7"/>
    <w:rsid w:val="0076219A"/>
    <w:rsid w:val="00762356"/>
    <w:rsid w:val="007623F1"/>
    <w:rsid w:val="0076301C"/>
    <w:rsid w:val="0076309B"/>
    <w:rsid w:val="00763276"/>
    <w:rsid w:val="0076337F"/>
    <w:rsid w:val="00763BC7"/>
    <w:rsid w:val="00763BD1"/>
    <w:rsid w:val="00763C19"/>
    <w:rsid w:val="00763C46"/>
    <w:rsid w:val="00763FE0"/>
    <w:rsid w:val="007645FC"/>
    <w:rsid w:val="0076514D"/>
    <w:rsid w:val="007652EE"/>
    <w:rsid w:val="00765935"/>
    <w:rsid w:val="007659BB"/>
    <w:rsid w:val="00765C63"/>
    <w:rsid w:val="00765E6E"/>
    <w:rsid w:val="00766137"/>
    <w:rsid w:val="00766422"/>
    <w:rsid w:val="007664E3"/>
    <w:rsid w:val="0076664A"/>
    <w:rsid w:val="00766A6E"/>
    <w:rsid w:val="00766BB5"/>
    <w:rsid w:val="00766E07"/>
    <w:rsid w:val="00767106"/>
    <w:rsid w:val="007671CF"/>
    <w:rsid w:val="00767284"/>
    <w:rsid w:val="00767747"/>
    <w:rsid w:val="00767819"/>
    <w:rsid w:val="00767E0F"/>
    <w:rsid w:val="00767F05"/>
    <w:rsid w:val="00767FB0"/>
    <w:rsid w:val="00770133"/>
    <w:rsid w:val="00770564"/>
    <w:rsid w:val="00770BF9"/>
    <w:rsid w:val="00770DC7"/>
    <w:rsid w:val="00770E35"/>
    <w:rsid w:val="00771506"/>
    <w:rsid w:val="007717EE"/>
    <w:rsid w:val="00771839"/>
    <w:rsid w:val="00771917"/>
    <w:rsid w:val="00771A63"/>
    <w:rsid w:val="00771BE6"/>
    <w:rsid w:val="00771E67"/>
    <w:rsid w:val="00771FF2"/>
    <w:rsid w:val="00771FF9"/>
    <w:rsid w:val="00772C10"/>
    <w:rsid w:val="00773171"/>
    <w:rsid w:val="0077359F"/>
    <w:rsid w:val="00773666"/>
    <w:rsid w:val="00773A2C"/>
    <w:rsid w:val="0077435F"/>
    <w:rsid w:val="007746CC"/>
    <w:rsid w:val="007746F7"/>
    <w:rsid w:val="007748C6"/>
    <w:rsid w:val="00774D07"/>
    <w:rsid w:val="00775252"/>
    <w:rsid w:val="00775C94"/>
    <w:rsid w:val="00775EAF"/>
    <w:rsid w:val="00775EEC"/>
    <w:rsid w:val="007769D3"/>
    <w:rsid w:val="00776AF4"/>
    <w:rsid w:val="00777135"/>
    <w:rsid w:val="007777F2"/>
    <w:rsid w:val="007778BE"/>
    <w:rsid w:val="00777C1C"/>
    <w:rsid w:val="00777EBD"/>
    <w:rsid w:val="00777F59"/>
    <w:rsid w:val="00777FBD"/>
    <w:rsid w:val="007800AE"/>
    <w:rsid w:val="00780273"/>
    <w:rsid w:val="00780708"/>
    <w:rsid w:val="00780737"/>
    <w:rsid w:val="007807F0"/>
    <w:rsid w:val="00780BBE"/>
    <w:rsid w:val="00780F92"/>
    <w:rsid w:val="007811F6"/>
    <w:rsid w:val="0078139A"/>
    <w:rsid w:val="0078166D"/>
    <w:rsid w:val="007817AF"/>
    <w:rsid w:val="00781E3B"/>
    <w:rsid w:val="00781FAB"/>
    <w:rsid w:val="007824E0"/>
    <w:rsid w:val="00782672"/>
    <w:rsid w:val="007826DA"/>
    <w:rsid w:val="00782AD2"/>
    <w:rsid w:val="00782CF8"/>
    <w:rsid w:val="00782D99"/>
    <w:rsid w:val="00782DC6"/>
    <w:rsid w:val="007838AF"/>
    <w:rsid w:val="00783D7B"/>
    <w:rsid w:val="0078406A"/>
    <w:rsid w:val="0078464C"/>
    <w:rsid w:val="00784840"/>
    <w:rsid w:val="00784961"/>
    <w:rsid w:val="00784E60"/>
    <w:rsid w:val="00784F23"/>
    <w:rsid w:val="00785018"/>
    <w:rsid w:val="00785114"/>
    <w:rsid w:val="007851D1"/>
    <w:rsid w:val="00785236"/>
    <w:rsid w:val="00785349"/>
    <w:rsid w:val="007855D1"/>
    <w:rsid w:val="0078619D"/>
    <w:rsid w:val="00786698"/>
    <w:rsid w:val="00786D70"/>
    <w:rsid w:val="00787004"/>
    <w:rsid w:val="0078707C"/>
    <w:rsid w:val="00787351"/>
    <w:rsid w:val="00787479"/>
    <w:rsid w:val="00787AB1"/>
    <w:rsid w:val="00787B62"/>
    <w:rsid w:val="00790198"/>
    <w:rsid w:val="007908D7"/>
    <w:rsid w:val="00790F02"/>
    <w:rsid w:val="007911D4"/>
    <w:rsid w:val="00791BE7"/>
    <w:rsid w:val="00792488"/>
    <w:rsid w:val="007925E2"/>
    <w:rsid w:val="00792A63"/>
    <w:rsid w:val="00792E15"/>
    <w:rsid w:val="00792E47"/>
    <w:rsid w:val="007935D4"/>
    <w:rsid w:val="00793811"/>
    <w:rsid w:val="00793927"/>
    <w:rsid w:val="0079396C"/>
    <w:rsid w:val="007943B8"/>
    <w:rsid w:val="00794507"/>
    <w:rsid w:val="00794D25"/>
    <w:rsid w:val="00794F0D"/>
    <w:rsid w:val="0079531A"/>
    <w:rsid w:val="00795A57"/>
    <w:rsid w:val="00795BB9"/>
    <w:rsid w:val="00795F64"/>
    <w:rsid w:val="00796355"/>
    <w:rsid w:val="007965B8"/>
    <w:rsid w:val="007969AA"/>
    <w:rsid w:val="00796B64"/>
    <w:rsid w:val="00796CBE"/>
    <w:rsid w:val="00796DF2"/>
    <w:rsid w:val="00797187"/>
    <w:rsid w:val="00797B3B"/>
    <w:rsid w:val="00797C29"/>
    <w:rsid w:val="00797CE4"/>
    <w:rsid w:val="007A0337"/>
    <w:rsid w:val="007A066E"/>
    <w:rsid w:val="007A084D"/>
    <w:rsid w:val="007A0D50"/>
    <w:rsid w:val="007A190F"/>
    <w:rsid w:val="007A1BAD"/>
    <w:rsid w:val="007A1C82"/>
    <w:rsid w:val="007A22E8"/>
    <w:rsid w:val="007A249D"/>
    <w:rsid w:val="007A2B3B"/>
    <w:rsid w:val="007A2EBF"/>
    <w:rsid w:val="007A325F"/>
    <w:rsid w:val="007A3486"/>
    <w:rsid w:val="007A35C6"/>
    <w:rsid w:val="007A387D"/>
    <w:rsid w:val="007A3B40"/>
    <w:rsid w:val="007A3DF0"/>
    <w:rsid w:val="007A42A1"/>
    <w:rsid w:val="007A4460"/>
    <w:rsid w:val="007A50D5"/>
    <w:rsid w:val="007A5AE0"/>
    <w:rsid w:val="007A5BC5"/>
    <w:rsid w:val="007A604D"/>
    <w:rsid w:val="007A63BB"/>
    <w:rsid w:val="007A6802"/>
    <w:rsid w:val="007A6886"/>
    <w:rsid w:val="007A6C24"/>
    <w:rsid w:val="007A6EE8"/>
    <w:rsid w:val="007A741C"/>
    <w:rsid w:val="007A7690"/>
    <w:rsid w:val="007A7BA7"/>
    <w:rsid w:val="007A7BB7"/>
    <w:rsid w:val="007A7DBF"/>
    <w:rsid w:val="007B01CD"/>
    <w:rsid w:val="007B020C"/>
    <w:rsid w:val="007B0369"/>
    <w:rsid w:val="007B0730"/>
    <w:rsid w:val="007B0751"/>
    <w:rsid w:val="007B0F29"/>
    <w:rsid w:val="007B117F"/>
    <w:rsid w:val="007B14F9"/>
    <w:rsid w:val="007B15F1"/>
    <w:rsid w:val="007B1732"/>
    <w:rsid w:val="007B1C7F"/>
    <w:rsid w:val="007B204B"/>
    <w:rsid w:val="007B22C1"/>
    <w:rsid w:val="007B2F1A"/>
    <w:rsid w:val="007B2FEE"/>
    <w:rsid w:val="007B35F5"/>
    <w:rsid w:val="007B3618"/>
    <w:rsid w:val="007B384A"/>
    <w:rsid w:val="007B38DC"/>
    <w:rsid w:val="007B3F44"/>
    <w:rsid w:val="007B4159"/>
    <w:rsid w:val="007B42FA"/>
    <w:rsid w:val="007B45E6"/>
    <w:rsid w:val="007B4615"/>
    <w:rsid w:val="007B483B"/>
    <w:rsid w:val="007B4969"/>
    <w:rsid w:val="007B4E76"/>
    <w:rsid w:val="007B4FC9"/>
    <w:rsid w:val="007B5108"/>
    <w:rsid w:val="007B557E"/>
    <w:rsid w:val="007B5671"/>
    <w:rsid w:val="007B575F"/>
    <w:rsid w:val="007B5DD2"/>
    <w:rsid w:val="007B60F4"/>
    <w:rsid w:val="007B68A3"/>
    <w:rsid w:val="007B6BA7"/>
    <w:rsid w:val="007B7AF1"/>
    <w:rsid w:val="007C00A3"/>
    <w:rsid w:val="007C05A2"/>
    <w:rsid w:val="007C0A66"/>
    <w:rsid w:val="007C0D7E"/>
    <w:rsid w:val="007C0E67"/>
    <w:rsid w:val="007C0EC2"/>
    <w:rsid w:val="007C1179"/>
    <w:rsid w:val="007C1F9A"/>
    <w:rsid w:val="007C2316"/>
    <w:rsid w:val="007C2947"/>
    <w:rsid w:val="007C2A2F"/>
    <w:rsid w:val="007C3166"/>
    <w:rsid w:val="007C3272"/>
    <w:rsid w:val="007C346F"/>
    <w:rsid w:val="007C3CE9"/>
    <w:rsid w:val="007C3D08"/>
    <w:rsid w:val="007C3FC9"/>
    <w:rsid w:val="007C4066"/>
    <w:rsid w:val="007C407A"/>
    <w:rsid w:val="007C4575"/>
    <w:rsid w:val="007C4700"/>
    <w:rsid w:val="007C4B44"/>
    <w:rsid w:val="007C4BAB"/>
    <w:rsid w:val="007C4C44"/>
    <w:rsid w:val="007C4F55"/>
    <w:rsid w:val="007C574C"/>
    <w:rsid w:val="007C58C1"/>
    <w:rsid w:val="007C5AB7"/>
    <w:rsid w:val="007C61D0"/>
    <w:rsid w:val="007C6D48"/>
    <w:rsid w:val="007C6EA5"/>
    <w:rsid w:val="007C775D"/>
    <w:rsid w:val="007C78B5"/>
    <w:rsid w:val="007C7A47"/>
    <w:rsid w:val="007D00B5"/>
    <w:rsid w:val="007D0299"/>
    <w:rsid w:val="007D0484"/>
    <w:rsid w:val="007D0634"/>
    <w:rsid w:val="007D0A53"/>
    <w:rsid w:val="007D0B07"/>
    <w:rsid w:val="007D1062"/>
    <w:rsid w:val="007D1106"/>
    <w:rsid w:val="007D1172"/>
    <w:rsid w:val="007D1276"/>
    <w:rsid w:val="007D17A6"/>
    <w:rsid w:val="007D1C50"/>
    <w:rsid w:val="007D1F12"/>
    <w:rsid w:val="007D2077"/>
    <w:rsid w:val="007D22CF"/>
    <w:rsid w:val="007D244B"/>
    <w:rsid w:val="007D283C"/>
    <w:rsid w:val="007D2FC7"/>
    <w:rsid w:val="007D3724"/>
    <w:rsid w:val="007D3E2D"/>
    <w:rsid w:val="007D4709"/>
    <w:rsid w:val="007D480C"/>
    <w:rsid w:val="007D49E9"/>
    <w:rsid w:val="007D4D02"/>
    <w:rsid w:val="007D4D10"/>
    <w:rsid w:val="007D4F11"/>
    <w:rsid w:val="007D4FFE"/>
    <w:rsid w:val="007D53E6"/>
    <w:rsid w:val="007D56B3"/>
    <w:rsid w:val="007D575F"/>
    <w:rsid w:val="007D6F99"/>
    <w:rsid w:val="007D73D5"/>
    <w:rsid w:val="007D79CD"/>
    <w:rsid w:val="007E02BB"/>
    <w:rsid w:val="007E06A7"/>
    <w:rsid w:val="007E06EF"/>
    <w:rsid w:val="007E0D25"/>
    <w:rsid w:val="007E0E19"/>
    <w:rsid w:val="007E103C"/>
    <w:rsid w:val="007E1094"/>
    <w:rsid w:val="007E1CFF"/>
    <w:rsid w:val="007E1E8A"/>
    <w:rsid w:val="007E262A"/>
    <w:rsid w:val="007E2859"/>
    <w:rsid w:val="007E2B98"/>
    <w:rsid w:val="007E2DD5"/>
    <w:rsid w:val="007E2DF5"/>
    <w:rsid w:val="007E30F1"/>
    <w:rsid w:val="007E31B0"/>
    <w:rsid w:val="007E32AA"/>
    <w:rsid w:val="007E3522"/>
    <w:rsid w:val="007E3953"/>
    <w:rsid w:val="007E3B7D"/>
    <w:rsid w:val="007E3D3E"/>
    <w:rsid w:val="007E3FF0"/>
    <w:rsid w:val="007E424D"/>
    <w:rsid w:val="007E44AC"/>
    <w:rsid w:val="007E4D69"/>
    <w:rsid w:val="007E50A8"/>
    <w:rsid w:val="007E5722"/>
    <w:rsid w:val="007E5848"/>
    <w:rsid w:val="007E5AE0"/>
    <w:rsid w:val="007E607E"/>
    <w:rsid w:val="007E677C"/>
    <w:rsid w:val="007E6D6D"/>
    <w:rsid w:val="007E70AB"/>
    <w:rsid w:val="007E70EF"/>
    <w:rsid w:val="007E7261"/>
    <w:rsid w:val="007E72CC"/>
    <w:rsid w:val="007E7E83"/>
    <w:rsid w:val="007E7EAD"/>
    <w:rsid w:val="007F0005"/>
    <w:rsid w:val="007F00AC"/>
    <w:rsid w:val="007F07F3"/>
    <w:rsid w:val="007F0B4E"/>
    <w:rsid w:val="007F105F"/>
    <w:rsid w:val="007F1229"/>
    <w:rsid w:val="007F12B4"/>
    <w:rsid w:val="007F12D9"/>
    <w:rsid w:val="007F13D3"/>
    <w:rsid w:val="007F1B57"/>
    <w:rsid w:val="007F22CF"/>
    <w:rsid w:val="007F22DB"/>
    <w:rsid w:val="007F288E"/>
    <w:rsid w:val="007F2FAA"/>
    <w:rsid w:val="007F30D2"/>
    <w:rsid w:val="007F34A3"/>
    <w:rsid w:val="007F3647"/>
    <w:rsid w:val="007F3851"/>
    <w:rsid w:val="007F3A56"/>
    <w:rsid w:val="007F3D02"/>
    <w:rsid w:val="007F3F25"/>
    <w:rsid w:val="007F43CC"/>
    <w:rsid w:val="007F4713"/>
    <w:rsid w:val="007F50FB"/>
    <w:rsid w:val="007F5163"/>
    <w:rsid w:val="007F52B9"/>
    <w:rsid w:val="007F537C"/>
    <w:rsid w:val="007F5506"/>
    <w:rsid w:val="007F5681"/>
    <w:rsid w:val="007F5697"/>
    <w:rsid w:val="007F56BD"/>
    <w:rsid w:val="007F60C4"/>
    <w:rsid w:val="007F64A9"/>
    <w:rsid w:val="007F6763"/>
    <w:rsid w:val="007F6D40"/>
    <w:rsid w:val="007F7277"/>
    <w:rsid w:val="007F741D"/>
    <w:rsid w:val="007F7510"/>
    <w:rsid w:val="007F7717"/>
    <w:rsid w:val="007F7AD0"/>
    <w:rsid w:val="007F7E6D"/>
    <w:rsid w:val="007F7F79"/>
    <w:rsid w:val="00800388"/>
    <w:rsid w:val="00800418"/>
    <w:rsid w:val="0080065E"/>
    <w:rsid w:val="00800AD9"/>
    <w:rsid w:val="00800DEA"/>
    <w:rsid w:val="00800FF6"/>
    <w:rsid w:val="008010CF"/>
    <w:rsid w:val="00801919"/>
    <w:rsid w:val="00802A9B"/>
    <w:rsid w:val="00802B4E"/>
    <w:rsid w:val="00802E5F"/>
    <w:rsid w:val="00802F82"/>
    <w:rsid w:val="008030D1"/>
    <w:rsid w:val="00803D41"/>
    <w:rsid w:val="008043BB"/>
    <w:rsid w:val="00804E4C"/>
    <w:rsid w:val="00805315"/>
    <w:rsid w:val="008057B6"/>
    <w:rsid w:val="00805806"/>
    <w:rsid w:val="00805B2A"/>
    <w:rsid w:val="00805C06"/>
    <w:rsid w:val="0080609A"/>
    <w:rsid w:val="00806FE3"/>
    <w:rsid w:val="0080734F"/>
    <w:rsid w:val="00807423"/>
    <w:rsid w:val="00807890"/>
    <w:rsid w:val="00807B60"/>
    <w:rsid w:val="00807D3E"/>
    <w:rsid w:val="00807E1C"/>
    <w:rsid w:val="00807F97"/>
    <w:rsid w:val="00810067"/>
    <w:rsid w:val="008101B5"/>
    <w:rsid w:val="008104B9"/>
    <w:rsid w:val="0081078B"/>
    <w:rsid w:val="00810A6F"/>
    <w:rsid w:val="00811283"/>
    <w:rsid w:val="008113E2"/>
    <w:rsid w:val="00811843"/>
    <w:rsid w:val="00811C1B"/>
    <w:rsid w:val="00811E10"/>
    <w:rsid w:val="00811E35"/>
    <w:rsid w:val="00811F16"/>
    <w:rsid w:val="00811F64"/>
    <w:rsid w:val="00811F84"/>
    <w:rsid w:val="00812902"/>
    <w:rsid w:val="00812D55"/>
    <w:rsid w:val="00812DB1"/>
    <w:rsid w:val="00812FAB"/>
    <w:rsid w:val="0081327E"/>
    <w:rsid w:val="00813283"/>
    <w:rsid w:val="0081382F"/>
    <w:rsid w:val="0081390C"/>
    <w:rsid w:val="0081397A"/>
    <w:rsid w:val="00813BCD"/>
    <w:rsid w:val="00813BED"/>
    <w:rsid w:val="00813CF7"/>
    <w:rsid w:val="0081451F"/>
    <w:rsid w:val="0081483C"/>
    <w:rsid w:val="008149A8"/>
    <w:rsid w:val="00815324"/>
    <w:rsid w:val="008154FA"/>
    <w:rsid w:val="0081562D"/>
    <w:rsid w:val="00815AA6"/>
    <w:rsid w:val="00815B59"/>
    <w:rsid w:val="00815DC8"/>
    <w:rsid w:val="00815E7A"/>
    <w:rsid w:val="00815FE2"/>
    <w:rsid w:val="00815FFF"/>
    <w:rsid w:val="008162FE"/>
    <w:rsid w:val="00816532"/>
    <w:rsid w:val="00816C83"/>
    <w:rsid w:val="00816D5D"/>
    <w:rsid w:val="00816E30"/>
    <w:rsid w:val="008171E4"/>
    <w:rsid w:val="00817831"/>
    <w:rsid w:val="00817968"/>
    <w:rsid w:val="008179E1"/>
    <w:rsid w:val="00817D63"/>
    <w:rsid w:val="0082002B"/>
    <w:rsid w:val="0082011E"/>
    <w:rsid w:val="0082022A"/>
    <w:rsid w:val="008206E8"/>
    <w:rsid w:val="00820A6B"/>
    <w:rsid w:val="00820CFC"/>
    <w:rsid w:val="00821119"/>
    <w:rsid w:val="008213ED"/>
    <w:rsid w:val="00821DAD"/>
    <w:rsid w:val="00822266"/>
    <w:rsid w:val="00822648"/>
    <w:rsid w:val="00822824"/>
    <w:rsid w:val="00822D5D"/>
    <w:rsid w:val="008230F1"/>
    <w:rsid w:val="00823340"/>
    <w:rsid w:val="0082404F"/>
    <w:rsid w:val="008244E7"/>
    <w:rsid w:val="008248A3"/>
    <w:rsid w:val="00824B3E"/>
    <w:rsid w:val="00825338"/>
    <w:rsid w:val="00825375"/>
    <w:rsid w:val="00825781"/>
    <w:rsid w:val="008266C1"/>
    <w:rsid w:val="00826810"/>
    <w:rsid w:val="0082686A"/>
    <w:rsid w:val="00826D96"/>
    <w:rsid w:val="00826EC1"/>
    <w:rsid w:val="00826F16"/>
    <w:rsid w:val="0082734F"/>
    <w:rsid w:val="008278CE"/>
    <w:rsid w:val="00827972"/>
    <w:rsid w:val="008279FA"/>
    <w:rsid w:val="00827A33"/>
    <w:rsid w:val="00827CBF"/>
    <w:rsid w:val="00827E37"/>
    <w:rsid w:val="00827F99"/>
    <w:rsid w:val="00827FB7"/>
    <w:rsid w:val="00830531"/>
    <w:rsid w:val="00831455"/>
    <w:rsid w:val="00831854"/>
    <w:rsid w:val="00831872"/>
    <w:rsid w:val="00831880"/>
    <w:rsid w:val="008318B4"/>
    <w:rsid w:val="0083196C"/>
    <w:rsid w:val="008319C5"/>
    <w:rsid w:val="00831DBE"/>
    <w:rsid w:val="008321A8"/>
    <w:rsid w:val="008326BC"/>
    <w:rsid w:val="00832860"/>
    <w:rsid w:val="00832BF4"/>
    <w:rsid w:val="00833095"/>
    <w:rsid w:val="008333CE"/>
    <w:rsid w:val="00833E0D"/>
    <w:rsid w:val="00833ED3"/>
    <w:rsid w:val="008348E6"/>
    <w:rsid w:val="00834BD6"/>
    <w:rsid w:val="008353F6"/>
    <w:rsid w:val="008354B2"/>
    <w:rsid w:val="00835C4A"/>
    <w:rsid w:val="00836290"/>
    <w:rsid w:val="008365C6"/>
    <w:rsid w:val="00836732"/>
    <w:rsid w:val="00836816"/>
    <w:rsid w:val="008374C8"/>
    <w:rsid w:val="008379CF"/>
    <w:rsid w:val="00837BBC"/>
    <w:rsid w:val="00840437"/>
    <w:rsid w:val="008405BD"/>
    <w:rsid w:val="0084066C"/>
    <w:rsid w:val="0084089D"/>
    <w:rsid w:val="0084093D"/>
    <w:rsid w:val="00840B6B"/>
    <w:rsid w:val="008410AD"/>
    <w:rsid w:val="008411D8"/>
    <w:rsid w:val="00841289"/>
    <w:rsid w:val="00841542"/>
    <w:rsid w:val="008417C2"/>
    <w:rsid w:val="00841C40"/>
    <w:rsid w:val="00841CE8"/>
    <w:rsid w:val="00842093"/>
    <w:rsid w:val="0084257E"/>
    <w:rsid w:val="00842662"/>
    <w:rsid w:val="00842BC1"/>
    <w:rsid w:val="00843702"/>
    <w:rsid w:val="00843A7A"/>
    <w:rsid w:val="00843B9A"/>
    <w:rsid w:val="00843C80"/>
    <w:rsid w:val="0084434B"/>
    <w:rsid w:val="00844649"/>
    <w:rsid w:val="008448D1"/>
    <w:rsid w:val="008449E4"/>
    <w:rsid w:val="00844CC4"/>
    <w:rsid w:val="00844CD1"/>
    <w:rsid w:val="00844F1F"/>
    <w:rsid w:val="00845167"/>
    <w:rsid w:val="008453D8"/>
    <w:rsid w:val="00845455"/>
    <w:rsid w:val="00845801"/>
    <w:rsid w:val="00846071"/>
    <w:rsid w:val="00846174"/>
    <w:rsid w:val="00846A4F"/>
    <w:rsid w:val="0084780B"/>
    <w:rsid w:val="008479F8"/>
    <w:rsid w:val="00847A42"/>
    <w:rsid w:val="00847A6B"/>
    <w:rsid w:val="00847D3E"/>
    <w:rsid w:val="0085031E"/>
    <w:rsid w:val="0085036B"/>
    <w:rsid w:val="00850569"/>
    <w:rsid w:val="00850856"/>
    <w:rsid w:val="0085099F"/>
    <w:rsid w:val="008509F9"/>
    <w:rsid w:val="00850F87"/>
    <w:rsid w:val="0085113C"/>
    <w:rsid w:val="008514EF"/>
    <w:rsid w:val="00851555"/>
    <w:rsid w:val="008516C9"/>
    <w:rsid w:val="00851ABE"/>
    <w:rsid w:val="00851B9F"/>
    <w:rsid w:val="00851FB9"/>
    <w:rsid w:val="00852A63"/>
    <w:rsid w:val="00853044"/>
    <w:rsid w:val="00853162"/>
    <w:rsid w:val="00853188"/>
    <w:rsid w:val="008531C9"/>
    <w:rsid w:val="008538CB"/>
    <w:rsid w:val="00853B1B"/>
    <w:rsid w:val="00853D18"/>
    <w:rsid w:val="00854D13"/>
    <w:rsid w:val="00854D7B"/>
    <w:rsid w:val="008551C0"/>
    <w:rsid w:val="00856270"/>
    <w:rsid w:val="00856429"/>
    <w:rsid w:val="00856527"/>
    <w:rsid w:val="008565C7"/>
    <w:rsid w:val="008569C6"/>
    <w:rsid w:val="0086044F"/>
    <w:rsid w:val="008608E7"/>
    <w:rsid w:val="00860DFF"/>
    <w:rsid w:val="00861096"/>
    <w:rsid w:val="008613D2"/>
    <w:rsid w:val="0086176B"/>
    <w:rsid w:val="00861973"/>
    <w:rsid w:val="00861CA4"/>
    <w:rsid w:val="0086229D"/>
    <w:rsid w:val="0086234D"/>
    <w:rsid w:val="00862422"/>
    <w:rsid w:val="0086299D"/>
    <w:rsid w:val="00862BAB"/>
    <w:rsid w:val="00862F39"/>
    <w:rsid w:val="008635A4"/>
    <w:rsid w:val="008636B8"/>
    <w:rsid w:val="0086374F"/>
    <w:rsid w:val="0086377A"/>
    <w:rsid w:val="00863BCD"/>
    <w:rsid w:val="0086479A"/>
    <w:rsid w:val="0086485D"/>
    <w:rsid w:val="0086489A"/>
    <w:rsid w:val="008650FF"/>
    <w:rsid w:val="00865132"/>
    <w:rsid w:val="008652E0"/>
    <w:rsid w:val="00865CC7"/>
    <w:rsid w:val="00865D24"/>
    <w:rsid w:val="00866063"/>
    <w:rsid w:val="00866E9B"/>
    <w:rsid w:val="00867023"/>
    <w:rsid w:val="008670BC"/>
    <w:rsid w:val="008672B7"/>
    <w:rsid w:val="00867723"/>
    <w:rsid w:val="008679A8"/>
    <w:rsid w:val="00870022"/>
    <w:rsid w:val="008709C0"/>
    <w:rsid w:val="00870DE3"/>
    <w:rsid w:val="00870EEA"/>
    <w:rsid w:val="00871000"/>
    <w:rsid w:val="008711C4"/>
    <w:rsid w:val="00871318"/>
    <w:rsid w:val="008713F5"/>
    <w:rsid w:val="008715DB"/>
    <w:rsid w:val="00871851"/>
    <w:rsid w:val="00871A3D"/>
    <w:rsid w:val="00871A8E"/>
    <w:rsid w:val="00871F56"/>
    <w:rsid w:val="008720A7"/>
    <w:rsid w:val="008720EB"/>
    <w:rsid w:val="008722A9"/>
    <w:rsid w:val="00872740"/>
    <w:rsid w:val="00872870"/>
    <w:rsid w:val="008729FE"/>
    <w:rsid w:val="00872A70"/>
    <w:rsid w:val="00872D16"/>
    <w:rsid w:val="00872DA7"/>
    <w:rsid w:val="008735DD"/>
    <w:rsid w:val="0087370B"/>
    <w:rsid w:val="008738BA"/>
    <w:rsid w:val="00873B5E"/>
    <w:rsid w:val="00873EA5"/>
    <w:rsid w:val="00874212"/>
    <w:rsid w:val="00874889"/>
    <w:rsid w:val="00874DF3"/>
    <w:rsid w:val="00875B75"/>
    <w:rsid w:val="00875BAB"/>
    <w:rsid w:val="0087620D"/>
    <w:rsid w:val="008770D9"/>
    <w:rsid w:val="00877274"/>
    <w:rsid w:val="00877F27"/>
    <w:rsid w:val="0088012B"/>
    <w:rsid w:val="008803E7"/>
    <w:rsid w:val="00880E5E"/>
    <w:rsid w:val="0088106F"/>
    <w:rsid w:val="00881193"/>
    <w:rsid w:val="008816D3"/>
    <w:rsid w:val="0088197A"/>
    <w:rsid w:val="008823B4"/>
    <w:rsid w:val="00882499"/>
    <w:rsid w:val="0088265E"/>
    <w:rsid w:val="00882C10"/>
    <w:rsid w:val="00883548"/>
    <w:rsid w:val="008835AE"/>
    <w:rsid w:val="0088368B"/>
    <w:rsid w:val="00883ACF"/>
    <w:rsid w:val="00884402"/>
    <w:rsid w:val="0088451B"/>
    <w:rsid w:val="008845E1"/>
    <w:rsid w:val="008846CC"/>
    <w:rsid w:val="00884F5D"/>
    <w:rsid w:val="00884FF6"/>
    <w:rsid w:val="008852BC"/>
    <w:rsid w:val="00885470"/>
    <w:rsid w:val="00885512"/>
    <w:rsid w:val="00885B9A"/>
    <w:rsid w:val="00885D3B"/>
    <w:rsid w:val="00886119"/>
    <w:rsid w:val="0088637A"/>
    <w:rsid w:val="00886753"/>
    <w:rsid w:val="008868A6"/>
    <w:rsid w:val="00886C2A"/>
    <w:rsid w:val="00886C95"/>
    <w:rsid w:val="00886D65"/>
    <w:rsid w:val="00886E22"/>
    <w:rsid w:val="00886E38"/>
    <w:rsid w:val="008873AD"/>
    <w:rsid w:val="008878B9"/>
    <w:rsid w:val="008879A2"/>
    <w:rsid w:val="0089000F"/>
    <w:rsid w:val="00890527"/>
    <w:rsid w:val="0089053A"/>
    <w:rsid w:val="008906AC"/>
    <w:rsid w:val="00890A35"/>
    <w:rsid w:val="00890AD4"/>
    <w:rsid w:val="00890CF6"/>
    <w:rsid w:val="00890CF8"/>
    <w:rsid w:val="00890E4F"/>
    <w:rsid w:val="00890F47"/>
    <w:rsid w:val="00890F97"/>
    <w:rsid w:val="00891251"/>
    <w:rsid w:val="0089138B"/>
    <w:rsid w:val="0089159F"/>
    <w:rsid w:val="00891611"/>
    <w:rsid w:val="0089166E"/>
    <w:rsid w:val="008917AC"/>
    <w:rsid w:val="00891D57"/>
    <w:rsid w:val="00892062"/>
    <w:rsid w:val="0089236E"/>
    <w:rsid w:val="008929E1"/>
    <w:rsid w:val="00892BCE"/>
    <w:rsid w:val="00892E54"/>
    <w:rsid w:val="00892F01"/>
    <w:rsid w:val="008933B4"/>
    <w:rsid w:val="00893974"/>
    <w:rsid w:val="00894232"/>
    <w:rsid w:val="0089430B"/>
    <w:rsid w:val="008943A6"/>
    <w:rsid w:val="008956CC"/>
    <w:rsid w:val="00895891"/>
    <w:rsid w:val="008958CF"/>
    <w:rsid w:val="0089592C"/>
    <w:rsid w:val="00895F70"/>
    <w:rsid w:val="00896539"/>
    <w:rsid w:val="008965B1"/>
    <w:rsid w:val="00896D0A"/>
    <w:rsid w:val="00896DC9"/>
    <w:rsid w:val="008970B9"/>
    <w:rsid w:val="00897366"/>
    <w:rsid w:val="008975C1"/>
    <w:rsid w:val="008979F4"/>
    <w:rsid w:val="00897E84"/>
    <w:rsid w:val="00897FF3"/>
    <w:rsid w:val="008A001A"/>
    <w:rsid w:val="008A0166"/>
    <w:rsid w:val="008A0AE9"/>
    <w:rsid w:val="008A0BB6"/>
    <w:rsid w:val="008A1127"/>
    <w:rsid w:val="008A1207"/>
    <w:rsid w:val="008A141E"/>
    <w:rsid w:val="008A144F"/>
    <w:rsid w:val="008A18B3"/>
    <w:rsid w:val="008A1ABD"/>
    <w:rsid w:val="008A1FAF"/>
    <w:rsid w:val="008A2019"/>
    <w:rsid w:val="008A2024"/>
    <w:rsid w:val="008A265A"/>
    <w:rsid w:val="008A2681"/>
    <w:rsid w:val="008A28A7"/>
    <w:rsid w:val="008A2D93"/>
    <w:rsid w:val="008A2D94"/>
    <w:rsid w:val="008A3069"/>
    <w:rsid w:val="008A30CD"/>
    <w:rsid w:val="008A3759"/>
    <w:rsid w:val="008A37E7"/>
    <w:rsid w:val="008A38B8"/>
    <w:rsid w:val="008A3A60"/>
    <w:rsid w:val="008A3B2B"/>
    <w:rsid w:val="008A3C0C"/>
    <w:rsid w:val="008A42D6"/>
    <w:rsid w:val="008A4662"/>
    <w:rsid w:val="008A473D"/>
    <w:rsid w:val="008A50A8"/>
    <w:rsid w:val="008A51E2"/>
    <w:rsid w:val="008A52AF"/>
    <w:rsid w:val="008A52BE"/>
    <w:rsid w:val="008A590F"/>
    <w:rsid w:val="008A60AF"/>
    <w:rsid w:val="008A63AF"/>
    <w:rsid w:val="008A6907"/>
    <w:rsid w:val="008A6F81"/>
    <w:rsid w:val="008A7B0F"/>
    <w:rsid w:val="008B0047"/>
    <w:rsid w:val="008B03B3"/>
    <w:rsid w:val="008B0B81"/>
    <w:rsid w:val="008B1369"/>
    <w:rsid w:val="008B1F67"/>
    <w:rsid w:val="008B2403"/>
    <w:rsid w:val="008B26B7"/>
    <w:rsid w:val="008B2730"/>
    <w:rsid w:val="008B2927"/>
    <w:rsid w:val="008B2A51"/>
    <w:rsid w:val="008B2DFB"/>
    <w:rsid w:val="008B2E86"/>
    <w:rsid w:val="008B33AF"/>
    <w:rsid w:val="008B3596"/>
    <w:rsid w:val="008B43C9"/>
    <w:rsid w:val="008B4BEB"/>
    <w:rsid w:val="008B4EB5"/>
    <w:rsid w:val="008B5548"/>
    <w:rsid w:val="008B585C"/>
    <w:rsid w:val="008B5DF2"/>
    <w:rsid w:val="008B5F7F"/>
    <w:rsid w:val="008B6205"/>
    <w:rsid w:val="008B62A8"/>
    <w:rsid w:val="008B63E5"/>
    <w:rsid w:val="008B63E8"/>
    <w:rsid w:val="008B64FC"/>
    <w:rsid w:val="008B6512"/>
    <w:rsid w:val="008B6589"/>
    <w:rsid w:val="008B674C"/>
    <w:rsid w:val="008B6AA9"/>
    <w:rsid w:val="008B6D03"/>
    <w:rsid w:val="008B6DAF"/>
    <w:rsid w:val="008B6DFE"/>
    <w:rsid w:val="008B7171"/>
    <w:rsid w:val="008B751A"/>
    <w:rsid w:val="008B7864"/>
    <w:rsid w:val="008B79AB"/>
    <w:rsid w:val="008B7B35"/>
    <w:rsid w:val="008B7D7C"/>
    <w:rsid w:val="008C00CC"/>
    <w:rsid w:val="008C021A"/>
    <w:rsid w:val="008C02BB"/>
    <w:rsid w:val="008C0400"/>
    <w:rsid w:val="008C0509"/>
    <w:rsid w:val="008C0660"/>
    <w:rsid w:val="008C07CC"/>
    <w:rsid w:val="008C0A57"/>
    <w:rsid w:val="008C0CD4"/>
    <w:rsid w:val="008C1165"/>
    <w:rsid w:val="008C125C"/>
    <w:rsid w:val="008C1681"/>
    <w:rsid w:val="008C17D1"/>
    <w:rsid w:val="008C1921"/>
    <w:rsid w:val="008C1C1E"/>
    <w:rsid w:val="008C1C6A"/>
    <w:rsid w:val="008C2387"/>
    <w:rsid w:val="008C256D"/>
    <w:rsid w:val="008C27A5"/>
    <w:rsid w:val="008C31BE"/>
    <w:rsid w:val="008C3877"/>
    <w:rsid w:val="008C39B4"/>
    <w:rsid w:val="008C3B67"/>
    <w:rsid w:val="008C3CCD"/>
    <w:rsid w:val="008C49E7"/>
    <w:rsid w:val="008C4F35"/>
    <w:rsid w:val="008C51F7"/>
    <w:rsid w:val="008C53D3"/>
    <w:rsid w:val="008C5667"/>
    <w:rsid w:val="008C583B"/>
    <w:rsid w:val="008C58C0"/>
    <w:rsid w:val="008C5DB1"/>
    <w:rsid w:val="008C5F38"/>
    <w:rsid w:val="008C61CA"/>
    <w:rsid w:val="008C61D2"/>
    <w:rsid w:val="008C6B64"/>
    <w:rsid w:val="008C6C0E"/>
    <w:rsid w:val="008C723D"/>
    <w:rsid w:val="008C7480"/>
    <w:rsid w:val="008C78F0"/>
    <w:rsid w:val="008C7BAA"/>
    <w:rsid w:val="008C7EEF"/>
    <w:rsid w:val="008C7FC1"/>
    <w:rsid w:val="008D04D2"/>
    <w:rsid w:val="008D04DD"/>
    <w:rsid w:val="008D05BE"/>
    <w:rsid w:val="008D0629"/>
    <w:rsid w:val="008D073C"/>
    <w:rsid w:val="008D081F"/>
    <w:rsid w:val="008D0960"/>
    <w:rsid w:val="008D1501"/>
    <w:rsid w:val="008D1939"/>
    <w:rsid w:val="008D1D19"/>
    <w:rsid w:val="008D247A"/>
    <w:rsid w:val="008D28B5"/>
    <w:rsid w:val="008D2BA4"/>
    <w:rsid w:val="008D348A"/>
    <w:rsid w:val="008D3D95"/>
    <w:rsid w:val="008D3E24"/>
    <w:rsid w:val="008D4104"/>
    <w:rsid w:val="008D42B2"/>
    <w:rsid w:val="008D44BF"/>
    <w:rsid w:val="008D4B93"/>
    <w:rsid w:val="008D4BFB"/>
    <w:rsid w:val="008D4D15"/>
    <w:rsid w:val="008D50D3"/>
    <w:rsid w:val="008D512B"/>
    <w:rsid w:val="008D52B8"/>
    <w:rsid w:val="008D52E7"/>
    <w:rsid w:val="008D5469"/>
    <w:rsid w:val="008D5546"/>
    <w:rsid w:val="008D55E8"/>
    <w:rsid w:val="008D5A06"/>
    <w:rsid w:val="008D5A7F"/>
    <w:rsid w:val="008D5AC9"/>
    <w:rsid w:val="008D5BBE"/>
    <w:rsid w:val="008D5C47"/>
    <w:rsid w:val="008D604B"/>
    <w:rsid w:val="008D6533"/>
    <w:rsid w:val="008D6648"/>
    <w:rsid w:val="008D714E"/>
    <w:rsid w:val="008D71AE"/>
    <w:rsid w:val="008D73C5"/>
    <w:rsid w:val="008D7BBF"/>
    <w:rsid w:val="008D7D45"/>
    <w:rsid w:val="008D7DA4"/>
    <w:rsid w:val="008D7ED9"/>
    <w:rsid w:val="008E0078"/>
    <w:rsid w:val="008E080B"/>
    <w:rsid w:val="008E09AE"/>
    <w:rsid w:val="008E0CE2"/>
    <w:rsid w:val="008E0D38"/>
    <w:rsid w:val="008E0FFF"/>
    <w:rsid w:val="008E10E6"/>
    <w:rsid w:val="008E1227"/>
    <w:rsid w:val="008E1409"/>
    <w:rsid w:val="008E1505"/>
    <w:rsid w:val="008E1533"/>
    <w:rsid w:val="008E1C5C"/>
    <w:rsid w:val="008E1D17"/>
    <w:rsid w:val="008E254E"/>
    <w:rsid w:val="008E2597"/>
    <w:rsid w:val="008E26D0"/>
    <w:rsid w:val="008E29AA"/>
    <w:rsid w:val="008E2D44"/>
    <w:rsid w:val="008E2FC2"/>
    <w:rsid w:val="008E3E91"/>
    <w:rsid w:val="008E4536"/>
    <w:rsid w:val="008E50E9"/>
    <w:rsid w:val="008E570A"/>
    <w:rsid w:val="008E5D29"/>
    <w:rsid w:val="008E5DF7"/>
    <w:rsid w:val="008E616F"/>
    <w:rsid w:val="008E628B"/>
    <w:rsid w:val="008E6324"/>
    <w:rsid w:val="008E662C"/>
    <w:rsid w:val="008E6A1E"/>
    <w:rsid w:val="008E6CB4"/>
    <w:rsid w:val="008E6EFE"/>
    <w:rsid w:val="008E75E2"/>
    <w:rsid w:val="008E7A23"/>
    <w:rsid w:val="008E7A94"/>
    <w:rsid w:val="008E7C06"/>
    <w:rsid w:val="008E7CF5"/>
    <w:rsid w:val="008F0642"/>
    <w:rsid w:val="008F0A74"/>
    <w:rsid w:val="008F0AEA"/>
    <w:rsid w:val="008F10B9"/>
    <w:rsid w:val="008F15BD"/>
    <w:rsid w:val="008F2268"/>
    <w:rsid w:val="008F24B6"/>
    <w:rsid w:val="008F28EB"/>
    <w:rsid w:val="008F3045"/>
    <w:rsid w:val="008F30F3"/>
    <w:rsid w:val="008F324F"/>
    <w:rsid w:val="008F3633"/>
    <w:rsid w:val="008F363D"/>
    <w:rsid w:val="008F37F1"/>
    <w:rsid w:val="008F3B97"/>
    <w:rsid w:val="008F3DD8"/>
    <w:rsid w:val="008F3E34"/>
    <w:rsid w:val="008F3ED4"/>
    <w:rsid w:val="008F3F34"/>
    <w:rsid w:val="008F4D96"/>
    <w:rsid w:val="008F4DA7"/>
    <w:rsid w:val="008F505E"/>
    <w:rsid w:val="008F5991"/>
    <w:rsid w:val="008F5A7F"/>
    <w:rsid w:val="008F5DE1"/>
    <w:rsid w:val="008F6054"/>
    <w:rsid w:val="008F66EB"/>
    <w:rsid w:val="008F7317"/>
    <w:rsid w:val="008F759A"/>
    <w:rsid w:val="008F769F"/>
    <w:rsid w:val="008F7BEC"/>
    <w:rsid w:val="00900304"/>
    <w:rsid w:val="00900507"/>
    <w:rsid w:val="00900D26"/>
    <w:rsid w:val="009010B6"/>
    <w:rsid w:val="00901106"/>
    <w:rsid w:val="0090130E"/>
    <w:rsid w:val="009018AB"/>
    <w:rsid w:val="00901B49"/>
    <w:rsid w:val="00901D0B"/>
    <w:rsid w:val="009022F2"/>
    <w:rsid w:val="0090287E"/>
    <w:rsid w:val="009028C8"/>
    <w:rsid w:val="00902D93"/>
    <w:rsid w:val="00903505"/>
    <w:rsid w:val="00903633"/>
    <w:rsid w:val="0090400E"/>
    <w:rsid w:val="00904121"/>
    <w:rsid w:val="00904BD1"/>
    <w:rsid w:val="00904C34"/>
    <w:rsid w:val="0090561D"/>
    <w:rsid w:val="00905628"/>
    <w:rsid w:val="00905671"/>
    <w:rsid w:val="009057A0"/>
    <w:rsid w:val="009059DB"/>
    <w:rsid w:val="009060A7"/>
    <w:rsid w:val="00906126"/>
    <w:rsid w:val="009065DF"/>
    <w:rsid w:val="009067A1"/>
    <w:rsid w:val="009067DD"/>
    <w:rsid w:val="00906CA4"/>
    <w:rsid w:val="009071B2"/>
    <w:rsid w:val="0090745A"/>
    <w:rsid w:val="009077BA"/>
    <w:rsid w:val="00907AA1"/>
    <w:rsid w:val="00907E3C"/>
    <w:rsid w:val="00910277"/>
    <w:rsid w:val="00910441"/>
    <w:rsid w:val="009106AE"/>
    <w:rsid w:val="009108C0"/>
    <w:rsid w:val="00910957"/>
    <w:rsid w:val="00910A3C"/>
    <w:rsid w:val="00910B6E"/>
    <w:rsid w:val="00910C3A"/>
    <w:rsid w:val="00910CE7"/>
    <w:rsid w:val="00910E0C"/>
    <w:rsid w:val="00910F99"/>
    <w:rsid w:val="009110DD"/>
    <w:rsid w:val="0091129D"/>
    <w:rsid w:val="00911470"/>
    <w:rsid w:val="009115BB"/>
    <w:rsid w:val="009115D9"/>
    <w:rsid w:val="00911BB1"/>
    <w:rsid w:val="009122C3"/>
    <w:rsid w:val="009122ED"/>
    <w:rsid w:val="00912493"/>
    <w:rsid w:val="00912AF8"/>
    <w:rsid w:val="0091377B"/>
    <w:rsid w:val="00913D61"/>
    <w:rsid w:val="00914145"/>
    <w:rsid w:val="00914171"/>
    <w:rsid w:val="009141C5"/>
    <w:rsid w:val="009149B5"/>
    <w:rsid w:val="00914AE5"/>
    <w:rsid w:val="00914B2A"/>
    <w:rsid w:val="00914B3D"/>
    <w:rsid w:val="00914C23"/>
    <w:rsid w:val="00914D0D"/>
    <w:rsid w:val="00914D24"/>
    <w:rsid w:val="00914F14"/>
    <w:rsid w:val="00915371"/>
    <w:rsid w:val="00915456"/>
    <w:rsid w:val="00915CCF"/>
    <w:rsid w:val="00916149"/>
    <w:rsid w:val="009162BD"/>
    <w:rsid w:val="00916814"/>
    <w:rsid w:val="00916B40"/>
    <w:rsid w:val="00916B9C"/>
    <w:rsid w:val="00916EAF"/>
    <w:rsid w:val="009171F0"/>
    <w:rsid w:val="0091748D"/>
    <w:rsid w:val="00917513"/>
    <w:rsid w:val="009176CA"/>
    <w:rsid w:val="00920319"/>
    <w:rsid w:val="009208D3"/>
    <w:rsid w:val="00920C59"/>
    <w:rsid w:val="00920EEC"/>
    <w:rsid w:val="0092119C"/>
    <w:rsid w:val="00921DAA"/>
    <w:rsid w:val="0092203B"/>
    <w:rsid w:val="009224DF"/>
    <w:rsid w:val="00922569"/>
    <w:rsid w:val="00922837"/>
    <w:rsid w:val="0092294A"/>
    <w:rsid w:val="0092305B"/>
    <w:rsid w:val="00923378"/>
    <w:rsid w:val="00923438"/>
    <w:rsid w:val="0092355E"/>
    <w:rsid w:val="009235DA"/>
    <w:rsid w:val="00923634"/>
    <w:rsid w:val="00923785"/>
    <w:rsid w:val="009237DC"/>
    <w:rsid w:val="009239ED"/>
    <w:rsid w:val="00923B8B"/>
    <w:rsid w:val="009247A1"/>
    <w:rsid w:val="00924C19"/>
    <w:rsid w:val="00924C4D"/>
    <w:rsid w:val="00924D29"/>
    <w:rsid w:val="00924D65"/>
    <w:rsid w:val="00924E6C"/>
    <w:rsid w:val="00925617"/>
    <w:rsid w:val="0092562D"/>
    <w:rsid w:val="0092581C"/>
    <w:rsid w:val="0092589D"/>
    <w:rsid w:val="00925D09"/>
    <w:rsid w:val="00926215"/>
    <w:rsid w:val="0092680D"/>
    <w:rsid w:val="00926ED8"/>
    <w:rsid w:val="00927067"/>
    <w:rsid w:val="0092711B"/>
    <w:rsid w:val="0092787F"/>
    <w:rsid w:val="00927DFE"/>
    <w:rsid w:val="00927FB4"/>
    <w:rsid w:val="00930668"/>
    <w:rsid w:val="00930B88"/>
    <w:rsid w:val="00930BF7"/>
    <w:rsid w:val="00930D28"/>
    <w:rsid w:val="00930D2C"/>
    <w:rsid w:val="00931009"/>
    <w:rsid w:val="0093114D"/>
    <w:rsid w:val="00931E8C"/>
    <w:rsid w:val="00931EF7"/>
    <w:rsid w:val="009328A8"/>
    <w:rsid w:val="0093302F"/>
    <w:rsid w:val="009330EF"/>
    <w:rsid w:val="009331C3"/>
    <w:rsid w:val="009333D4"/>
    <w:rsid w:val="009338E1"/>
    <w:rsid w:val="00933F3D"/>
    <w:rsid w:val="00934347"/>
    <w:rsid w:val="009344E4"/>
    <w:rsid w:val="00934930"/>
    <w:rsid w:val="00934B08"/>
    <w:rsid w:val="00935294"/>
    <w:rsid w:val="009355F9"/>
    <w:rsid w:val="00935E0A"/>
    <w:rsid w:val="00936589"/>
    <w:rsid w:val="0093668A"/>
    <w:rsid w:val="00936D13"/>
    <w:rsid w:val="00936FFB"/>
    <w:rsid w:val="00937291"/>
    <w:rsid w:val="009374E5"/>
    <w:rsid w:val="009376B9"/>
    <w:rsid w:val="009377B8"/>
    <w:rsid w:val="00937D59"/>
    <w:rsid w:val="00937E09"/>
    <w:rsid w:val="00940126"/>
    <w:rsid w:val="009409A8"/>
    <w:rsid w:val="00940AA9"/>
    <w:rsid w:val="00940ACC"/>
    <w:rsid w:val="00940B50"/>
    <w:rsid w:val="00940F66"/>
    <w:rsid w:val="0094128D"/>
    <w:rsid w:val="00941563"/>
    <w:rsid w:val="00941C25"/>
    <w:rsid w:val="009424D8"/>
    <w:rsid w:val="009427DD"/>
    <w:rsid w:val="00942AC9"/>
    <w:rsid w:val="00942D07"/>
    <w:rsid w:val="00942F86"/>
    <w:rsid w:val="00943074"/>
    <w:rsid w:val="0094329A"/>
    <w:rsid w:val="009433CE"/>
    <w:rsid w:val="00943420"/>
    <w:rsid w:val="00943681"/>
    <w:rsid w:val="00943818"/>
    <w:rsid w:val="00943A80"/>
    <w:rsid w:val="00943F34"/>
    <w:rsid w:val="009444D5"/>
    <w:rsid w:val="00944578"/>
    <w:rsid w:val="0094485C"/>
    <w:rsid w:val="009449DE"/>
    <w:rsid w:val="00944AF3"/>
    <w:rsid w:val="00944CC4"/>
    <w:rsid w:val="00945686"/>
    <w:rsid w:val="00945FAC"/>
    <w:rsid w:val="00945FFF"/>
    <w:rsid w:val="009462E6"/>
    <w:rsid w:val="0094695D"/>
    <w:rsid w:val="00946A24"/>
    <w:rsid w:val="00946C4E"/>
    <w:rsid w:val="00946CD4"/>
    <w:rsid w:val="00947A8D"/>
    <w:rsid w:val="00947CC4"/>
    <w:rsid w:val="00947EF1"/>
    <w:rsid w:val="0095046D"/>
    <w:rsid w:val="00950499"/>
    <w:rsid w:val="0095062F"/>
    <w:rsid w:val="009509D2"/>
    <w:rsid w:val="00950DAE"/>
    <w:rsid w:val="00951012"/>
    <w:rsid w:val="00951343"/>
    <w:rsid w:val="00951A35"/>
    <w:rsid w:val="00951C84"/>
    <w:rsid w:val="009520A8"/>
    <w:rsid w:val="00952237"/>
    <w:rsid w:val="00953107"/>
    <w:rsid w:val="0095324B"/>
    <w:rsid w:val="00953451"/>
    <w:rsid w:val="009534BE"/>
    <w:rsid w:val="00953809"/>
    <w:rsid w:val="00953A46"/>
    <w:rsid w:val="00953AE7"/>
    <w:rsid w:val="00953CD6"/>
    <w:rsid w:val="00953D15"/>
    <w:rsid w:val="00953F3D"/>
    <w:rsid w:val="00954ABD"/>
    <w:rsid w:val="00954B61"/>
    <w:rsid w:val="00954E55"/>
    <w:rsid w:val="009553B4"/>
    <w:rsid w:val="00955552"/>
    <w:rsid w:val="00955624"/>
    <w:rsid w:val="009565B2"/>
    <w:rsid w:val="009565FC"/>
    <w:rsid w:val="009566F7"/>
    <w:rsid w:val="0095695E"/>
    <w:rsid w:val="00956DFE"/>
    <w:rsid w:val="00957075"/>
    <w:rsid w:val="00957107"/>
    <w:rsid w:val="009574E5"/>
    <w:rsid w:val="0095792E"/>
    <w:rsid w:val="00957A38"/>
    <w:rsid w:val="00960359"/>
    <w:rsid w:val="0096064E"/>
    <w:rsid w:val="00960807"/>
    <w:rsid w:val="00960D85"/>
    <w:rsid w:val="009610FC"/>
    <w:rsid w:val="00961DB5"/>
    <w:rsid w:val="00961DE6"/>
    <w:rsid w:val="00961EA9"/>
    <w:rsid w:val="00961F0D"/>
    <w:rsid w:val="009620DD"/>
    <w:rsid w:val="00962456"/>
    <w:rsid w:val="009628F2"/>
    <w:rsid w:val="00962941"/>
    <w:rsid w:val="00962C7E"/>
    <w:rsid w:val="00962EB1"/>
    <w:rsid w:val="00962F4E"/>
    <w:rsid w:val="009630AE"/>
    <w:rsid w:val="00963245"/>
    <w:rsid w:val="009633A5"/>
    <w:rsid w:val="00963720"/>
    <w:rsid w:val="0096378A"/>
    <w:rsid w:val="00963967"/>
    <w:rsid w:val="00963997"/>
    <w:rsid w:val="009639C0"/>
    <w:rsid w:val="009644FF"/>
    <w:rsid w:val="009649E4"/>
    <w:rsid w:val="009653A5"/>
    <w:rsid w:val="009656E7"/>
    <w:rsid w:val="009657BA"/>
    <w:rsid w:val="009658AC"/>
    <w:rsid w:val="00965BED"/>
    <w:rsid w:val="00965D59"/>
    <w:rsid w:val="00966393"/>
    <w:rsid w:val="00966647"/>
    <w:rsid w:val="009667CE"/>
    <w:rsid w:val="00966840"/>
    <w:rsid w:val="0096778A"/>
    <w:rsid w:val="0096788A"/>
    <w:rsid w:val="00967A19"/>
    <w:rsid w:val="0097031D"/>
    <w:rsid w:val="00970615"/>
    <w:rsid w:val="00970ACF"/>
    <w:rsid w:val="00971434"/>
    <w:rsid w:val="0097151C"/>
    <w:rsid w:val="00971927"/>
    <w:rsid w:val="00971BA9"/>
    <w:rsid w:val="00971C33"/>
    <w:rsid w:val="00971EC3"/>
    <w:rsid w:val="009720E3"/>
    <w:rsid w:val="00972382"/>
    <w:rsid w:val="00972789"/>
    <w:rsid w:val="00972BD4"/>
    <w:rsid w:val="00972BE8"/>
    <w:rsid w:val="00973382"/>
    <w:rsid w:val="009733EA"/>
    <w:rsid w:val="009738CA"/>
    <w:rsid w:val="00973A87"/>
    <w:rsid w:val="00973F4F"/>
    <w:rsid w:val="00974192"/>
    <w:rsid w:val="00974756"/>
    <w:rsid w:val="009747E9"/>
    <w:rsid w:val="009747FF"/>
    <w:rsid w:val="009754E2"/>
    <w:rsid w:val="009757B9"/>
    <w:rsid w:val="00975A8C"/>
    <w:rsid w:val="00975E1D"/>
    <w:rsid w:val="009760F6"/>
    <w:rsid w:val="0097657F"/>
    <w:rsid w:val="009767BA"/>
    <w:rsid w:val="00976A3F"/>
    <w:rsid w:val="00976AD1"/>
    <w:rsid w:val="00976BE1"/>
    <w:rsid w:val="00976EE0"/>
    <w:rsid w:val="00976F80"/>
    <w:rsid w:val="0097701D"/>
    <w:rsid w:val="00977DFD"/>
    <w:rsid w:val="00977FF2"/>
    <w:rsid w:val="00980077"/>
    <w:rsid w:val="0098019D"/>
    <w:rsid w:val="0098050B"/>
    <w:rsid w:val="00980AC0"/>
    <w:rsid w:val="00980C01"/>
    <w:rsid w:val="009810DE"/>
    <w:rsid w:val="009810E4"/>
    <w:rsid w:val="00981772"/>
    <w:rsid w:val="00981E17"/>
    <w:rsid w:val="00982C23"/>
    <w:rsid w:val="00982CF6"/>
    <w:rsid w:val="0098346F"/>
    <w:rsid w:val="0098354E"/>
    <w:rsid w:val="009838ED"/>
    <w:rsid w:val="009840D5"/>
    <w:rsid w:val="009842B4"/>
    <w:rsid w:val="009844F1"/>
    <w:rsid w:val="00984B03"/>
    <w:rsid w:val="00984F03"/>
    <w:rsid w:val="009851D9"/>
    <w:rsid w:val="009853D1"/>
    <w:rsid w:val="00985544"/>
    <w:rsid w:val="009858FC"/>
    <w:rsid w:val="00985DD5"/>
    <w:rsid w:val="009861C6"/>
    <w:rsid w:val="00986E7E"/>
    <w:rsid w:val="0098720A"/>
    <w:rsid w:val="00987D44"/>
    <w:rsid w:val="00987D97"/>
    <w:rsid w:val="00990269"/>
    <w:rsid w:val="00990DF0"/>
    <w:rsid w:val="00990E13"/>
    <w:rsid w:val="0099105A"/>
    <w:rsid w:val="009910AC"/>
    <w:rsid w:val="0099128F"/>
    <w:rsid w:val="0099158F"/>
    <w:rsid w:val="00991BE0"/>
    <w:rsid w:val="00992002"/>
    <w:rsid w:val="009920C6"/>
    <w:rsid w:val="009921DE"/>
    <w:rsid w:val="009922C4"/>
    <w:rsid w:val="00992505"/>
    <w:rsid w:val="00992638"/>
    <w:rsid w:val="00992783"/>
    <w:rsid w:val="009930BA"/>
    <w:rsid w:val="00993127"/>
    <w:rsid w:val="00993163"/>
    <w:rsid w:val="009934D5"/>
    <w:rsid w:val="0099374D"/>
    <w:rsid w:val="009940E9"/>
    <w:rsid w:val="0099426F"/>
    <w:rsid w:val="009946AD"/>
    <w:rsid w:val="00995938"/>
    <w:rsid w:val="00995973"/>
    <w:rsid w:val="00995A8B"/>
    <w:rsid w:val="00995D67"/>
    <w:rsid w:val="0099608B"/>
    <w:rsid w:val="00996274"/>
    <w:rsid w:val="0099673A"/>
    <w:rsid w:val="00996977"/>
    <w:rsid w:val="00996BF4"/>
    <w:rsid w:val="00996F38"/>
    <w:rsid w:val="00997058"/>
    <w:rsid w:val="009971E5"/>
    <w:rsid w:val="00997635"/>
    <w:rsid w:val="00997C1C"/>
    <w:rsid w:val="009A03F2"/>
    <w:rsid w:val="009A0499"/>
    <w:rsid w:val="009A0A30"/>
    <w:rsid w:val="009A0CDF"/>
    <w:rsid w:val="009A0D8D"/>
    <w:rsid w:val="009A0E51"/>
    <w:rsid w:val="009A0F9A"/>
    <w:rsid w:val="009A1286"/>
    <w:rsid w:val="009A147D"/>
    <w:rsid w:val="009A1A4A"/>
    <w:rsid w:val="009A1A83"/>
    <w:rsid w:val="009A1AF8"/>
    <w:rsid w:val="009A1C08"/>
    <w:rsid w:val="009A2618"/>
    <w:rsid w:val="009A2967"/>
    <w:rsid w:val="009A29DC"/>
    <w:rsid w:val="009A2C11"/>
    <w:rsid w:val="009A2E9D"/>
    <w:rsid w:val="009A315E"/>
    <w:rsid w:val="009A333B"/>
    <w:rsid w:val="009A34A0"/>
    <w:rsid w:val="009A350B"/>
    <w:rsid w:val="009A3659"/>
    <w:rsid w:val="009A3839"/>
    <w:rsid w:val="009A41FC"/>
    <w:rsid w:val="009A4557"/>
    <w:rsid w:val="009A458A"/>
    <w:rsid w:val="009A45DA"/>
    <w:rsid w:val="009A4928"/>
    <w:rsid w:val="009A4AC0"/>
    <w:rsid w:val="009A5622"/>
    <w:rsid w:val="009A574D"/>
    <w:rsid w:val="009A5F34"/>
    <w:rsid w:val="009A6520"/>
    <w:rsid w:val="009A6685"/>
    <w:rsid w:val="009A6D63"/>
    <w:rsid w:val="009A6EBA"/>
    <w:rsid w:val="009A6FE0"/>
    <w:rsid w:val="009A753A"/>
    <w:rsid w:val="009A7DB2"/>
    <w:rsid w:val="009A7F29"/>
    <w:rsid w:val="009B0139"/>
    <w:rsid w:val="009B071E"/>
    <w:rsid w:val="009B08A8"/>
    <w:rsid w:val="009B0BA3"/>
    <w:rsid w:val="009B148B"/>
    <w:rsid w:val="009B14A4"/>
    <w:rsid w:val="009B151A"/>
    <w:rsid w:val="009B1696"/>
    <w:rsid w:val="009B1B0B"/>
    <w:rsid w:val="009B1FFD"/>
    <w:rsid w:val="009B204A"/>
    <w:rsid w:val="009B2344"/>
    <w:rsid w:val="009B2678"/>
    <w:rsid w:val="009B2ACB"/>
    <w:rsid w:val="009B30C3"/>
    <w:rsid w:val="009B313C"/>
    <w:rsid w:val="009B3E1E"/>
    <w:rsid w:val="009B40A0"/>
    <w:rsid w:val="009B40D8"/>
    <w:rsid w:val="009B4249"/>
    <w:rsid w:val="009B4582"/>
    <w:rsid w:val="009B4583"/>
    <w:rsid w:val="009B47C2"/>
    <w:rsid w:val="009B4CE7"/>
    <w:rsid w:val="009B54C3"/>
    <w:rsid w:val="009B5C60"/>
    <w:rsid w:val="009B5E88"/>
    <w:rsid w:val="009B5FE6"/>
    <w:rsid w:val="009B6600"/>
    <w:rsid w:val="009B6BF3"/>
    <w:rsid w:val="009B6CD2"/>
    <w:rsid w:val="009B7222"/>
    <w:rsid w:val="009B748A"/>
    <w:rsid w:val="009B77CF"/>
    <w:rsid w:val="009B781F"/>
    <w:rsid w:val="009B7C1E"/>
    <w:rsid w:val="009C044C"/>
    <w:rsid w:val="009C07B0"/>
    <w:rsid w:val="009C1158"/>
    <w:rsid w:val="009C14BB"/>
    <w:rsid w:val="009C161C"/>
    <w:rsid w:val="009C1A42"/>
    <w:rsid w:val="009C1D9C"/>
    <w:rsid w:val="009C43C8"/>
    <w:rsid w:val="009C4E21"/>
    <w:rsid w:val="009C587F"/>
    <w:rsid w:val="009C5CC8"/>
    <w:rsid w:val="009C62DA"/>
    <w:rsid w:val="009C696C"/>
    <w:rsid w:val="009C69D9"/>
    <w:rsid w:val="009C6B15"/>
    <w:rsid w:val="009C6BA1"/>
    <w:rsid w:val="009C6C7F"/>
    <w:rsid w:val="009C6D14"/>
    <w:rsid w:val="009C724F"/>
    <w:rsid w:val="009C7668"/>
    <w:rsid w:val="009C76E8"/>
    <w:rsid w:val="009C77C1"/>
    <w:rsid w:val="009C77CF"/>
    <w:rsid w:val="009C7A9D"/>
    <w:rsid w:val="009C7B30"/>
    <w:rsid w:val="009D001D"/>
    <w:rsid w:val="009D0711"/>
    <w:rsid w:val="009D0A56"/>
    <w:rsid w:val="009D0C47"/>
    <w:rsid w:val="009D0C4C"/>
    <w:rsid w:val="009D10AF"/>
    <w:rsid w:val="009D1678"/>
    <w:rsid w:val="009D1DD7"/>
    <w:rsid w:val="009D1DEA"/>
    <w:rsid w:val="009D250F"/>
    <w:rsid w:val="009D2A94"/>
    <w:rsid w:val="009D2CD6"/>
    <w:rsid w:val="009D2D9A"/>
    <w:rsid w:val="009D2EF9"/>
    <w:rsid w:val="009D3359"/>
    <w:rsid w:val="009D3AA7"/>
    <w:rsid w:val="009D3D8B"/>
    <w:rsid w:val="009D3E0D"/>
    <w:rsid w:val="009D3F8C"/>
    <w:rsid w:val="009D40A7"/>
    <w:rsid w:val="009D511C"/>
    <w:rsid w:val="009D52C7"/>
    <w:rsid w:val="009D547B"/>
    <w:rsid w:val="009D55F2"/>
    <w:rsid w:val="009D5785"/>
    <w:rsid w:val="009D5878"/>
    <w:rsid w:val="009D58FB"/>
    <w:rsid w:val="009D62F1"/>
    <w:rsid w:val="009D63BD"/>
    <w:rsid w:val="009D647B"/>
    <w:rsid w:val="009D68A2"/>
    <w:rsid w:val="009D692E"/>
    <w:rsid w:val="009D6C6F"/>
    <w:rsid w:val="009D6EE4"/>
    <w:rsid w:val="009D6F58"/>
    <w:rsid w:val="009D780A"/>
    <w:rsid w:val="009D782E"/>
    <w:rsid w:val="009D7C04"/>
    <w:rsid w:val="009E0102"/>
    <w:rsid w:val="009E04D6"/>
    <w:rsid w:val="009E0523"/>
    <w:rsid w:val="009E0A92"/>
    <w:rsid w:val="009E0B2A"/>
    <w:rsid w:val="009E0E44"/>
    <w:rsid w:val="009E15AA"/>
    <w:rsid w:val="009E1AD3"/>
    <w:rsid w:val="009E2E2C"/>
    <w:rsid w:val="009E3393"/>
    <w:rsid w:val="009E3B27"/>
    <w:rsid w:val="009E3E0F"/>
    <w:rsid w:val="009E40F2"/>
    <w:rsid w:val="009E41D6"/>
    <w:rsid w:val="009E466B"/>
    <w:rsid w:val="009E476A"/>
    <w:rsid w:val="009E48A0"/>
    <w:rsid w:val="009E5883"/>
    <w:rsid w:val="009E5B63"/>
    <w:rsid w:val="009E6243"/>
    <w:rsid w:val="009E6812"/>
    <w:rsid w:val="009E7412"/>
    <w:rsid w:val="009E7643"/>
    <w:rsid w:val="009E77C4"/>
    <w:rsid w:val="009E7B95"/>
    <w:rsid w:val="009E7DDE"/>
    <w:rsid w:val="009F0017"/>
    <w:rsid w:val="009F0836"/>
    <w:rsid w:val="009F0C20"/>
    <w:rsid w:val="009F0FF9"/>
    <w:rsid w:val="009F108E"/>
    <w:rsid w:val="009F109A"/>
    <w:rsid w:val="009F126E"/>
    <w:rsid w:val="009F13E3"/>
    <w:rsid w:val="009F1745"/>
    <w:rsid w:val="009F19FE"/>
    <w:rsid w:val="009F1B52"/>
    <w:rsid w:val="009F1EC7"/>
    <w:rsid w:val="009F1FEB"/>
    <w:rsid w:val="009F2142"/>
    <w:rsid w:val="009F24ED"/>
    <w:rsid w:val="009F2BB0"/>
    <w:rsid w:val="009F2BDC"/>
    <w:rsid w:val="009F3809"/>
    <w:rsid w:val="009F38FE"/>
    <w:rsid w:val="009F3AFD"/>
    <w:rsid w:val="009F3D3D"/>
    <w:rsid w:val="009F3E53"/>
    <w:rsid w:val="009F4259"/>
    <w:rsid w:val="009F53DE"/>
    <w:rsid w:val="009F574B"/>
    <w:rsid w:val="009F5DB0"/>
    <w:rsid w:val="009F5E42"/>
    <w:rsid w:val="009F5F09"/>
    <w:rsid w:val="009F71C4"/>
    <w:rsid w:val="00A00312"/>
    <w:rsid w:val="00A00A0D"/>
    <w:rsid w:val="00A00BEE"/>
    <w:rsid w:val="00A00F49"/>
    <w:rsid w:val="00A00FA3"/>
    <w:rsid w:val="00A011C4"/>
    <w:rsid w:val="00A01261"/>
    <w:rsid w:val="00A01FEC"/>
    <w:rsid w:val="00A022F7"/>
    <w:rsid w:val="00A0255B"/>
    <w:rsid w:val="00A02564"/>
    <w:rsid w:val="00A02FF4"/>
    <w:rsid w:val="00A0315F"/>
    <w:rsid w:val="00A032D0"/>
    <w:rsid w:val="00A033F6"/>
    <w:rsid w:val="00A036A3"/>
    <w:rsid w:val="00A03749"/>
    <w:rsid w:val="00A03B39"/>
    <w:rsid w:val="00A03CB3"/>
    <w:rsid w:val="00A03FCD"/>
    <w:rsid w:val="00A041EF"/>
    <w:rsid w:val="00A0431A"/>
    <w:rsid w:val="00A044B8"/>
    <w:rsid w:val="00A0459C"/>
    <w:rsid w:val="00A047E2"/>
    <w:rsid w:val="00A04B1C"/>
    <w:rsid w:val="00A05929"/>
    <w:rsid w:val="00A05C27"/>
    <w:rsid w:val="00A060E1"/>
    <w:rsid w:val="00A061D6"/>
    <w:rsid w:val="00A06648"/>
    <w:rsid w:val="00A06BEC"/>
    <w:rsid w:val="00A07173"/>
    <w:rsid w:val="00A07D49"/>
    <w:rsid w:val="00A10BA2"/>
    <w:rsid w:val="00A10E01"/>
    <w:rsid w:val="00A11154"/>
    <w:rsid w:val="00A113C4"/>
    <w:rsid w:val="00A113CD"/>
    <w:rsid w:val="00A11878"/>
    <w:rsid w:val="00A1251C"/>
    <w:rsid w:val="00A12810"/>
    <w:rsid w:val="00A13136"/>
    <w:rsid w:val="00A13362"/>
    <w:rsid w:val="00A136D5"/>
    <w:rsid w:val="00A1371E"/>
    <w:rsid w:val="00A139AE"/>
    <w:rsid w:val="00A14159"/>
    <w:rsid w:val="00A1419E"/>
    <w:rsid w:val="00A14521"/>
    <w:rsid w:val="00A148A1"/>
    <w:rsid w:val="00A149B2"/>
    <w:rsid w:val="00A14D6E"/>
    <w:rsid w:val="00A15265"/>
    <w:rsid w:val="00A154C0"/>
    <w:rsid w:val="00A154D8"/>
    <w:rsid w:val="00A15583"/>
    <w:rsid w:val="00A1558E"/>
    <w:rsid w:val="00A1559E"/>
    <w:rsid w:val="00A155BE"/>
    <w:rsid w:val="00A15A39"/>
    <w:rsid w:val="00A15AF6"/>
    <w:rsid w:val="00A15B99"/>
    <w:rsid w:val="00A163B2"/>
    <w:rsid w:val="00A16CBA"/>
    <w:rsid w:val="00A16CE0"/>
    <w:rsid w:val="00A16D5E"/>
    <w:rsid w:val="00A16F3F"/>
    <w:rsid w:val="00A1700C"/>
    <w:rsid w:val="00A1736F"/>
    <w:rsid w:val="00A1739F"/>
    <w:rsid w:val="00A17742"/>
    <w:rsid w:val="00A17841"/>
    <w:rsid w:val="00A17A38"/>
    <w:rsid w:val="00A17F6C"/>
    <w:rsid w:val="00A2001C"/>
    <w:rsid w:val="00A20203"/>
    <w:rsid w:val="00A20266"/>
    <w:rsid w:val="00A202B7"/>
    <w:rsid w:val="00A204DA"/>
    <w:rsid w:val="00A20B87"/>
    <w:rsid w:val="00A20DA6"/>
    <w:rsid w:val="00A20E7F"/>
    <w:rsid w:val="00A2127D"/>
    <w:rsid w:val="00A21733"/>
    <w:rsid w:val="00A21801"/>
    <w:rsid w:val="00A21A4E"/>
    <w:rsid w:val="00A21E2B"/>
    <w:rsid w:val="00A220C1"/>
    <w:rsid w:val="00A225EF"/>
    <w:rsid w:val="00A22B44"/>
    <w:rsid w:val="00A22C6B"/>
    <w:rsid w:val="00A22E57"/>
    <w:rsid w:val="00A22EEB"/>
    <w:rsid w:val="00A2309B"/>
    <w:rsid w:val="00A23290"/>
    <w:rsid w:val="00A23A3E"/>
    <w:rsid w:val="00A23EED"/>
    <w:rsid w:val="00A24422"/>
    <w:rsid w:val="00A245DE"/>
    <w:rsid w:val="00A24861"/>
    <w:rsid w:val="00A248FB"/>
    <w:rsid w:val="00A24ABF"/>
    <w:rsid w:val="00A250AD"/>
    <w:rsid w:val="00A25130"/>
    <w:rsid w:val="00A2516D"/>
    <w:rsid w:val="00A25707"/>
    <w:rsid w:val="00A2574C"/>
    <w:rsid w:val="00A259BF"/>
    <w:rsid w:val="00A269E8"/>
    <w:rsid w:val="00A26BD6"/>
    <w:rsid w:val="00A26F0D"/>
    <w:rsid w:val="00A27037"/>
    <w:rsid w:val="00A270C8"/>
    <w:rsid w:val="00A27451"/>
    <w:rsid w:val="00A276D5"/>
    <w:rsid w:val="00A27722"/>
    <w:rsid w:val="00A27AF3"/>
    <w:rsid w:val="00A27C1F"/>
    <w:rsid w:val="00A30209"/>
    <w:rsid w:val="00A303B2"/>
    <w:rsid w:val="00A30571"/>
    <w:rsid w:val="00A3085E"/>
    <w:rsid w:val="00A30872"/>
    <w:rsid w:val="00A30E96"/>
    <w:rsid w:val="00A30F2B"/>
    <w:rsid w:val="00A30FE1"/>
    <w:rsid w:val="00A31921"/>
    <w:rsid w:val="00A31A2E"/>
    <w:rsid w:val="00A320EA"/>
    <w:rsid w:val="00A324EA"/>
    <w:rsid w:val="00A32614"/>
    <w:rsid w:val="00A327AD"/>
    <w:rsid w:val="00A32900"/>
    <w:rsid w:val="00A32997"/>
    <w:rsid w:val="00A32B2D"/>
    <w:rsid w:val="00A332EF"/>
    <w:rsid w:val="00A33361"/>
    <w:rsid w:val="00A334A2"/>
    <w:rsid w:val="00A33C75"/>
    <w:rsid w:val="00A33D69"/>
    <w:rsid w:val="00A3422B"/>
    <w:rsid w:val="00A34531"/>
    <w:rsid w:val="00A34732"/>
    <w:rsid w:val="00A34B78"/>
    <w:rsid w:val="00A34C32"/>
    <w:rsid w:val="00A3505C"/>
    <w:rsid w:val="00A350A7"/>
    <w:rsid w:val="00A35236"/>
    <w:rsid w:val="00A35485"/>
    <w:rsid w:val="00A354B7"/>
    <w:rsid w:val="00A356FE"/>
    <w:rsid w:val="00A357E3"/>
    <w:rsid w:val="00A35AA2"/>
    <w:rsid w:val="00A35B1E"/>
    <w:rsid w:val="00A35BC6"/>
    <w:rsid w:val="00A35F9E"/>
    <w:rsid w:val="00A362B9"/>
    <w:rsid w:val="00A3672F"/>
    <w:rsid w:val="00A36745"/>
    <w:rsid w:val="00A36948"/>
    <w:rsid w:val="00A36E35"/>
    <w:rsid w:val="00A370E2"/>
    <w:rsid w:val="00A37219"/>
    <w:rsid w:val="00A373A0"/>
    <w:rsid w:val="00A4033B"/>
    <w:rsid w:val="00A4040A"/>
    <w:rsid w:val="00A40B6D"/>
    <w:rsid w:val="00A40FB5"/>
    <w:rsid w:val="00A41007"/>
    <w:rsid w:val="00A41A6B"/>
    <w:rsid w:val="00A41C7D"/>
    <w:rsid w:val="00A42159"/>
    <w:rsid w:val="00A425AB"/>
    <w:rsid w:val="00A42913"/>
    <w:rsid w:val="00A42AB0"/>
    <w:rsid w:val="00A42EBB"/>
    <w:rsid w:val="00A4310F"/>
    <w:rsid w:val="00A439CA"/>
    <w:rsid w:val="00A43E6E"/>
    <w:rsid w:val="00A43E73"/>
    <w:rsid w:val="00A4407B"/>
    <w:rsid w:val="00A44165"/>
    <w:rsid w:val="00A442C1"/>
    <w:rsid w:val="00A44368"/>
    <w:rsid w:val="00A445DE"/>
    <w:rsid w:val="00A44884"/>
    <w:rsid w:val="00A44899"/>
    <w:rsid w:val="00A44942"/>
    <w:rsid w:val="00A44A55"/>
    <w:rsid w:val="00A45106"/>
    <w:rsid w:val="00A45583"/>
    <w:rsid w:val="00A45A73"/>
    <w:rsid w:val="00A45B1D"/>
    <w:rsid w:val="00A4615B"/>
    <w:rsid w:val="00A468EA"/>
    <w:rsid w:val="00A4709C"/>
    <w:rsid w:val="00A473BB"/>
    <w:rsid w:val="00A47D5B"/>
    <w:rsid w:val="00A47EA1"/>
    <w:rsid w:val="00A47F49"/>
    <w:rsid w:val="00A50086"/>
    <w:rsid w:val="00A506D2"/>
    <w:rsid w:val="00A5071E"/>
    <w:rsid w:val="00A50BC2"/>
    <w:rsid w:val="00A51505"/>
    <w:rsid w:val="00A51727"/>
    <w:rsid w:val="00A51CD8"/>
    <w:rsid w:val="00A522E5"/>
    <w:rsid w:val="00A52390"/>
    <w:rsid w:val="00A52A90"/>
    <w:rsid w:val="00A52AAC"/>
    <w:rsid w:val="00A52E8A"/>
    <w:rsid w:val="00A53966"/>
    <w:rsid w:val="00A5403E"/>
    <w:rsid w:val="00A541C7"/>
    <w:rsid w:val="00A548D4"/>
    <w:rsid w:val="00A54962"/>
    <w:rsid w:val="00A549BB"/>
    <w:rsid w:val="00A54CEC"/>
    <w:rsid w:val="00A54DA8"/>
    <w:rsid w:val="00A54E61"/>
    <w:rsid w:val="00A54F13"/>
    <w:rsid w:val="00A55107"/>
    <w:rsid w:val="00A55177"/>
    <w:rsid w:val="00A5573E"/>
    <w:rsid w:val="00A55856"/>
    <w:rsid w:val="00A5599C"/>
    <w:rsid w:val="00A55AB3"/>
    <w:rsid w:val="00A56218"/>
    <w:rsid w:val="00A56248"/>
    <w:rsid w:val="00A56386"/>
    <w:rsid w:val="00A564BE"/>
    <w:rsid w:val="00A56559"/>
    <w:rsid w:val="00A5662A"/>
    <w:rsid w:val="00A5691E"/>
    <w:rsid w:val="00A56D34"/>
    <w:rsid w:val="00A570B6"/>
    <w:rsid w:val="00A571C1"/>
    <w:rsid w:val="00A57735"/>
    <w:rsid w:val="00A57CE3"/>
    <w:rsid w:val="00A57F1C"/>
    <w:rsid w:val="00A57F48"/>
    <w:rsid w:val="00A603C5"/>
    <w:rsid w:val="00A604D7"/>
    <w:rsid w:val="00A605C7"/>
    <w:rsid w:val="00A60AA8"/>
    <w:rsid w:val="00A60EA4"/>
    <w:rsid w:val="00A60EAE"/>
    <w:rsid w:val="00A60F59"/>
    <w:rsid w:val="00A610F2"/>
    <w:rsid w:val="00A61412"/>
    <w:rsid w:val="00A615F5"/>
    <w:rsid w:val="00A6169A"/>
    <w:rsid w:val="00A61B76"/>
    <w:rsid w:val="00A61F2F"/>
    <w:rsid w:val="00A6205E"/>
    <w:rsid w:val="00A6239D"/>
    <w:rsid w:val="00A623B2"/>
    <w:rsid w:val="00A6279F"/>
    <w:rsid w:val="00A62804"/>
    <w:rsid w:val="00A628DA"/>
    <w:rsid w:val="00A62A51"/>
    <w:rsid w:val="00A62D42"/>
    <w:rsid w:val="00A62E11"/>
    <w:rsid w:val="00A6308A"/>
    <w:rsid w:val="00A63323"/>
    <w:rsid w:val="00A63875"/>
    <w:rsid w:val="00A64C36"/>
    <w:rsid w:val="00A65117"/>
    <w:rsid w:val="00A656DA"/>
    <w:rsid w:val="00A6586C"/>
    <w:rsid w:val="00A65CBB"/>
    <w:rsid w:val="00A65DAD"/>
    <w:rsid w:val="00A65EF6"/>
    <w:rsid w:val="00A65F1B"/>
    <w:rsid w:val="00A660CE"/>
    <w:rsid w:val="00A666CE"/>
    <w:rsid w:val="00A67077"/>
    <w:rsid w:val="00A675B6"/>
    <w:rsid w:val="00A67904"/>
    <w:rsid w:val="00A67A2E"/>
    <w:rsid w:val="00A702A6"/>
    <w:rsid w:val="00A7041F"/>
    <w:rsid w:val="00A70FAA"/>
    <w:rsid w:val="00A71A17"/>
    <w:rsid w:val="00A72201"/>
    <w:rsid w:val="00A7251E"/>
    <w:rsid w:val="00A72556"/>
    <w:rsid w:val="00A725D2"/>
    <w:rsid w:val="00A72AA1"/>
    <w:rsid w:val="00A72BB0"/>
    <w:rsid w:val="00A737C4"/>
    <w:rsid w:val="00A73C51"/>
    <w:rsid w:val="00A74511"/>
    <w:rsid w:val="00A7465E"/>
    <w:rsid w:val="00A74BD6"/>
    <w:rsid w:val="00A75229"/>
    <w:rsid w:val="00A75790"/>
    <w:rsid w:val="00A757C6"/>
    <w:rsid w:val="00A75916"/>
    <w:rsid w:val="00A759F4"/>
    <w:rsid w:val="00A767E8"/>
    <w:rsid w:val="00A76BA4"/>
    <w:rsid w:val="00A76C04"/>
    <w:rsid w:val="00A773D8"/>
    <w:rsid w:val="00A77968"/>
    <w:rsid w:val="00A77A7C"/>
    <w:rsid w:val="00A77D2D"/>
    <w:rsid w:val="00A77D96"/>
    <w:rsid w:val="00A80170"/>
    <w:rsid w:val="00A805E7"/>
    <w:rsid w:val="00A80A8F"/>
    <w:rsid w:val="00A80AA2"/>
    <w:rsid w:val="00A81132"/>
    <w:rsid w:val="00A819D4"/>
    <w:rsid w:val="00A81DBB"/>
    <w:rsid w:val="00A81F44"/>
    <w:rsid w:val="00A8251F"/>
    <w:rsid w:val="00A83170"/>
    <w:rsid w:val="00A836F2"/>
    <w:rsid w:val="00A83769"/>
    <w:rsid w:val="00A8399B"/>
    <w:rsid w:val="00A83B21"/>
    <w:rsid w:val="00A83CF7"/>
    <w:rsid w:val="00A83D92"/>
    <w:rsid w:val="00A83FC5"/>
    <w:rsid w:val="00A84066"/>
    <w:rsid w:val="00A843A5"/>
    <w:rsid w:val="00A843E8"/>
    <w:rsid w:val="00A84532"/>
    <w:rsid w:val="00A84721"/>
    <w:rsid w:val="00A84C62"/>
    <w:rsid w:val="00A84D8F"/>
    <w:rsid w:val="00A851AA"/>
    <w:rsid w:val="00A85A0B"/>
    <w:rsid w:val="00A85AF6"/>
    <w:rsid w:val="00A85CB4"/>
    <w:rsid w:val="00A85FCE"/>
    <w:rsid w:val="00A86102"/>
    <w:rsid w:val="00A86142"/>
    <w:rsid w:val="00A86312"/>
    <w:rsid w:val="00A8694D"/>
    <w:rsid w:val="00A86A77"/>
    <w:rsid w:val="00A86B25"/>
    <w:rsid w:val="00A86CB8"/>
    <w:rsid w:val="00A86DC6"/>
    <w:rsid w:val="00A87566"/>
    <w:rsid w:val="00A875EA"/>
    <w:rsid w:val="00A87670"/>
    <w:rsid w:val="00A87672"/>
    <w:rsid w:val="00A8767B"/>
    <w:rsid w:val="00A8799C"/>
    <w:rsid w:val="00A9019D"/>
    <w:rsid w:val="00A901B3"/>
    <w:rsid w:val="00A91547"/>
    <w:rsid w:val="00A916E4"/>
    <w:rsid w:val="00A91877"/>
    <w:rsid w:val="00A91EBC"/>
    <w:rsid w:val="00A924DB"/>
    <w:rsid w:val="00A925E2"/>
    <w:rsid w:val="00A92B30"/>
    <w:rsid w:val="00A934D2"/>
    <w:rsid w:val="00A93635"/>
    <w:rsid w:val="00A93AFD"/>
    <w:rsid w:val="00A93B1A"/>
    <w:rsid w:val="00A93BEF"/>
    <w:rsid w:val="00A940A1"/>
    <w:rsid w:val="00A94149"/>
    <w:rsid w:val="00A9467D"/>
    <w:rsid w:val="00A94806"/>
    <w:rsid w:val="00A9483E"/>
    <w:rsid w:val="00A94CA2"/>
    <w:rsid w:val="00A94D77"/>
    <w:rsid w:val="00A94DDC"/>
    <w:rsid w:val="00A950CD"/>
    <w:rsid w:val="00A950E4"/>
    <w:rsid w:val="00A954F3"/>
    <w:rsid w:val="00A95BE1"/>
    <w:rsid w:val="00A95DFE"/>
    <w:rsid w:val="00A95E68"/>
    <w:rsid w:val="00A9635C"/>
    <w:rsid w:val="00A96924"/>
    <w:rsid w:val="00A96B58"/>
    <w:rsid w:val="00A96D4F"/>
    <w:rsid w:val="00A97539"/>
    <w:rsid w:val="00A97A3E"/>
    <w:rsid w:val="00A97CC0"/>
    <w:rsid w:val="00A97CFC"/>
    <w:rsid w:val="00A97F8B"/>
    <w:rsid w:val="00A97FBE"/>
    <w:rsid w:val="00AA012D"/>
    <w:rsid w:val="00AA0312"/>
    <w:rsid w:val="00AA03EE"/>
    <w:rsid w:val="00AA08C4"/>
    <w:rsid w:val="00AA0942"/>
    <w:rsid w:val="00AA125E"/>
    <w:rsid w:val="00AA14FA"/>
    <w:rsid w:val="00AA1670"/>
    <w:rsid w:val="00AA1723"/>
    <w:rsid w:val="00AA192A"/>
    <w:rsid w:val="00AA1B54"/>
    <w:rsid w:val="00AA1D7A"/>
    <w:rsid w:val="00AA1DDC"/>
    <w:rsid w:val="00AA211A"/>
    <w:rsid w:val="00AA2666"/>
    <w:rsid w:val="00AA31B1"/>
    <w:rsid w:val="00AA334E"/>
    <w:rsid w:val="00AA33EA"/>
    <w:rsid w:val="00AA3A05"/>
    <w:rsid w:val="00AA3C97"/>
    <w:rsid w:val="00AA3D2A"/>
    <w:rsid w:val="00AA3F12"/>
    <w:rsid w:val="00AA458B"/>
    <w:rsid w:val="00AA482C"/>
    <w:rsid w:val="00AA4F33"/>
    <w:rsid w:val="00AA53D1"/>
    <w:rsid w:val="00AA5585"/>
    <w:rsid w:val="00AA5C07"/>
    <w:rsid w:val="00AA5E4E"/>
    <w:rsid w:val="00AA6507"/>
    <w:rsid w:val="00AA684A"/>
    <w:rsid w:val="00AA6AD1"/>
    <w:rsid w:val="00AA6DA7"/>
    <w:rsid w:val="00AA6E7E"/>
    <w:rsid w:val="00AA71E0"/>
    <w:rsid w:val="00AA779D"/>
    <w:rsid w:val="00AA7A94"/>
    <w:rsid w:val="00AA7BC5"/>
    <w:rsid w:val="00AA7C60"/>
    <w:rsid w:val="00AA7D6A"/>
    <w:rsid w:val="00AB0566"/>
    <w:rsid w:val="00AB062A"/>
    <w:rsid w:val="00AB074D"/>
    <w:rsid w:val="00AB0A89"/>
    <w:rsid w:val="00AB0CE1"/>
    <w:rsid w:val="00AB0EC9"/>
    <w:rsid w:val="00AB132F"/>
    <w:rsid w:val="00AB14DC"/>
    <w:rsid w:val="00AB1722"/>
    <w:rsid w:val="00AB1CBF"/>
    <w:rsid w:val="00AB2076"/>
    <w:rsid w:val="00AB2435"/>
    <w:rsid w:val="00AB2513"/>
    <w:rsid w:val="00AB265B"/>
    <w:rsid w:val="00AB2B08"/>
    <w:rsid w:val="00AB370E"/>
    <w:rsid w:val="00AB3992"/>
    <w:rsid w:val="00AB3B1D"/>
    <w:rsid w:val="00AB3DA6"/>
    <w:rsid w:val="00AB4A3A"/>
    <w:rsid w:val="00AB4AF3"/>
    <w:rsid w:val="00AB4DC0"/>
    <w:rsid w:val="00AB52B0"/>
    <w:rsid w:val="00AB5494"/>
    <w:rsid w:val="00AB5B62"/>
    <w:rsid w:val="00AB5E82"/>
    <w:rsid w:val="00AB5EEB"/>
    <w:rsid w:val="00AB6892"/>
    <w:rsid w:val="00AB6FAC"/>
    <w:rsid w:val="00AB7BB4"/>
    <w:rsid w:val="00AC0392"/>
    <w:rsid w:val="00AC0A7A"/>
    <w:rsid w:val="00AC11BC"/>
    <w:rsid w:val="00AC1953"/>
    <w:rsid w:val="00AC1B7E"/>
    <w:rsid w:val="00AC1CF8"/>
    <w:rsid w:val="00AC24DA"/>
    <w:rsid w:val="00AC25FC"/>
    <w:rsid w:val="00AC26FE"/>
    <w:rsid w:val="00AC277C"/>
    <w:rsid w:val="00AC2D6D"/>
    <w:rsid w:val="00AC30CB"/>
    <w:rsid w:val="00AC35D8"/>
    <w:rsid w:val="00AC3D0B"/>
    <w:rsid w:val="00AC3E5C"/>
    <w:rsid w:val="00AC446C"/>
    <w:rsid w:val="00AC549E"/>
    <w:rsid w:val="00AC55C4"/>
    <w:rsid w:val="00AC5881"/>
    <w:rsid w:val="00AC5B4F"/>
    <w:rsid w:val="00AC5BEF"/>
    <w:rsid w:val="00AC6058"/>
    <w:rsid w:val="00AC6785"/>
    <w:rsid w:val="00AC678B"/>
    <w:rsid w:val="00AC6DE2"/>
    <w:rsid w:val="00AC70DB"/>
    <w:rsid w:val="00AC72CC"/>
    <w:rsid w:val="00AC73EC"/>
    <w:rsid w:val="00AC7A36"/>
    <w:rsid w:val="00AC7D59"/>
    <w:rsid w:val="00AD019F"/>
    <w:rsid w:val="00AD04C3"/>
    <w:rsid w:val="00AD054A"/>
    <w:rsid w:val="00AD0556"/>
    <w:rsid w:val="00AD075F"/>
    <w:rsid w:val="00AD0C84"/>
    <w:rsid w:val="00AD13FC"/>
    <w:rsid w:val="00AD16F6"/>
    <w:rsid w:val="00AD1FAB"/>
    <w:rsid w:val="00AD2120"/>
    <w:rsid w:val="00AD2243"/>
    <w:rsid w:val="00AD2258"/>
    <w:rsid w:val="00AD232A"/>
    <w:rsid w:val="00AD2361"/>
    <w:rsid w:val="00AD2454"/>
    <w:rsid w:val="00AD302B"/>
    <w:rsid w:val="00AD32C1"/>
    <w:rsid w:val="00AD3333"/>
    <w:rsid w:val="00AD364D"/>
    <w:rsid w:val="00AD370B"/>
    <w:rsid w:val="00AD39CA"/>
    <w:rsid w:val="00AD39F9"/>
    <w:rsid w:val="00AD3D84"/>
    <w:rsid w:val="00AD3F9D"/>
    <w:rsid w:val="00AD421D"/>
    <w:rsid w:val="00AD48A7"/>
    <w:rsid w:val="00AD4BA6"/>
    <w:rsid w:val="00AD4DA5"/>
    <w:rsid w:val="00AD4E87"/>
    <w:rsid w:val="00AD4F1D"/>
    <w:rsid w:val="00AD5272"/>
    <w:rsid w:val="00AD62D9"/>
    <w:rsid w:val="00AD6685"/>
    <w:rsid w:val="00AD69F0"/>
    <w:rsid w:val="00AD6BE2"/>
    <w:rsid w:val="00AD7039"/>
    <w:rsid w:val="00AD79A8"/>
    <w:rsid w:val="00AD7B2B"/>
    <w:rsid w:val="00AE04BE"/>
    <w:rsid w:val="00AE0993"/>
    <w:rsid w:val="00AE0D84"/>
    <w:rsid w:val="00AE13EF"/>
    <w:rsid w:val="00AE1434"/>
    <w:rsid w:val="00AE1651"/>
    <w:rsid w:val="00AE194D"/>
    <w:rsid w:val="00AE1CBD"/>
    <w:rsid w:val="00AE218D"/>
    <w:rsid w:val="00AE2C17"/>
    <w:rsid w:val="00AE2C4A"/>
    <w:rsid w:val="00AE2DC6"/>
    <w:rsid w:val="00AE34F2"/>
    <w:rsid w:val="00AE3679"/>
    <w:rsid w:val="00AE3920"/>
    <w:rsid w:val="00AE3979"/>
    <w:rsid w:val="00AE3DC9"/>
    <w:rsid w:val="00AE4901"/>
    <w:rsid w:val="00AE56B7"/>
    <w:rsid w:val="00AE5DA9"/>
    <w:rsid w:val="00AE60EA"/>
    <w:rsid w:val="00AE6222"/>
    <w:rsid w:val="00AE622E"/>
    <w:rsid w:val="00AE6301"/>
    <w:rsid w:val="00AE64E7"/>
    <w:rsid w:val="00AE66BA"/>
    <w:rsid w:val="00AE7254"/>
    <w:rsid w:val="00AE743B"/>
    <w:rsid w:val="00AE7C4A"/>
    <w:rsid w:val="00AE7FDE"/>
    <w:rsid w:val="00AF01FC"/>
    <w:rsid w:val="00AF076B"/>
    <w:rsid w:val="00AF15F2"/>
    <w:rsid w:val="00AF1721"/>
    <w:rsid w:val="00AF1963"/>
    <w:rsid w:val="00AF1A2E"/>
    <w:rsid w:val="00AF1D19"/>
    <w:rsid w:val="00AF20C1"/>
    <w:rsid w:val="00AF2117"/>
    <w:rsid w:val="00AF2990"/>
    <w:rsid w:val="00AF2D11"/>
    <w:rsid w:val="00AF2E50"/>
    <w:rsid w:val="00AF2EF7"/>
    <w:rsid w:val="00AF3A5F"/>
    <w:rsid w:val="00AF3CC7"/>
    <w:rsid w:val="00AF3D0C"/>
    <w:rsid w:val="00AF3E78"/>
    <w:rsid w:val="00AF407D"/>
    <w:rsid w:val="00AF455D"/>
    <w:rsid w:val="00AF498B"/>
    <w:rsid w:val="00AF4A32"/>
    <w:rsid w:val="00AF4A4E"/>
    <w:rsid w:val="00AF4C7A"/>
    <w:rsid w:val="00AF5490"/>
    <w:rsid w:val="00AF5867"/>
    <w:rsid w:val="00AF5AA6"/>
    <w:rsid w:val="00AF5FD6"/>
    <w:rsid w:val="00AF610F"/>
    <w:rsid w:val="00AF6300"/>
    <w:rsid w:val="00AF65B9"/>
    <w:rsid w:val="00AF6DFB"/>
    <w:rsid w:val="00AF7011"/>
    <w:rsid w:val="00AF7455"/>
    <w:rsid w:val="00B00045"/>
    <w:rsid w:val="00B00382"/>
    <w:rsid w:val="00B003B2"/>
    <w:rsid w:val="00B00D38"/>
    <w:rsid w:val="00B0129B"/>
    <w:rsid w:val="00B01575"/>
    <w:rsid w:val="00B01B6D"/>
    <w:rsid w:val="00B01D46"/>
    <w:rsid w:val="00B01D9E"/>
    <w:rsid w:val="00B01F44"/>
    <w:rsid w:val="00B01FF5"/>
    <w:rsid w:val="00B022EA"/>
    <w:rsid w:val="00B02959"/>
    <w:rsid w:val="00B0305D"/>
    <w:rsid w:val="00B03747"/>
    <w:rsid w:val="00B03C05"/>
    <w:rsid w:val="00B03E60"/>
    <w:rsid w:val="00B03FAE"/>
    <w:rsid w:val="00B043E4"/>
    <w:rsid w:val="00B0448A"/>
    <w:rsid w:val="00B048DD"/>
    <w:rsid w:val="00B04CB3"/>
    <w:rsid w:val="00B04E7B"/>
    <w:rsid w:val="00B05077"/>
    <w:rsid w:val="00B0547D"/>
    <w:rsid w:val="00B0576D"/>
    <w:rsid w:val="00B05CF9"/>
    <w:rsid w:val="00B06351"/>
    <w:rsid w:val="00B064A2"/>
    <w:rsid w:val="00B06541"/>
    <w:rsid w:val="00B06861"/>
    <w:rsid w:val="00B068ED"/>
    <w:rsid w:val="00B06910"/>
    <w:rsid w:val="00B0696F"/>
    <w:rsid w:val="00B06EEE"/>
    <w:rsid w:val="00B07276"/>
    <w:rsid w:val="00B076A2"/>
    <w:rsid w:val="00B0779B"/>
    <w:rsid w:val="00B07AA7"/>
    <w:rsid w:val="00B07E20"/>
    <w:rsid w:val="00B101E8"/>
    <w:rsid w:val="00B102DB"/>
    <w:rsid w:val="00B10893"/>
    <w:rsid w:val="00B1116E"/>
    <w:rsid w:val="00B11391"/>
    <w:rsid w:val="00B1144C"/>
    <w:rsid w:val="00B114A8"/>
    <w:rsid w:val="00B1174B"/>
    <w:rsid w:val="00B11F48"/>
    <w:rsid w:val="00B12245"/>
    <w:rsid w:val="00B124AC"/>
    <w:rsid w:val="00B126B4"/>
    <w:rsid w:val="00B13128"/>
    <w:rsid w:val="00B135A7"/>
    <w:rsid w:val="00B13AEE"/>
    <w:rsid w:val="00B14953"/>
    <w:rsid w:val="00B149EA"/>
    <w:rsid w:val="00B15304"/>
    <w:rsid w:val="00B153CC"/>
    <w:rsid w:val="00B15883"/>
    <w:rsid w:val="00B15DC7"/>
    <w:rsid w:val="00B15E1C"/>
    <w:rsid w:val="00B16229"/>
    <w:rsid w:val="00B16272"/>
    <w:rsid w:val="00B167D0"/>
    <w:rsid w:val="00B169B4"/>
    <w:rsid w:val="00B17031"/>
    <w:rsid w:val="00B175DE"/>
    <w:rsid w:val="00B17694"/>
    <w:rsid w:val="00B176C2"/>
    <w:rsid w:val="00B17D9A"/>
    <w:rsid w:val="00B2077B"/>
    <w:rsid w:val="00B2080D"/>
    <w:rsid w:val="00B2099B"/>
    <w:rsid w:val="00B20CCC"/>
    <w:rsid w:val="00B20F01"/>
    <w:rsid w:val="00B20F82"/>
    <w:rsid w:val="00B210E0"/>
    <w:rsid w:val="00B21744"/>
    <w:rsid w:val="00B21CB6"/>
    <w:rsid w:val="00B21E67"/>
    <w:rsid w:val="00B21EB6"/>
    <w:rsid w:val="00B22654"/>
    <w:rsid w:val="00B226D0"/>
    <w:rsid w:val="00B22C82"/>
    <w:rsid w:val="00B22DDC"/>
    <w:rsid w:val="00B22EA8"/>
    <w:rsid w:val="00B2306C"/>
    <w:rsid w:val="00B231DE"/>
    <w:rsid w:val="00B233F1"/>
    <w:rsid w:val="00B235E4"/>
    <w:rsid w:val="00B23936"/>
    <w:rsid w:val="00B24692"/>
    <w:rsid w:val="00B2472A"/>
    <w:rsid w:val="00B24768"/>
    <w:rsid w:val="00B24881"/>
    <w:rsid w:val="00B24CAA"/>
    <w:rsid w:val="00B24D9C"/>
    <w:rsid w:val="00B24DCB"/>
    <w:rsid w:val="00B25418"/>
    <w:rsid w:val="00B2576F"/>
    <w:rsid w:val="00B25A46"/>
    <w:rsid w:val="00B26898"/>
    <w:rsid w:val="00B269B2"/>
    <w:rsid w:val="00B269DC"/>
    <w:rsid w:val="00B26DFD"/>
    <w:rsid w:val="00B270C3"/>
    <w:rsid w:val="00B274F5"/>
    <w:rsid w:val="00B27597"/>
    <w:rsid w:val="00B27997"/>
    <w:rsid w:val="00B27B2A"/>
    <w:rsid w:val="00B27ECD"/>
    <w:rsid w:val="00B27FDF"/>
    <w:rsid w:val="00B301ED"/>
    <w:rsid w:val="00B30607"/>
    <w:rsid w:val="00B30CCA"/>
    <w:rsid w:val="00B31429"/>
    <w:rsid w:val="00B31791"/>
    <w:rsid w:val="00B3212B"/>
    <w:rsid w:val="00B32357"/>
    <w:rsid w:val="00B323CB"/>
    <w:rsid w:val="00B3249F"/>
    <w:rsid w:val="00B32660"/>
    <w:rsid w:val="00B33083"/>
    <w:rsid w:val="00B335F9"/>
    <w:rsid w:val="00B336F9"/>
    <w:rsid w:val="00B33C4A"/>
    <w:rsid w:val="00B33E40"/>
    <w:rsid w:val="00B33F74"/>
    <w:rsid w:val="00B342C8"/>
    <w:rsid w:val="00B343A9"/>
    <w:rsid w:val="00B346AF"/>
    <w:rsid w:val="00B34A06"/>
    <w:rsid w:val="00B34CDC"/>
    <w:rsid w:val="00B34F98"/>
    <w:rsid w:val="00B35528"/>
    <w:rsid w:val="00B35536"/>
    <w:rsid w:val="00B359FB"/>
    <w:rsid w:val="00B35F85"/>
    <w:rsid w:val="00B366A2"/>
    <w:rsid w:val="00B36DA7"/>
    <w:rsid w:val="00B36FB6"/>
    <w:rsid w:val="00B36FDB"/>
    <w:rsid w:val="00B37000"/>
    <w:rsid w:val="00B37405"/>
    <w:rsid w:val="00B3743F"/>
    <w:rsid w:val="00B3793C"/>
    <w:rsid w:val="00B37D9F"/>
    <w:rsid w:val="00B4017A"/>
    <w:rsid w:val="00B405F0"/>
    <w:rsid w:val="00B40A2E"/>
    <w:rsid w:val="00B40D5D"/>
    <w:rsid w:val="00B420E4"/>
    <w:rsid w:val="00B42446"/>
    <w:rsid w:val="00B42704"/>
    <w:rsid w:val="00B42976"/>
    <w:rsid w:val="00B429D5"/>
    <w:rsid w:val="00B4310D"/>
    <w:rsid w:val="00B431AA"/>
    <w:rsid w:val="00B43521"/>
    <w:rsid w:val="00B43855"/>
    <w:rsid w:val="00B43C3F"/>
    <w:rsid w:val="00B43E70"/>
    <w:rsid w:val="00B442FD"/>
    <w:rsid w:val="00B4435F"/>
    <w:rsid w:val="00B446DD"/>
    <w:rsid w:val="00B44AC5"/>
    <w:rsid w:val="00B44F88"/>
    <w:rsid w:val="00B450DD"/>
    <w:rsid w:val="00B45877"/>
    <w:rsid w:val="00B459C4"/>
    <w:rsid w:val="00B45AE1"/>
    <w:rsid w:val="00B45D32"/>
    <w:rsid w:val="00B45E11"/>
    <w:rsid w:val="00B46183"/>
    <w:rsid w:val="00B4641A"/>
    <w:rsid w:val="00B46819"/>
    <w:rsid w:val="00B473E5"/>
    <w:rsid w:val="00B47461"/>
    <w:rsid w:val="00B478D7"/>
    <w:rsid w:val="00B47EAA"/>
    <w:rsid w:val="00B501CC"/>
    <w:rsid w:val="00B50571"/>
    <w:rsid w:val="00B5076E"/>
    <w:rsid w:val="00B50B57"/>
    <w:rsid w:val="00B50CA6"/>
    <w:rsid w:val="00B51775"/>
    <w:rsid w:val="00B51FA1"/>
    <w:rsid w:val="00B51FA7"/>
    <w:rsid w:val="00B52137"/>
    <w:rsid w:val="00B523E0"/>
    <w:rsid w:val="00B52C7E"/>
    <w:rsid w:val="00B5383B"/>
    <w:rsid w:val="00B5391B"/>
    <w:rsid w:val="00B539CB"/>
    <w:rsid w:val="00B53D44"/>
    <w:rsid w:val="00B54000"/>
    <w:rsid w:val="00B54282"/>
    <w:rsid w:val="00B545F5"/>
    <w:rsid w:val="00B54869"/>
    <w:rsid w:val="00B5499E"/>
    <w:rsid w:val="00B549B0"/>
    <w:rsid w:val="00B54D11"/>
    <w:rsid w:val="00B55245"/>
    <w:rsid w:val="00B5543E"/>
    <w:rsid w:val="00B55452"/>
    <w:rsid w:val="00B5558F"/>
    <w:rsid w:val="00B55D08"/>
    <w:rsid w:val="00B55D96"/>
    <w:rsid w:val="00B55DFF"/>
    <w:rsid w:val="00B561DA"/>
    <w:rsid w:val="00B562E5"/>
    <w:rsid w:val="00B5632F"/>
    <w:rsid w:val="00B5659A"/>
    <w:rsid w:val="00B56628"/>
    <w:rsid w:val="00B566B4"/>
    <w:rsid w:val="00B56762"/>
    <w:rsid w:val="00B56935"/>
    <w:rsid w:val="00B56E24"/>
    <w:rsid w:val="00B570E1"/>
    <w:rsid w:val="00B57676"/>
    <w:rsid w:val="00B57702"/>
    <w:rsid w:val="00B577A1"/>
    <w:rsid w:val="00B577C0"/>
    <w:rsid w:val="00B577D2"/>
    <w:rsid w:val="00B57B8E"/>
    <w:rsid w:val="00B57CB8"/>
    <w:rsid w:val="00B57F38"/>
    <w:rsid w:val="00B57F9A"/>
    <w:rsid w:val="00B60158"/>
    <w:rsid w:val="00B6017F"/>
    <w:rsid w:val="00B604B0"/>
    <w:rsid w:val="00B606F4"/>
    <w:rsid w:val="00B60E4C"/>
    <w:rsid w:val="00B61131"/>
    <w:rsid w:val="00B613E7"/>
    <w:rsid w:val="00B61A76"/>
    <w:rsid w:val="00B61AA6"/>
    <w:rsid w:val="00B624CB"/>
    <w:rsid w:val="00B62953"/>
    <w:rsid w:val="00B63356"/>
    <w:rsid w:val="00B63903"/>
    <w:rsid w:val="00B63930"/>
    <w:rsid w:val="00B639A0"/>
    <w:rsid w:val="00B63F1C"/>
    <w:rsid w:val="00B6412B"/>
    <w:rsid w:val="00B6438A"/>
    <w:rsid w:val="00B64624"/>
    <w:rsid w:val="00B64830"/>
    <w:rsid w:val="00B64910"/>
    <w:rsid w:val="00B64FD2"/>
    <w:rsid w:val="00B650F4"/>
    <w:rsid w:val="00B65491"/>
    <w:rsid w:val="00B659F0"/>
    <w:rsid w:val="00B65B4B"/>
    <w:rsid w:val="00B65CB1"/>
    <w:rsid w:val="00B65FB1"/>
    <w:rsid w:val="00B661DD"/>
    <w:rsid w:val="00B66528"/>
    <w:rsid w:val="00B666DF"/>
    <w:rsid w:val="00B66CE3"/>
    <w:rsid w:val="00B67313"/>
    <w:rsid w:val="00B673E5"/>
    <w:rsid w:val="00B67AC6"/>
    <w:rsid w:val="00B67F5D"/>
    <w:rsid w:val="00B703D6"/>
    <w:rsid w:val="00B70A5C"/>
    <w:rsid w:val="00B70B2F"/>
    <w:rsid w:val="00B70F8E"/>
    <w:rsid w:val="00B7138A"/>
    <w:rsid w:val="00B7153B"/>
    <w:rsid w:val="00B71A88"/>
    <w:rsid w:val="00B71EC1"/>
    <w:rsid w:val="00B71F84"/>
    <w:rsid w:val="00B73035"/>
    <w:rsid w:val="00B73219"/>
    <w:rsid w:val="00B73385"/>
    <w:rsid w:val="00B7342A"/>
    <w:rsid w:val="00B73E04"/>
    <w:rsid w:val="00B74017"/>
    <w:rsid w:val="00B741A3"/>
    <w:rsid w:val="00B74855"/>
    <w:rsid w:val="00B74A09"/>
    <w:rsid w:val="00B74EDF"/>
    <w:rsid w:val="00B753A4"/>
    <w:rsid w:val="00B75F12"/>
    <w:rsid w:val="00B76194"/>
    <w:rsid w:val="00B762BC"/>
    <w:rsid w:val="00B769F9"/>
    <w:rsid w:val="00B76B5C"/>
    <w:rsid w:val="00B76BF6"/>
    <w:rsid w:val="00B76D6B"/>
    <w:rsid w:val="00B76E29"/>
    <w:rsid w:val="00B76ED2"/>
    <w:rsid w:val="00B770BB"/>
    <w:rsid w:val="00B77445"/>
    <w:rsid w:val="00B774BE"/>
    <w:rsid w:val="00B779FB"/>
    <w:rsid w:val="00B77AEC"/>
    <w:rsid w:val="00B805C3"/>
    <w:rsid w:val="00B80796"/>
    <w:rsid w:val="00B80A61"/>
    <w:rsid w:val="00B80D1D"/>
    <w:rsid w:val="00B81593"/>
    <w:rsid w:val="00B8181B"/>
    <w:rsid w:val="00B818B8"/>
    <w:rsid w:val="00B818E1"/>
    <w:rsid w:val="00B81FC2"/>
    <w:rsid w:val="00B826EC"/>
    <w:rsid w:val="00B82CA9"/>
    <w:rsid w:val="00B82D53"/>
    <w:rsid w:val="00B82E8D"/>
    <w:rsid w:val="00B831F7"/>
    <w:rsid w:val="00B83299"/>
    <w:rsid w:val="00B838F7"/>
    <w:rsid w:val="00B83C97"/>
    <w:rsid w:val="00B841EF"/>
    <w:rsid w:val="00B847A5"/>
    <w:rsid w:val="00B847AB"/>
    <w:rsid w:val="00B84BEC"/>
    <w:rsid w:val="00B84C34"/>
    <w:rsid w:val="00B84EA0"/>
    <w:rsid w:val="00B84EE0"/>
    <w:rsid w:val="00B85A08"/>
    <w:rsid w:val="00B86682"/>
    <w:rsid w:val="00B86753"/>
    <w:rsid w:val="00B86793"/>
    <w:rsid w:val="00B86A31"/>
    <w:rsid w:val="00B86CE4"/>
    <w:rsid w:val="00B87093"/>
    <w:rsid w:val="00B87D46"/>
    <w:rsid w:val="00B87DC2"/>
    <w:rsid w:val="00B90446"/>
    <w:rsid w:val="00B9070C"/>
    <w:rsid w:val="00B90B4D"/>
    <w:rsid w:val="00B90C25"/>
    <w:rsid w:val="00B90E59"/>
    <w:rsid w:val="00B91120"/>
    <w:rsid w:val="00B913C6"/>
    <w:rsid w:val="00B91598"/>
    <w:rsid w:val="00B9178D"/>
    <w:rsid w:val="00B91A07"/>
    <w:rsid w:val="00B92194"/>
    <w:rsid w:val="00B92691"/>
    <w:rsid w:val="00B92CDB"/>
    <w:rsid w:val="00B930D0"/>
    <w:rsid w:val="00B93127"/>
    <w:rsid w:val="00B9324B"/>
    <w:rsid w:val="00B9345C"/>
    <w:rsid w:val="00B934F8"/>
    <w:rsid w:val="00B935B9"/>
    <w:rsid w:val="00B938C9"/>
    <w:rsid w:val="00B939A0"/>
    <w:rsid w:val="00B93B1C"/>
    <w:rsid w:val="00B93F14"/>
    <w:rsid w:val="00B93F3C"/>
    <w:rsid w:val="00B9465A"/>
    <w:rsid w:val="00B94B35"/>
    <w:rsid w:val="00B94CF3"/>
    <w:rsid w:val="00B94F90"/>
    <w:rsid w:val="00B95013"/>
    <w:rsid w:val="00B9563B"/>
    <w:rsid w:val="00B95754"/>
    <w:rsid w:val="00B95918"/>
    <w:rsid w:val="00B95ABF"/>
    <w:rsid w:val="00B9721A"/>
    <w:rsid w:val="00B97634"/>
    <w:rsid w:val="00B977C4"/>
    <w:rsid w:val="00B97E64"/>
    <w:rsid w:val="00BA002B"/>
    <w:rsid w:val="00BA01F5"/>
    <w:rsid w:val="00BA054B"/>
    <w:rsid w:val="00BA11DF"/>
    <w:rsid w:val="00BA13C5"/>
    <w:rsid w:val="00BA1536"/>
    <w:rsid w:val="00BA1758"/>
    <w:rsid w:val="00BA17AC"/>
    <w:rsid w:val="00BA331A"/>
    <w:rsid w:val="00BA37E6"/>
    <w:rsid w:val="00BA3965"/>
    <w:rsid w:val="00BA3AD4"/>
    <w:rsid w:val="00BA3F9C"/>
    <w:rsid w:val="00BA405C"/>
    <w:rsid w:val="00BA428E"/>
    <w:rsid w:val="00BA44C9"/>
    <w:rsid w:val="00BA451E"/>
    <w:rsid w:val="00BA47BA"/>
    <w:rsid w:val="00BA4B9D"/>
    <w:rsid w:val="00BA4EDA"/>
    <w:rsid w:val="00BA5443"/>
    <w:rsid w:val="00BA5580"/>
    <w:rsid w:val="00BA5D69"/>
    <w:rsid w:val="00BA5E83"/>
    <w:rsid w:val="00BA5EC9"/>
    <w:rsid w:val="00BA6624"/>
    <w:rsid w:val="00BA6CB2"/>
    <w:rsid w:val="00BA6E59"/>
    <w:rsid w:val="00BA6E98"/>
    <w:rsid w:val="00BA6ED1"/>
    <w:rsid w:val="00BA7358"/>
    <w:rsid w:val="00BA75F9"/>
    <w:rsid w:val="00BA77C5"/>
    <w:rsid w:val="00BA789C"/>
    <w:rsid w:val="00BA7A1A"/>
    <w:rsid w:val="00BA7C84"/>
    <w:rsid w:val="00BA7D83"/>
    <w:rsid w:val="00BB0053"/>
    <w:rsid w:val="00BB03A9"/>
    <w:rsid w:val="00BB081E"/>
    <w:rsid w:val="00BB0CC2"/>
    <w:rsid w:val="00BB0CDE"/>
    <w:rsid w:val="00BB0D4E"/>
    <w:rsid w:val="00BB0D5C"/>
    <w:rsid w:val="00BB128B"/>
    <w:rsid w:val="00BB1479"/>
    <w:rsid w:val="00BB1731"/>
    <w:rsid w:val="00BB17D4"/>
    <w:rsid w:val="00BB1BE9"/>
    <w:rsid w:val="00BB2735"/>
    <w:rsid w:val="00BB372A"/>
    <w:rsid w:val="00BB387C"/>
    <w:rsid w:val="00BB38B2"/>
    <w:rsid w:val="00BB392A"/>
    <w:rsid w:val="00BB3A73"/>
    <w:rsid w:val="00BB3CBD"/>
    <w:rsid w:val="00BB4892"/>
    <w:rsid w:val="00BB4C73"/>
    <w:rsid w:val="00BB4C84"/>
    <w:rsid w:val="00BB50EF"/>
    <w:rsid w:val="00BB515E"/>
    <w:rsid w:val="00BB579C"/>
    <w:rsid w:val="00BB59B8"/>
    <w:rsid w:val="00BB66B2"/>
    <w:rsid w:val="00BB6766"/>
    <w:rsid w:val="00BB688D"/>
    <w:rsid w:val="00BB7230"/>
    <w:rsid w:val="00BB737B"/>
    <w:rsid w:val="00BB7D03"/>
    <w:rsid w:val="00BC09CB"/>
    <w:rsid w:val="00BC0DA3"/>
    <w:rsid w:val="00BC110B"/>
    <w:rsid w:val="00BC1548"/>
    <w:rsid w:val="00BC19EF"/>
    <w:rsid w:val="00BC1BC7"/>
    <w:rsid w:val="00BC1C60"/>
    <w:rsid w:val="00BC20CA"/>
    <w:rsid w:val="00BC2637"/>
    <w:rsid w:val="00BC27DA"/>
    <w:rsid w:val="00BC285C"/>
    <w:rsid w:val="00BC2BD2"/>
    <w:rsid w:val="00BC2E76"/>
    <w:rsid w:val="00BC2EA7"/>
    <w:rsid w:val="00BC2F43"/>
    <w:rsid w:val="00BC3324"/>
    <w:rsid w:val="00BC372C"/>
    <w:rsid w:val="00BC38EA"/>
    <w:rsid w:val="00BC4863"/>
    <w:rsid w:val="00BC4881"/>
    <w:rsid w:val="00BC4DB4"/>
    <w:rsid w:val="00BC4DF7"/>
    <w:rsid w:val="00BC5692"/>
    <w:rsid w:val="00BC56A8"/>
    <w:rsid w:val="00BC57C6"/>
    <w:rsid w:val="00BC57FB"/>
    <w:rsid w:val="00BC581B"/>
    <w:rsid w:val="00BC5942"/>
    <w:rsid w:val="00BC5D7A"/>
    <w:rsid w:val="00BC5E42"/>
    <w:rsid w:val="00BC68D6"/>
    <w:rsid w:val="00BC716B"/>
    <w:rsid w:val="00BC720B"/>
    <w:rsid w:val="00BC7891"/>
    <w:rsid w:val="00BC7933"/>
    <w:rsid w:val="00BC7A5E"/>
    <w:rsid w:val="00BC7C86"/>
    <w:rsid w:val="00BC7E8F"/>
    <w:rsid w:val="00BD021A"/>
    <w:rsid w:val="00BD0750"/>
    <w:rsid w:val="00BD0852"/>
    <w:rsid w:val="00BD0DAC"/>
    <w:rsid w:val="00BD12A1"/>
    <w:rsid w:val="00BD1A11"/>
    <w:rsid w:val="00BD1ABE"/>
    <w:rsid w:val="00BD1C77"/>
    <w:rsid w:val="00BD1E3F"/>
    <w:rsid w:val="00BD2241"/>
    <w:rsid w:val="00BD23E5"/>
    <w:rsid w:val="00BD269B"/>
    <w:rsid w:val="00BD2876"/>
    <w:rsid w:val="00BD2923"/>
    <w:rsid w:val="00BD2AC4"/>
    <w:rsid w:val="00BD2DDB"/>
    <w:rsid w:val="00BD302E"/>
    <w:rsid w:val="00BD3177"/>
    <w:rsid w:val="00BD33D1"/>
    <w:rsid w:val="00BD35B7"/>
    <w:rsid w:val="00BD41EA"/>
    <w:rsid w:val="00BD46D7"/>
    <w:rsid w:val="00BD47CE"/>
    <w:rsid w:val="00BD47F2"/>
    <w:rsid w:val="00BD484A"/>
    <w:rsid w:val="00BD4968"/>
    <w:rsid w:val="00BD4AE9"/>
    <w:rsid w:val="00BD50E2"/>
    <w:rsid w:val="00BD53C3"/>
    <w:rsid w:val="00BD54EF"/>
    <w:rsid w:val="00BD5B91"/>
    <w:rsid w:val="00BD5EA8"/>
    <w:rsid w:val="00BD5F55"/>
    <w:rsid w:val="00BD641A"/>
    <w:rsid w:val="00BD6CB4"/>
    <w:rsid w:val="00BD7171"/>
    <w:rsid w:val="00BD72B9"/>
    <w:rsid w:val="00BD7308"/>
    <w:rsid w:val="00BD7A4B"/>
    <w:rsid w:val="00BD7E39"/>
    <w:rsid w:val="00BE0354"/>
    <w:rsid w:val="00BE0720"/>
    <w:rsid w:val="00BE0915"/>
    <w:rsid w:val="00BE0939"/>
    <w:rsid w:val="00BE0E38"/>
    <w:rsid w:val="00BE109E"/>
    <w:rsid w:val="00BE1296"/>
    <w:rsid w:val="00BE18E7"/>
    <w:rsid w:val="00BE1A6B"/>
    <w:rsid w:val="00BE1C04"/>
    <w:rsid w:val="00BE2082"/>
    <w:rsid w:val="00BE23E6"/>
    <w:rsid w:val="00BE2B6C"/>
    <w:rsid w:val="00BE2EE1"/>
    <w:rsid w:val="00BE35E1"/>
    <w:rsid w:val="00BE36A4"/>
    <w:rsid w:val="00BE3875"/>
    <w:rsid w:val="00BE3C9E"/>
    <w:rsid w:val="00BE3D16"/>
    <w:rsid w:val="00BE4777"/>
    <w:rsid w:val="00BE4F48"/>
    <w:rsid w:val="00BE53E0"/>
    <w:rsid w:val="00BE5460"/>
    <w:rsid w:val="00BE5B55"/>
    <w:rsid w:val="00BE5D3E"/>
    <w:rsid w:val="00BE603C"/>
    <w:rsid w:val="00BE6122"/>
    <w:rsid w:val="00BE62F3"/>
    <w:rsid w:val="00BE6FC5"/>
    <w:rsid w:val="00BE78BB"/>
    <w:rsid w:val="00BF00AA"/>
    <w:rsid w:val="00BF07C4"/>
    <w:rsid w:val="00BF0AC6"/>
    <w:rsid w:val="00BF0ADC"/>
    <w:rsid w:val="00BF0E18"/>
    <w:rsid w:val="00BF0E70"/>
    <w:rsid w:val="00BF0ECE"/>
    <w:rsid w:val="00BF0F06"/>
    <w:rsid w:val="00BF0F24"/>
    <w:rsid w:val="00BF1204"/>
    <w:rsid w:val="00BF135B"/>
    <w:rsid w:val="00BF1381"/>
    <w:rsid w:val="00BF15B6"/>
    <w:rsid w:val="00BF16A1"/>
    <w:rsid w:val="00BF19CA"/>
    <w:rsid w:val="00BF1D8D"/>
    <w:rsid w:val="00BF1F5E"/>
    <w:rsid w:val="00BF213E"/>
    <w:rsid w:val="00BF25C3"/>
    <w:rsid w:val="00BF28B7"/>
    <w:rsid w:val="00BF2DC1"/>
    <w:rsid w:val="00BF39A5"/>
    <w:rsid w:val="00BF3AD1"/>
    <w:rsid w:val="00BF3AEB"/>
    <w:rsid w:val="00BF3B1D"/>
    <w:rsid w:val="00BF3ECB"/>
    <w:rsid w:val="00BF3F53"/>
    <w:rsid w:val="00BF4371"/>
    <w:rsid w:val="00BF4583"/>
    <w:rsid w:val="00BF47BA"/>
    <w:rsid w:val="00BF4D52"/>
    <w:rsid w:val="00BF4F79"/>
    <w:rsid w:val="00BF5889"/>
    <w:rsid w:val="00BF5A57"/>
    <w:rsid w:val="00BF63C4"/>
    <w:rsid w:val="00BF6843"/>
    <w:rsid w:val="00BF72DB"/>
    <w:rsid w:val="00BF7413"/>
    <w:rsid w:val="00BF746F"/>
    <w:rsid w:val="00BF7641"/>
    <w:rsid w:val="00BF7762"/>
    <w:rsid w:val="00BF7DAA"/>
    <w:rsid w:val="00BF7E0D"/>
    <w:rsid w:val="00C00270"/>
    <w:rsid w:val="00C0033A"/>
    <w:rsid w:val="00C0042F"/>
    <w:rsid w:val="00C00DA4"/>
    <w:rsid w:val="00C00E1A"/>
    <w:rsid w:val="00C01131"/>
    <w:rsid w:val="00C013E0"/>
    <w:rsid w:val="00C015D6"/>
    <w:rsid w:val="00C01870"/>
    <w:rsid w:val="00C0193B"/>
    <w:rsid w:val="00C019E9"/>
    <w:rsid w:val="00C01A96"/>
    <w:rsid w:val="00C01ABD"/>
    <w:rsid w:val="00C01D4C"/>
    <w:rsid w:val="00C01E84"/>
    <w:rsid w:val="00C01FA3"/>
    <w:rsid w:val="00C02316"/>
    <w:rsid w:val="00C02516"/>
    <w:rsid w:val="00C02B1D"/>
    <w:rsid w:val="00C02D6A"/>
    <w:rsid w:val="00C02F9F"/>
    <w:rsid w:val="00C03018"/>
    <w:rsid w:val="00C038A4"/>
    <w:rsid w:val="00C04BC9"/>
    <w:rsid w:val="00C04C68"/>
    <w:rsid w:val="00C0548F"/>
    <w:rsid w:val="00C055DD"/>
    <w:rsid w:val="00C05AB9"/>
    <w:rsid w:val="00C05E33"/>
    <w:rsid w:val="00C06035"/>
    <w:rsid w:val="00C06996"/>
    <w:rsid w:val="00C06A38"/>
    <w:rsid w:val="00C06C84"/>
    <w:rsid w:val="00C06FDC"/>
    <w:rsid w:val="00C07195"/>
    <w:rsid w:val="00C073D8"/>
    <w:rsid w:val="00C073FC"/>
    <w:rsid w:val="00C07886"/>
    <w:rsid w:val="00C078B8"/>
    <w:rsid w:val="00C07B6F"/>
    <w:rsid w:val="00C07DED"/>
    <w:rsid w:val="00C10007"/>
    <w:rsid w:val="00C1011F"/>
    <w:rsid w:val="00C10675"/>
    <w:rsid w:val="00C11762"/>
    <w:rsid w:val="00C11843"/>
    <w:rsid w:val="00C11CBE"/>
    <w:rsid w:val="00C12234"/>
    <w:rsid w:val="00C12258"/>
    <w:rsid w:val="00C1237B"/>
    <w:rsid w:val="00C12406"/>
    <w:rsid w:val="00C12AB8"/>
    <w:rsid w:val="00C12B3E"/>
    <w:rsid w:val="00C12E82"/>
    <w:rsid w:val="00C13185"/>
    <w:rsid w:val="00C132A8"/>
    <w:rsid w:val="00C1336C"/>
    <w:rsid w:val="00C13518"/>
    <w:rsid w:val="00C135C2"/>
    <w:rsid w:val="00C1366E"/>
    <w:rsid w:val="00C1380C"/>
    <w:rsid w:val="00C13CD3"/>
    <w:rsid w:val="00C13D74"/>
    <w:rsid w:val="00C14167"/>
    <w:rsid w:val="00C141D3"/>
    <w:rsid w:val="00C1428B"/>
    <w:rsid w:val="00C145A4"/>
    <w:rsid w:val="00C14ADE"/>
    <w:rsid w:val="00C14DEA"/>
    <w:rsid w:val="00C1502D"/>
    <w:rsid w:val="00C1509F"/>
    <w:rsid w:val="00C15151"/>
    <w:rsid w:val="00C15256"/>
    <w:rsid w:val="00C159B9"/>
    <w:rsid w:val="00C15C52"/>
    <w:rsid w:val="00C15D0E"/>
    <w:rsid w:val="00C160C1"/>
    <w:rsid w:val="00C1613D"/>
    <w:rsid w:val="00C1615F"/>
    <w:rsid w:val="00C168A0"/>
    <w:rsid w:val="00C16A09"/>
    <w:rsid w:val="00C16ABF"/>
    <w:rsid w:val="00C16EDC"/>
    <w:rsid w:val="00C17366"/>
    <w:rsid w:val="00C1743D"/>
    <w:rsid w:val="00C17460"/>
    <w:rsid w:val="00C178E5"/>
    <w:rsid w:val="00C17FD9"/>
    <w:rsid w:val="00C20651"/>
    <w:rsid w:val="00C2065D"/>
    <w:rsid w:val="00C20830"/>
    <w:rsid w:val="00C208A6"/>
    <w:rsid w:val="00C20C4A"/>
    <w:rsid w:val="00C211B7"/>
    <w:rsid w:val="00C21E34"/>
    <w:rsid w:val="00C21F85"/>
    <w:rsid w:val="00C22281"/>
    <w:rsid w:val="00C223E8"/>
    <w:rsid w:val="00C2240C"/>
    <w:rsid w:val="00C224F2"/>
    <w:rsid w:val="00C227FD"/>
    <w:rsid w:val="00C22924"/>
    <w:rsid w:val="00C22A22"/>
    <w:rsid w:val="00C22A78"/>
    <w:rsid w:val="00C2313C"/>
    <w:rsid w:val="00C236DA"/>
    <w:rsid w:val="00C236DC"/>
    <w:rsid w:val="00C2376B"/>
    <w:rsid w:val="00C239D3"/>
    <w:rsid w:val="00C24542"/>
    <w:rsid w:val="00C24B6E"/>
    <w:rsid w:val="00C24C2D"/>
    <w:rsid w:val="00C25015"/>
    <w:rsid w:val="00C256F5"/>
    <w:rsid w:val="00C25F67"/>
    <w:rsid w:val="00C2696F"/>
    <w:rsid w:val="00C26F06"/>
    <w:rsid w:val="00C26F42"/>
    <w:rsid w:val="00C27400"/>
    <w:rsid w:val="00C276F7"/>
    <w:rsid w:val="00C27C41"/>
    <w:rsid w:val="00C27DC4"/>
    <w:rsid w:val="00C27F32"/>
    <w:rsid w:val="00C3026E"/>
    <w:rsid w:val="00C3032E"/>
    <w:rsid w:val="00C30ECB"/>
    <w:rsid w:val="00C30FC7"/>
    <w:rsid w:val="00C31A80"/>
    <w:rsid w:val="00C321D1"/>
    <w:rsid w:val="00C32557"/>
    <w:rsid w:val="00C32581"/>
    <w:rsid w:val="00C32926"/>
    <w:rsid w:val="00C3295D"/>
    <w:rsid w:val="00C32AFE"/>
    <w:rsid w:val="00C32B34"/>
    <w:rsid w:val="00C32DE4"/>
    <w:rsid w:val="00C32F1C"/>
    <w:rsid w:val="00C32FC7"/>
    <w:rsid w:val="00C330CC"/>
    <w:rsid w:val="00C33212"/>
    <w:rsid w:val="00C33486"/>
    <w:rsid w:val="00C3371B"/>
    <w:rsid w:val="00C33E03"/>
    <w:rsid w:val="00C33FF5"/>
    <w:rsid w:val="00C344D2"/>
    <w:rsid w:val="00C347F6"/>
    <w:rsid w:val="00C3480F"/>
    <w:rsid w:val="00C348C1"/>
    <w:rsid w:val="00C34B5D"/>
    <w:rsid w:val="00C34D00"/>
    <w:rsid w:val="00C3559F"/>
    <w:rsid w:val="00C35B66"/>
    <w:rsid w:val="00C35BBB"/>
    <w:rsid w:val="00C36078"/>
    <w:rsid w:val="00C36217"/>
    <w:rsid w:val="00C36688"/>
    <w:rsid w:val="00C366CE"/>
    <w:rsid w:val="00C3683D"/>
    <w:rsid w:val="00C36945"/>
    <w:rsid w:val="00C36A1F"/>
    <w:rsid w:val="00C36B96"/>
    <w:rsid w:val="00C36C33"/>
    <w:rsid w:val="00C374DF"/>
    <w:rsid w:val="00C37EB6"/>
    <w:rsid w:val="00C40A8F"/>
    <w:rsid w:val="00C40D3D"/>
    <w:rsid w:val="00C40F7D"/>
    <w:rsid w:val="00C40FCE"/>
    <w:rsid w:val="00C412C0"/>
    <w:rsid w:val="00C4187E"/>
    <w:rsid w:val="00C418D4"/>
    <w:rsid w:val="00C41938"/>
    <w:rsid w:val="00C41EC1"/>
    <w:rsid w:val="00C41F8F"/>
    <w:rsid w:val="00C42950"/>
    <w:rsid w:val="00C42FD9"/>
    <w:rsid w:val="00C43069"/>
    <w:rsid w:val="00C43189"/>
    <w:rsid w:val="00C431F3"/>
    <w:rsid w:val="00C43302"/>
    <w:rsid w:val="00C43788"/>
    <w:rsid w:val="00C43AF5"/>
    <w:rsid w:val="00C44417"/>
    <w:rsid w:val="00C444CE"/>
    <w:rsid w:val="00C4468B"/>
    <w:rsid w:val="00C44809"/>
    <w:rsid w:val="00C448F7"/>
    <w:rsid w:val="00C44DE2"/>
    <w:rsid w:val="00C44F82"/>
    <w:rsid w:val="00C45037"/>
    <w:rsid w:val="00C45462"/>
    <w:rsid w:val="00C456EC"/>
    <w:rsid w:val="00C45D6A"/>
    <w:rsid w:val="00C45E2C"/>
    <w:rsid w:val="00C46977"/>
    <w:rsid w:val="00C46A56"/>
    <w:rsid w:val="00C46E33"/>
    <w:rsid w:val="00C47A40"/>
    <w:rsid w:val="00C47A63"/>
    <w:rsid w:val="00C47C30"/>
    <w:rsid w:val="00C500D3"/>
    <w:rsid w:val="00C50502"/>
    <w:rsid w:val="00C50F75"/>
    <w:rsid w:val="00C51276"/>
    <w:rsid w:val="00C5147F"/>
    <w:rsid w:val="00C518F1"/>
    <w:rsid w:val="00C519B1"/>
    <w:rsid w:val="00C51E52"/>
    <w:rsid w:val="00C52136"/>
    <w:rsid w:val="00C522A3"/>
    <w:rsid w:val="00C52A95"/>
    <w:rsid w:val="00C531BD"/>
    <w:rsid w:val="00C5380F"/>
    <w:rsid w:val="00C5383A"/>
    <w:rsid w:val="00C53A0F"/>
    <w:rsid w:val="00C53CBC"/>
    <w:rsid w:val="00C5407B"/>
    <w:rsid w:val="00C54170"/>
    <w:rsid w:val="00C54178"/>
    <w:rsid w:val="00C541A4"/>
    <w:rsid w:val="00C5492A"/>
    <w:rsid w:val="00C54B7F"/>
    <w:rsid w:val="00C54D57"/>
    <w:rsid w:val="00C54DC1"/>
    <w:rsid w:val="00C5545E"/>
    <w:rsid w:val="00C55843"/>
    <w:rsid w:val="00C55852"/>
    <w:rsid w:val="00C55968"/>
    <w:rsid w:val="00C559B9"/>
    <w:rsid w:val="00C55A47"/>
    <w:rsid w:val="00C55B18"/>
    <w:rsid w:val="00C55DC3"/>
    <w:rsid w:val="00C55DED"/>
    <w:rsid w:val="00C5619B"/>
    <w:rsid w:val="00C5619F"/>
    <w:rsid w:val="00C5636A"/>
    <w:rsid w:val="00C563FD"/>
    <w:rsid w:val="00C56A39"/>
    <w:rsid w:val="00C57385"/>
    <w:rsid w:val="00C57A10"/>
    <w:rsid w:val="00C57C3F"/>
    <w:rsid w:val="00C57D42"/>
    <w:rsid w:val="00C60182"/>
    <w:rsid w:val="00C604EF"/>
    <w:rsid w:val="00C60642"/>
    <w:rsid w:val="00C606FC"/>
    <w:rsid w:val="00C60D6F"/>
    <w:rsid w:val="00C6109A"/>
    <w:rsid w:val="00C615DD"/>
    <w:rsid w:val="00C61812"/>
    <w:rsid w:val="00C61950"/>
    <w:rsid w:val="00C61B89"/>
    <w:rsid w:val="00C6262B"/>
    <w:rsid w:val="00C626C8"/>
    <w:rsid w:val="00C62923"/>
    <w:rsid w:val="00C62931"/>
    <w:rsid w:val="00C62A5B"/>
    <w:rsid w:val="00C62A8B"/>
    <w:rsid w:val="00C62AF8"/>
    <w:rsid w:val="00C62DE4"/>
    <w:rsid w:val="00C62F5E"/>
    <w:rsid w:val="00C62F7F"/>
    <w:rsid w:val="00C631E0"/>
    <w:rsid w:val="00C6354A"/>
    <w:rsid w:val="00C6369D"/>
    <w:rsid w:val="00C63CC1"/>
    <w:rsid w:val="00C63CC6"/>
    <w:rsid w:val="00C63EDA"/>
    <w:rsid w:val="00C64099"/>
    <w:rsid w:val="00C64191"/>
    <w:rsid w:val="00C6480E"/>
    <w:rsid w:val="00C64B88"/>
    <w:rsid w:val="00C64CD5"/>
    <w:rsid w:val="00C64E95"/>
    <w:rsid w:val="00C655DF"/>
    <w:rsid w:val="00C6563A"/>
    <w:rsid w:val="00C65829"/>
    <w:rsid w:val="00C65841"/>
    <w:rsid w:val="00C65903"/>
    <w:rsid w:val="00C65928"/>
    <w:rsid w:val="00C65DE7"/>
    <w:rsid w:val="00C6665D"/>
    <w:rsid w:val="00C66760"/>
    <w:rsid w:val="00C66F37"/>
    <w:rsid w:val="00C670E4"/>
    <w:rsid w:val="00C67563"/>
    <w:rsid w:val="00C677A9"/>
    <w:rsid w:val="00C678D8"/>
    <w:rsid w:val="00C67A76"/>
    <w:rsid w:val="00C67E56"/>
    <w:rsid w:val="00C702F7"/>
    <w:rsid w:val="00C70803"/>
    <w:rsid w:val="00C70F68"/>
    <w:rsid w:val="00C7108C"/>
    <w:rsid w:val="00C710DC"/>
    <w:rsid w:val="00C717B1"/>
    <w:rsid w:val="00C71F65"/>
    <w:rsid w:val="00C72282"/>
    <w:rsid w:val="00C72BFA"/>
    <w:rsid w:val="00C72CBD"/>
    <w:rsid w:val="00C72F30"/>
    <w:rsid w:val="00C736DF"/>
    <w:rsid w:val="00C738BE"/>
    <w:rsid w:val="00C73A0A"/>
    <w:rsid w:val="00C73B2C"/>
    <w:rsid w:val="00C73BD9"/>
    <w:rsid w:val="00C73C53"/>
    <w:rsid w:val="00C7410B"/>
    <w:rsid w:val="00C743D1"/>
    <w:rsid w:val="00C7476B"/>
    <w:rsid w:val="00C7499B"/>
    <w:rsid w:val="00C74C87"/>
    <w:rsid w:val="00C74DAD"/>
    <w:rsid w:val="00C74DE1"/>
    <w:rsid w:val="00C74EB4"/>
    <w:rsid w:val="00C752D7"/>
    <w:rsid w:val="00C75B6B"/>
    <w:rsid w:val="00C75DF3"/>
    <w:rsid w:val="00C75E8F"/>
    <w:rsid w:val="00C76554"/>
    <w:rsid w:val="00C76840"/>
    <w:rsid w:val="00C76A18"/>
    <w:rsid w:val="00C76A79"/>
    <w:rsid w:val="00C76BD3"/>
    <w:rsid w:val="00C76CE3"/>
    <w:rsid w:val="00C76CF4"/>
    <w:rsid w:val="00C77019"/>
    <w:rsid w:val="00C7701A"/>
    <w:rsid w:val="00C77024"/>
    <w:rsid w:val="00C776A9"/>
    <w:rsid w:val="00C77A71"/>
    <w:rsid w:val="00C77AFD"/>
    <w:rsid w:val="00C77C58"/>
    <w:rsid w:val="00C77D22"/>
    <w:rsid w:val="00C801B8"/>
    <w:rsid w:val="00C8022B"/>
    <w:rsid w:val="00C80400"/>
    <w:rsid w:val="00C804A9"/>
    <w:rsid w:val="00C8068F"/>
    <w:rsid w:val="00C809B6"/>
    <w:rsid w:val="00C80CD5"/>
    <w:rsid w:val="00C80D6B"/>
    <w:rsid w:val="00C810AC"/>
    <w:rsid w:val="00C811CF"/>
    <w:rsid w:val="00C813B3"/>
    <w:rsid w:val="00C815A0"/>
    <w:rsid w:val="00C81CBF"/>
    <w:rsid w:val="00C81E57"/>
    <w:rsid w:val="00C82560"/>
    <w:rsid w:val="00C8257A"/>
    <w:rsid w:val="00C82E25"/>
    <w:rsid w:val="00C83A06"/>
    <w:rsid w:val="00C83B48"/>
    <w:rsid w:val="00C83DA6"/>
    <w:rsid w:val="00C8451D"/>
    <w:rsid w:val="00C84854"/>
    <w:rsid w:val="00C84961"/>
    <w:rsid w:val="00C84B25"/>
    <w:rsid w:val="00C851EB"/>
    <w:rsid w:val="00C853F3"/>
    <w:rsid w:val="00C85801"/>
    <w:rsid w:val="00C85B71"/>
    <w:rsid w:val="00C85DEA"/>
    <w:rsid w:val="00C860E3"/>
    <w:rsid w:val="00C869AC"/>
    <w:rsid w:val="00C86AC0"/>
    <w:rsid w:val="00C87209"/>
    <w:rsid w:val="00C874B9"/>
    <w:rsid w:val="00C87B38"/>
    <w:rsid w:val="00C87C0A"/>
    <w:rsid w:val="00C87C8D"/>
    <w:rsid w:val="00C87C90"/>
    <w:rsid w:val="00C87C94"/>
    <w:rsid w:val="00C90089"/>
    <w:rsid w:val="00C9043D"/>
    <w:rsid w:val="00C9078D"/>
    <w:rsid w:val="00C908BC"/>
    <w:rsid w:val="00C9098B"/>
    <w:rsid w:val="00C90FA7"/>
    <w:rsid w:val="00C91011"/>
    <w:rsid w:val="00C91065"/>
    <w:rsid w:val="00C910D7"/>
    <w:rsid w:val="00C91159"/>
    <w:rsid w:val="00C91166"/>
    <w:rsid w:val="00C91574"/>
    <w:rsid w:val="00C91A0A"/>
    <w:rsid w:val="00C91C74"/>
    <w:rsid w:val="00C921FB"/>
    <w:rsid w:val="00C92286"/>
    <w:rsid w:val="00C924E2"/>
    <w:rsid w:val="00C926CF"/>
    <w:rsid w:val="00C92927"/>
    <w:rsid w:val="00C92C80"/>
    <w:rsid w:val="00C9323B"/>
    <w:rsid w:val="00C932E5"/>
    <w:rsid w:val="00C93AA8"/>
    <w:rsid w:val="00C93D99"/>
    <w:rsid w:val="00C93FF2"/>
    <w:rsid w:val="00C94393"/>
    <w:rsid w:val="00C9511E"/>
    <w:rsid w:val="00C951EF"/>
    <w:rsid w:val="00C95412"/>
    <w:rsid w:val="00C95CFD"/>
    <w:rsid w:val="00C95D2D"/>
    <w:rsid w:val="00C960AF"/>
    <w:rsid w:val="00C961AD"/>
    <w:rsid w:val="00C96F38"/>
    <w:rsid w:val="00C96F3B"/>
    <w:rsid w:val="00C971A7"/>
    <w:rsid w:val="00C973CB"/>
    <w:rsid w:val="00C9742C"/>
    <w:rsid w:val="00C9790D"/>
    <w:rsid w:val="00C97A9F"/>
    <w:rsid w:val="00C97EDB"/>
    <w:rsid w:val="00CA00AD"/>
    <w:rsid w:val="00CA010B"/>
    <w:rsid w:val="00CA0A7B"/>
    <w:rsid w:val="00CA0BFE"/>
    <w:rsid w:val="00CA0E94"/>
    <w:rsid w:val="00CA0F53"/>
    <w:rsid w:val="00CA126A"/>
    <w:rsid w:val="00CA1508"/>
    <w:rsid w:val="00CA155A"/>
    <w:rsid w:val="00CA1822"/>
    <w:rsid w:val="00CA1EAA"/>
    <w:rsid w:val="00CA22EC"/>
    <w:rsid w:val="00CA2483"/>
    <w:rsid w:val="00CA26EA"/>
    <w:rsid w:val="00CA270E"/>
    <w:rsid w:val="00CA27C2"/>
    <w:rsid w:val="00CA2838"/>
    <w:rsid w:val="00CA3314"/>
    <w:rsid w:val="00CA3460"/>
    <w:rsid w:val="00CA36EB"/>
    <w:rsid w:val="00CA3975"/>
    <w:rsid w:val="00CA39B0"/>
    <w:rsid w:val="00CA3D1E"/>
    <w:rsid w:val="00CA3DF7"/>
    <w:rsid w:val="00CA4150"/>
    <w:rsid w:val="00CA44DE"/>
    <w:rsid w:val="00CA47FA"/>
    <w:rsid w:val="00CA49F2"/>
    <w:rsid w:val="00CA4CA4"/>
    <w:rsid w:val="00CA4D98"/>
    <w:rsid w:val="00CA4DB6"/>
    <w:rsid w:val="00CA5293"/>
    <w:rsid w:val="00CA5600"/>
    <w:rsid w:val="00CA5D79"/>
    <w:rsid w:val="00CA63E7"/>
    <w:rsid w:val="00CA65EF"/>
    <w:rsid w:val="00CA6607"/>
    <w:rsid w:val="00CA66DC"/>
    <w:rsid w:val="00CA71A2"/>
    <w:rsid w:val="00CA7201"/>
    <w:rsid w:val="00CA7588"/>
    <w:rsid w:val="00CB0257"/>
    <w:rsid w:val="00CB0801"/>
    <w:rsid w:val="00CB11B8"/>
    <w:rsid w:val="00CB1365"/>
    <w:rsid w:val="00CB18B2"/>
    <w:rsid w:val="00CB22B2"/>
    <w:rsid w:val="00CB2675"/>
    <w:rsid w:val="00CB306A"/>
    <w:rsid w:val="00CB312D"/>
    <w:rsid w:val="00CB3384"/>
    <w:rsid w:val="00CB3D21"/>
    <w:rsid w:val="00CB3D78"/>
    <w:rsid w:val="00CB4214"/>
    <w:rsid w:val="00CB45A0"/>
    <w:rsid w:val="00CB45B5"/>
    <w:rsid w:val="00CB4600"/>
    <w:rsid w:val="00CB471C"/>
    <w:rsid w:val="00CB47A7"/>
    <w:rsid w:val="00CB4B91"/>
    <w:rsid w:val="00CB4EA2"/>
    <w:rsid w:val="00CB518F"/>
    <w:rsid w:val="00CB532D"/>
    <w:rsid w:val="00CB5805"/>
    <w:rsid w:val="00CB5ED1"/>
    <w:rsid w:val="00CB615F"/>
    <w:rsid w:val="00CB61B1"/>
    <w:rsid w:val="00CB6279"/>
    <w:rsid w:val="00CB62F3"/>
    <w:rsid w:val="00CB65C4"/>
    <w:rsid w:val="00CB6F13"/>
    <w:rsid w:val="00CB6FF9"/>
    <w:rsid w:val="00CB704F"/>
    <w:rsid w:val="00CB7261"/>
    <w:rsid w:val="00CB764B"/>
    <w:rsid w:val="00CB774C"/>
    <w:rsid w:val="00CB7A8E"/>
    <w:rsid w:val="00CC03D0"/>
    <w:rsid w:val="00CC05A5"/>
    <w:rsid w:val="00CC09BE"/>
    <w:rsid w:val="00CC0B66"/>
    <w:rsid w:val="00CC0B9E"/>
    <w:rsid w:val="00CC14C1"/>
    <w:rsid w:val="00CC14E6"/>
    <w:rsid w:val="00CC1866"/>
    <w:rsid w:val="00CC1B7D"/>
    <w:rsid w:val="00CC1CA3"/>
    <w:rsid w:val="00CC1EC1"/>
    <w:rsid w:val="00CC20C5"/>
    <w:rsid w:val="00CC2578"/>
    <w:rsid w:val="00CC2649"/>
    <w:rsid w:val="00CC2A6F"/>
    <w:rsid w:val="00CC2D5B"/>
    <w:rsid w:val="00CC2DD5"/>
    <w:rsid w:val="00CC31E1"/>
    <w:rsid w:val="00CC3366"/>
    <w:rsid w:val="00CC35FA"/>
    <w:rsid w:val="00CC3D29"/>
    <w:rsid w:val="00CC4110"/>
    <w:rsid w:val="00CC46B5"/>
    <w:rsid w:val="00CC471F"/>
    <w:rsid w:val="00CC48A4"/>
    <w:rsid w:val="00CC49C4"/>
    <w:rsid w:val="00CC49E2"/>
    <w:rsid w:val="00CC4F1B"/>
    <w:rsid w:val="00CC50AF"/>
    <w:rsid w:val="00CC58AF"/>
    <w:rsid w:val="00CC5B91"/>
    <w:rsid w:val="00CC5D0F"/>
    <w:rsid w:val="00CC5DAA"/>
    <w:rsid w:val="00CC6058"/>
    <w:rsid w:val="00CC6105"/>
    <w:rsid w:val="00CC6239"/>
    <w:rsid w:val="00CC6D9A"/>
    <w:rsid w:val="00CC7186"/>
    <w:rsid w:val="00CC7229"/>
    <w:rsid w:val="00CC75D0"/>
    <w:rsid w:val="00CC78C2"/>
    <w:rsid w:val="00CD0950"/>
    <w:rsid w:val="00CD0B3F"/>
    <w:rsid w:val="00CD0D7C"/>
    <w:rsid w:val="00CD10D7"/>
    <w:rsid w:val="00CD1421"/>
    <w:rsid w:val="00CD149F"/>
    <w:rsid w:val="00CD14C5"/>
    <w:rsid w:val="00CD18BE"/>
    <w:rsid w:val="00CD1929"/>
    <w:rsid w:val="00CD1DDF"/>
    <w:rsid w:val="00CD1F61"/>
    <w:rsid w:val="00CD203A"/>
    <w:rsid w:val="00CD2321"/>
    <w:rsid w:val="00CD2669"/>
    <w:rsid w:val="00CD2D83"/>
    <w:rsid w:val="00CD2E5D"/>
    <w:rsid w:val="00CD2F3E"/>
    <w:rsid w:val="00CD3027"/>
    <w:rsid w:val="00CD336D"/>
    <w:rsid w:val="00CD3656"/>
    <w:rsid w:val="00CD3790"/>
    <w:rsid w:val="00CD3909"/>
    <w:rsid w:val="00CD3B15"/>
    <w:rsid w:val="00CD3C03"/>
    <w:rsid w:val="00CD3C1F"/>
    <w:rsid w:val="00CD42B8"/>
    <w:rsid w:val="00CD4BB8"/>
    <w:rsid w:val="00CD4D7D"/>
    <w:rsid w:val="00CD4E3F"/>
    <w:rsid w:val="00CD58BE"/>
    <w:rsid w:val="00CD5C3B"/>
    <w:rsid w:val="00CD604F"/>
    <w:rsid w:val="00CD6268"/>
    <w:rsid w:val="00CD6FCB"/>
    <w:rsid w:val="00CD714D"/>
    <w:rsid w:val="00CD78D8"/>
    <w:rsid w:val="00CD7D9E"/>
    <w:rsid w:val="00CD7EBC"/>
    <w:rsid w:val="00CE0196"/>
    <w:rsid w:val="00CE0475"/>
    <w:rsid w:val="00CE05ED"/>
    <w:rsid w:val="00CE0A72"/>
    <w:rsid w:val="00CE0D7D"/>
    <w:rsid w:val="00CE1061"/>
    <w:rsid w:val="00CE10CF"/>
    <w:rsid w:val="00CE1560"/>
    <w:rsid w:val="00CE171A"/>
    <w:rsid w:val="00CE1ED0"/>
    <w:rsid w:val="00CE2B6B"/>
    <w:rsid w:val="00CE2B96"/>
    <w:rsid w:val="00CE2FF4"/>
    <w:rsid w:val="00CE31B5"/>
    <w:rsid w:val="00CE3450"/>
    <w:rsid w:val="00CE34A3"/>
    <w:rsid w:val="00CE3E1B"/>
    <w:rsid w:val="00CE3FA5"/>
    <w:rsid w:val="00CE4AF4"/>
    <w:rsid w:val="00CE4C3F"/>
    <w:rsid w:val="00CE4E36"/>
    <w:rsid w:val="00CE5322"/>
    <w:rsid w:val="00CE5832"/>
    <w:rsid w:val="00CE5BD2"/>
    <w:rsid w:val="00CE5E28"/>
    <w:rsid w:val="00CE5F29"/>
    <w:rsid w:val="00CE6172"/>
    <w:rsid w:val="00CE61C0"/>
    <w:rsid w:val="00CE6E55"/>
    <w:rsid w:val="00CE70AF"/>
    <w:rsid w:val="00CE7478"/>
    <w:rsid w:val="00CE7742"/>
    <w:rsid w:val="00CE7900"/>
    <w:rsid w:val="00CE7C2B"/>
    <w:rsid w:val="00CE7C56"/>
    <w:rsid w:val="00CF0E95"/>
    <w:rsid w:val="00CF0FC4"/>
    <w:rsid w:val="00CF13C8"/>
    <w:rsid w:val="00CF1F43"/>
    <w:rsid w:val="00CF2E6D"/>
    <w:rsid w:val="00CF2EB6"/>
    <w:rsid w:val="00CF3479"/>
    <w:rsid w:val="00CF3536"/>
    <w:rsid w:val="00CF3537"/>
    <w:rsid w:val="00CF3B61"/>
    <w:rsid w:val="00CF4F8D"/>
    <w:rsid w:val="00CF590A"/>
    <w:rsid w:val="00CF59B5"/>
    <w:rsid w:val="00CF5C09"/>
    <w:rsid w:val="00CF5D7C"/>
    <w:rsid w:val="00CF6501"/>
    <w:rsid w:val="00CF6860"/>
    <w:rsid w:val="00CF6C12"/>
    <w:rsid w:val="00CF6E47"/>
    <w:rsid w:val="00CF7030"/>
    <w:rsid w:val="00CF7188"/>
    <w:rsid w:val="00CF72CE"/>
    <w:rsid w:val="00CF779D"/>
    <w:rsid w:val="00CF77FC"/>
    <w:rsid w:val="00CF7877"/>
    <w:rsid w:val="00CF7C20"/>
    <w:rsid w:val="00CF7F25"/>
    <w:rsid w:val="00D00329"/>
    <w:rsid w:val="00D00A83"/>
    <w:rsid w:val="00D00E8E"/>
    <w:rsid w:val="00D0154A"/>
    <w:rsid w:val="00D016C9"/>
    <w:rsid w:val="00D01B09"/>
    <w:rsid w:val="00D01EB2"/>
    <w:rsid w:val="00D0246B"/>
    <w:rsid w:val="00D02481"/>
    <w:rsid w:val="00D02715"/>
    <w:rsid w:val="00D02AEF"/>
    <w:rsid w:val="00D02B7A"/>
    <w:rsid w:val="00D033C1"/>
    <w:rsid w:val="00D03538"/>
    <w:rsid w:val="00D03CCE"/>
    <w:rsid w:val="00D03FF8"/>
    <w:rsid w:val="00D04066"/>
    <w:rsid w:val="00D04363"/>
    <w:rsid w:val="00D04510"/>
    <w:rsid w:val="00D045EA"/>
    <w:rsid w:val="00D04AD5"/>
    <w:rsid w:val="00D04E93"/>
    <w:rsid w:val="00D05212"/>
    <w:rsid w:val="00D05973"/>
    <w:rsid w:val="00D062E0"/>
    <w:rsid w:val="00D063EA"/>
    <w:rsid w:val="00D06530"/>
    <w:rsid w:val="00D06A11"/>
    <w:rsid w:val="00D06BCF"/>
    <w:rsid w:val="00D06E9C"/>
    <w:rsid w:val="00D07719"/>
    <w:rsid w:val="00D0778D"/>
    <w:rsid w:val="00D07852"/>
    <w:rsid w:val="00D07968"/>
    <w:rsid w:val="00D07DB5"/>
    <w:rsid w:val="00D07DBF"/>
    <w:rsid w:val="00D105CD"/>
    <w:rsid w:val="00D10711"/>
    <w:rsid w:val="00D10836"/>
    <w:rsid w:val="00D10B58"/>
    <w:rsid w:val="00D10BEC"/>
    <w:rsid w:val="00D10C71"/>
    <w:rsid w:val="00D10E57"/>
    <w:rsid w:val="00D10F79"/>
    <w:rsid w:val="00D10FA8"/>
    <w:rsid w:val="00D112DE"/>
    <w:rsid w:val="00D11493"/>
    <w:rsid w:val="00D1155A"/>
    <w:rsid w:val="00D1161B"/>
    <w:rsid w:val="00D11918"/>
    <w:rsid w:val="00D11AA7"/>
    <w:rsid w:val="00D11B67"/>
    <w:rsid w:val="00D11DB5"/>
    <w:rsid w:val="00D11EC4"/>
    <w:rsid w:val="00D123E7"/>
    <w:rsid w:val="00D12513"/>
    <w:rsid w:val="00D12581"/>
    <w:rsid w:val="00D12A1E"/>
    <w:rsid w:val="00D12D0D"/>
    <w:rsid w:val="00D13416"/>
    <w:rsid w:val="00D13E55"/>
    <w:rsid w:val="00D13F72"/>
    <w:rsid w:val="00D1405B"/>
    <w:rsid w:val="00D14565"/>
    <w:rsid w:val="00D14BE6"/>
    <w:rsid w:val="00D15DF1"/>
    <w:rsid w:val="00D15F13"/>
    <w:rsid w:val="00D16258"/>
    <w:rsid w:val="00D1625C"/>
    <w:rsid w:val="00D162EF"/>
    <w:rsid w:val="00D16376"/>
    <w:rsid w:val="00D166ED"/>
    <w:rsid w:val="00D16861"/>
    <w:rsid w:val="00D16BC9"/>
    <w:rsid w:val="00D16BFF"/>
    <w:rsid w:val="00D16C09"/>
    <w:rsid w:val="00D1719C"/>
    <w:rsid w:val="00D17961"/>
    <w:rsid w:val="00D17AD7"/>
    <w:rsid w:val="00D200D7"/>
    <w:rsid w:val="00D20257"/>
    <w:rsid w:val="00D2077D"/>
    <w:rsid w:val="00D20B5D"/>
    <w:rsid w:val="00D2106E"/>
    <w:rsid w:val="00D21131"/>
    <w:rsid w:val="00D2122E"/>
    <w:rsid w:val="00D212C1"/>
    <w:rsid w:val="00D213F6"/>
    <w:rsid w:val="00D21433"/>
    <w:rsid w:val="00D219A4"/>
    <w:rsid w:val="00D21E93"/>
    <w:rsid w:val="00D220CB"/>
    <w:rsid w:val="00D221E4"/>
    <w:rsid w:val="00D227C7"/>
    <w:rsid w:val="00D227FD"/>
    <w:rsid w:val="00D22F34"/>
    <w:rsid w:val="00D23196"/>
    <w:rsid w:val="00D23549"/>
    <w:rsid w:val="00D23673"/>
    <w:rsid w:val="00D23A2F"/>
    <w:rsid w:val="00D23ED4"/>
    <w:rsid w:val="00D23FEC"/>
    <w:rsid w:val="00D247EC"/>
    <w:rsid w:val="00D2488B"/>
    <w:rsid w:val="00D24E51"/>
    <w:rsid w:val="00D25102"/>
    <w:rsid w:val="00D25921"/>
    <w:rsid w:val="00D259A6"/>
    <w:rsid w:val="00D25B88"/>
    <w:rsid w:val="00D2607B"/>
    <w:rsid w:val="00D2665A"/>
    <w:rsid w:val="00D269E2"/>
    <w:rsid w:val="00D26C33"/>
    <w:rsid w:val="00D26EBC"/>
    <w:rsid w:val="00D26F0E"/>
    <w:rsid w:val="00D27175"/>
    <w:rsid w:val="00D274DB"/>
    <w:rsid w:val="00D27799"/>
    <w:rsid w:val="00D308E7"/>
    <w:rsid w:val="00D30B2A"/>
    <w:rsid w:val="00D318D7"/>
    <w:rsid w:val="00D31956"/>
    <w:rsid w:val="00D31EB9"/>
    <w:rsid w:val="00D3212C"/>
    <w:rsid w:val="00D323D8"/>
    <w:rsid w:val="00D32DC6"/>
    <w:rsid w:val="00D330C9"/>
    <w:rsid w:val="00D3386A"/>
    <w:rsid w:val="00D339CE"/>
    <w:rsid w:val="00D33CC1"/>
    <w:rsid w:val="00D34057"/>
    <w:rsid w:val="00D34510"/>
    <w:rsid w:val="00D3505B"/>
    <w:rsid w:val="00D35DA1"/>
    <w:rsid w:val="00D368E2"/>
    <w:rsid w:val="00D36A60"/>
    <w:rsid w:val="00D36A7D"/>
    <w:rsid w:val="00D36CE2"/>
    <w:rsid w:val="00D36CEC"/>
    <w:rsid w:val="00D36DA9"/>
    <w:rsid w:val="00D36DBA"/>
    <w:rsid w:val="00D375F9"/>
    <w:rsid w:val="00D405D9"/>
    <w:rsid w:val="00D4093A"/>
    <w:rsid w:val="00D40AEA"/>
    <w:rsid w:val="00D40DDC"/>
    <w:rsid w:val="00D41682"/>
    <w:rsid w:val="00D41A39"/>
    <w:rsid w:val="00D41C0E"/>
    <w:rsid w:val="00D41D6D"/>
    <w:rsid w:val="00D421DC"/>
    <w:rsid w:val="00D42C1F"/>
    <w:rsid w:val="00D438E2"/>
    <w:rsid w:val="00D43D18"/>
    <w:rsid w:val="00D44079"/>
    <w:rsid w:val="00D44300"/>
    <w:rsid w:val="00D44446"/>
    <w:rsid w:val="00D44882"/>
    <w:rsid w:val="00D44D39"/>
    <w:rsid w:val="00D44DD4"/>
    <w:rsid w:val="00D44F32"/>
    <w:rsid w:val="00D44FE0"/>
    <w:rsid w:val="00D45634"/>
    <w:rsid w:val="00D457B4"/>
    <w:rsid w:val="00D45931"/>
    <w:rsid w:val="00D45ABD"/>
    <w:rsid w:val="00D46857"/>
    <w:rsid w:val="00D46954"/>
    <w:rsid w:val="00D46A71"/>
    <w:rsid w:val="00D475C0"/>
    <w:rsid w:val="00D4764B"/>
    <w:rsid w:val="00D47755"/>
    <w:rsid w:val="00D478D8"/>
    <w:rsid w:val="00D47B99"/>
    <w:rsid w:val="00D508FB"/>
    <w:rsid w:val="00D50EC0"/>
    <w:rsid w:val="00D5154E"/>
    <w:rsid w:val="00D51758"/>
    <w:rsid w:val="00D517DD"/>
    <w:rsid w:val="00D51BD9"/>
    <w:rsid w:val="00D51E77"/>
    <w:rsid w:val="00D521C5"/>
    <w:rsid w:val="00D524D5"/>
    <w:rsid w:val="00D52A4D"/>
    <w:rsid w:val="00D52F05"/>
    <w:rsid w:val="00D53D90"/>
    <w:rsid w:val="00D5425D"/>
    <w:rsid w:val="00D543D7"/>
    <w:rsid w:val="00D54B29"/>
    <w:rsid w:val="00D54E26"/>
    <w:rsid w:val="00D55130"/>
    <w:rsid w:val="00D553B1"/>
    <w:rsid w:val="00D55D45"/>
    <w:rsid w:val="00D55DF7"/>
    <w:rsid w:val="00D55FCA"/>
    <w:rsid w:val="00D562E7"/>
    <w:rsid w:val="00D563CC"/>
    <w:rsid w:val="00D56524"/>
    <w:rsid w:val="00D56DE7"/>
    <w:rsid w:val="00D570A3"/>
    <w:rsid w:val="00D5736C"/>
    <w:rsid w:val="00D57759"/>
    <w:rsid w:val="00D578E0"/>
    <w:rsid w:val="00D6017D"/>
    <w:rsid w:val="00D607A4"/>
    <w:rsid w:val="00D611E8"/>
    <w:rsid w:val="00D61BEB"/>
    <w:rsid w:val="00D61E8A"/>
    <w:rsid w:val="00D62A44"/>
    <w:rsid w:val="00D62AFE"/>
    <w:rsid w:val="00D62CA6"/>
    <w:rsid w:val="00D62ECB"/>
    <w:rsid w:val="00D62F3D"/>
    <w:rsid w:val="00D635B1"/>
    <w:rsid w:val="00D637A5"/>
    <w:rsid w:val="00D63EE5"/>
    <w:rsid w:val="00D64032"/>
    <w:rsid w:val="00D643B8"/>
    <w:rsid w:val="00D64457"/>
    <w:rsid w:val="00D6451F"/>
    <w:rsid w:val="00D64C8B"/>
    <w:rsid w:val="00D64D3B"/>
    <w:rsid w:val="00D64FA5"/>
    <w:rsid w:val="00D65004"/>
    <w:rsid w:val="00D6508D"/>
    <w:rsid w:val="00D65738"/>
    <w:rsid w:val="00D659FF"/>
    <w:rsid w:val="00D65A5B"/>
    <w:rsid w:val="00D65AB7"/>
    <w:rsid w:val="00D65B93"/>
    <w:rsid w:val="00D66125"/>
    <w:rsid w:val="00D66130"/>
    <w:rsid w:val="00D663B0"/>
    <w:rsid w:val="00D6677E"/>
    <w:rsid w:val="00D6694B"/>
    <w:rsid w:val="00D66ABE"/>
    <w:rsid w:val="00D676AF"/>
    <w:rsid w:val="00D676E6"/>
    <w:rsid w:val="00D67983"/>
    <w:rsid w:val="00D67CB2"/>
    <w:rsid w:val="00D7018E"/>
    <w:rsid w:val="00D7064B"/>
    <w:rsid w:val="00D70983"/>
    <w:rsid w:val="00D70B7E"/>
    <w:rsid w:val="00D70C3A"/>
    <w:rsid w:val="00D70F23"/>
    <w:rsid w:val="00D711E7"/>
    <w:rsid w:val="00D7172A"/>
    <w:rsid w:val="00D7182F"/>
    <w:rsid w:val="00D7190D"/>
    <w:rsid w:val="00D71F4F"/>
    <w:rsid w:val="00D72010"/>
    <w:rsid w:val="00D7214A"/>
    <w:rsid w:val="00D725E3"/>
    <w:rsid w:val="00D72A7E"/>
    <w:rsid w:val="00D72F35"/>
    <w:rsid w:val="00D73108"/>
    <w:rsid w:val="00D73375"/>
    <w:rsid w:val="00D7375F"/>
    <w:rsid w:val="00D737F4"/>
    <w:rsid w:val="00D737F9"/>
    <w:rsid w:val="00D73C14"/>
    <w:rsid w:val="00D74707"/>
    <w:rsid w:val="00D75602"/>
    <w:rsid w:val="00D756A4"/>
    <w:rsid w:val="00D75787"/>
    <w:rsid w:val="00D7606F"/>
    <w:rsid w:val="00D7634A"/>
    <w:rsid w:val="00D767F6"/>
    <w:rsid w:val="00D76897"/>
    <w:rsid w:val="00D7696A"/>
    <w:rsid w:val="00D77443"/>
    <w:rsid w:val="00D774C3"/>
    <w:rsid w:val="00D7763A"/>
    <w:rsid w:val="00D777D3"/>
    <w:rsid w:val="00D77A59"/>
    <w:rsid w:val="00D77A96"/>
    <w:rsid w:val="00D77DDD"/>
    <w:rsid w:val="00D77E4B"/>
    <w:rsid w:val="00D80011"/>
    <w:rsid w:val="00D81086"/>
    <w:rsid w:val="00D8176D"/>
    <w:rsid w:val="00D81770"/>
    <w:rsid w:val="00D81E6E"/>
    <w:rsid w:val="00D8206F"/>
    <w:rsid w:val="00D82CE3"/>
    <w:rsid w:val="00D82D58"/>
    <w:rsid w:val="00D82EDA"/>
    <w:rsid w:val="00D83289"/>
    <w:rsid w:val="00D83407"/>
    <w:rsid w:val="00D83619"/>
    <w:rsid w:val="00D83A6A"/>
    <w:rsid w:val="00D83B3A"/>
    <w:rsid w:val="00D84048"/>
    <w:rsid w:val="00D8436C"/>
    <w:rsid w:val="00D84844"/>
    <w:rsid w:val="00D84AD1"/>
    <w:rsid w:val="00D84E5E"/>
    <w:rsid w:val="00D85073"/>
    <w:rsid w:val="00D855B0"/>
    <w:rsid w:val="00D85753"/>
    <w:rsid w:val="00D86038"/>
    <w:rsid w:val="00D86075"/>
    <w:rsid w:val="00D86090"/>
    <w:rsid w:val="00D8620E"/>
    <w:rsid w:val="00D866CF"/>
    <w:rsid w:val="00D86753"/>
    <w:rsid w:val="00D86CE1"/>
    <w:rsid w:val="00D86E31"/>
    <w:rsid w:val="00D86FD2"/>
    <w:rsid w:val="00D873B9"/>
    <w:rsid w:val="00D876C9"/>
    <w:rsid w:val="00D87C69"/>
    <w:rsid w:val="00D87D84"/>
    <w:rsid w:val="00D87F47"/>
    <w:rsid w:val="00D906DB"/>
    <w:rsid w:val="00D9074C"/>
    <w:rsid w:val="00D90DE7"/>
    <w:rsid w:val="00D91301"/>
    <w:rsid w:val="00D91472"/>
    <w:rsid w:val="00D917BA"/>
    <w:rsid w:val="00D91918"/>
    <w:rsid w:val="00D91FFE"/>
    <w:rsid w:val="00D924CD"/>
    <w:rsid w:val="00D9256F"/>
    <w:rsid w:val="00D92AB3"/>
    <w:rsid w:val="00D92AB8"/>
    <w:rsid w:val="00D9320D"/>
    <w:rsid w:val="00D93526"/>
    <w:rsid w:val="00D9353A"/>
    <w:rsid w:val="00D93C66"/>
    <w:rsid w:val="00D93CD7"/>
    <w:rsid w:val="00D943BC"/>
    <w:rsid w:val="00D94838"/>
    <w:rsid w:val="00D949AF"/>
    <w:rsid w:val="00D94ED6"/>
    <w:rsid w:val="00D953F7"/>
    <w:rsid w:val="00D9563B"/>
    <w:rsid w:val="00D956C0"/>
    <w:rsid w:val="00D95E79"/>
    <w:rsid w:val="00D95E92"/>
    <w:rsid w:val="00D9642F"/>
    <w:rsid w:val="00D9647F"/>
    <w:rsid w:val="00D968C0"/>
    <w:rsid w:val="00D96EC8"/>
    <w:rsid w:val="00D974BD"/>
    <w:rsid w:val="00D975F8"/>
    <w:rsid w:val="00D97BC6"/>
    <w:rsid w:val="00D97C39"/>
    <w:rsid w:val="00D97CA3"/>
    <w:rsid w:val="00D97F5E"/>
    <w:rsid w:val="00D97FB7"/>
    <w:rsid w:val="00DA002A"/>
    <w:rsid w:val="00DA009B"/>
    <w:rsid w:val="00DA14D5"/>
    <w:rsid w:val="00DA1646"/>
    <w:rsid w:val="00DA1D02"/>
    <w:rsid w:val="00DA1DDC"/>
    <w:rsid w:val="00DA2262"/>
    <w:rsid w:val="00DA256C"/>
    <w:rsid w:val="00DA26BC"/>
    <w:rsid w:val="00DA2B90"/>
    <w:rsid w:val="00DA2BBB"/>
    <w:rsid w:val="00DA33F4"/>
    <w:rsid w:val="00DA348C"/>
    <w:rsid w:val="00DA3669"/>
    <w:rsid w:val="00DA38ED"/>
    <w:rsid w:val="00DA3D13"/>
    <w:rsid w:val="00DA426E"/>
    <w:rsid w:val="00DA42D2"/>
    <w:rsid w:val="00DA4697"/>
    <w:rsid w:val="00DA46DD"/>
    <w:rsid w:val="00DA47E4"/>
    <w:rsid w:val="00DA4B3C"/>
    <w:rsid w:val="00DA5326"/>
    <w:rsid w:val="00DA5675"/>
    <w:rsid w:val="00DA58A3"/>
    <w:rsid w:val="00DA5AB8"/>
    <w:rsid w:val="00DA5E43"/>
    <w:rsid w:val="00DA66B9"/>
    <w:rsid w:val="00DA674F"/>
    <w:rsid w:val="00DA6886"/>
    <w:rsid w:val="00DA688D"/>
    <w:rsid w:val="00DA6D50"/>
    <w:rsid w:val="00DA6E82"/>
    <w:rsid w:val="00DA6EF5"/>
    <w:rsid w:val="00DA712F"/>
    <w:rsid w:val="00DA7B0E"/>
    <w:rsid w:val="00DA7B50"/>
    <w:rsid w:val="00DA7E5E"/>
    <w:rsid w:val="00DB0036"/>
    <w:rsid w:val="00DB0055"/>
    <w:rsid w:val="00DB07B5"/>
    <w:rsid w:val="00DB07BA"/>
    <w:rsid w:val="00DB07DD"/>
    <w:rsid w:val="00DB097A"/>
    <w:rsid w:val="00DB0A53"/>
    <w:rsid w:val="00DB0DB3"/>
    <w:rsid w:val="00DB0EBE"/>
    <w:rsid w:val="00DB1259"/>
    <w:rsid w:val="00DB2036"/>
    <w:rsid w:val="00DB2208"/>
    <w:rsid w:val="00DB225A"/>
    <w:rsid w:val="00DB2704"/>
    <w:rsid w:val="00DB282A"/>
    <w:rsid w:val="00DB2A9E"/>
    <w:rsid w:val="00DB2BA2"/>
    <w:rsid w:val="00DB2C7A"/>
    <w:rsid w:val="00DB2C89"/>
    <w:rsid w:val="00DB2E8C"/>
    <w:rsid w:val="00DB2E95"/>
    <w:rsid w:val="00DB3284"/>
    <w:rsid w:val="00DB348F"/>
    <w:rsid w:val="00DB370E"/>
    <w:rsid w:val="00DB398D"/>
    <w:rsid w:val="00DB3C75"/>
    <w:rsid w:val="00DB3D0B"/>
    <w:rsid w:val="00DB3E13"/>
    <w:rsid w:val="00DB419F"/>
    <w:rsid w:val="00DB44EA"/>
    <w:rsid w:val="00DB458F"/>
    <w:rsid w:val="00DB51E6"/>
    <w:rsid w:val="00DB578B"/>
    <w:rsid w:val="00DB5BB8"/>
    <w:rsid w:val="00DB63E2"/>
    <w:rsid w:val="00DB6525"/>
    <w:rsid w:val="00DB696C"/>
    <w:rsid w:val="00DB6AF1"/>
    <w:rsid w:val="00DB71E1"/>
    <w:rsid w:val="00DB7A8E"/>
    <w:rsid w:val="00DB7BA9"/>
    <w:rsid w:val="00DB7D81"/>
    <w:rsid w:val="00DC01EB"/>
    <w:rsid w:val="00DC04DB"/>
    <w:rsid w:val="00DC0BA5"/>
    <w:rsid w:val="00DC0EF2"/>
    <w:rsid w:val="00DC0F31"/>
    <w:rsid w:val="00DC120B"/>
    <w:rsid w:val="00DC14CC"/>
    <w:rsid w:val="00DC1CC3"/>
    <w:rsid w:val="00DC1D38"/>
    <w:rsid w:val="00DC1E08"/>
    <w:rsid w:val="00DC1E47"/>
    <w:rsid w:val="00DC22C1"/>
    <w:rsid w:val="00DC2457"/>
    <w:rsid w:val="00DC24FA"/>
    <w:rsid w:val="00DC2D38"/>
    <w:rsid w:val="00DC2D39"/>
    <w:rsid w:val="00DC2ED5"/>
    <w:rsid w:val="00DC2FD7"/>
    <w:rsid w:val="00DC367E"/>
    <w:rsid w:val="00DC3BFE"/>
    <w:rsid w:val="00DC3C34"/>
    <w:rsid w:val="00DC3F09"/>
    <w:rsid w:val="00DC4239"/>
    <w:rsid w:val="00DC4402"/>
    <w:rsid w:val="00DC497D"/>
    <w:rsid w:val="00DC49B6"/>
    <w:rsid w:val="00DC4A92"/>
    <w:rsid w:val="00DC4B4A"/>
    <w:rsid w:val="00DC4DB0"/>
    <w:rsid w:val="00DC5BBE"/>
    <w:rsid w:val="00DC5C3D"/>
    <w:rsid w:val="00DC60EF"/>
    <w:rsid w:val="00DC65A3"/>
    <w:rsid w:val="00DC69D9"/>
    <w:rsid w:val="00DC6D28"/>
    <w:rsid w:val="00DC796E"/>
    <w:rsid w:val="00DC7DCB"/>
    <w:rsid w:val="00DC7FF7"/>
    <w:rsid w:val="00DD0397"/>
    <w:rsid w:val="00DD04E0"/>
    <w:rsid w:val="00DD07DC"/>
    <w:rsid w:val="00DD0CB8"/>
    <w:rsid w:val="00DD0FEC"/>
    <w:rsid w:val="00DD163B"/>
    <w:rsid w:val="00DD18C6"/>
    <w:rsid w:val="00DD1929"/>
    <w:rsid w:val="00DD1C32"/>
    <w:rsid w:val="00DD1E81"/>
    <w:rsid w:val="00DD1F42"/>
    <w:rsid w:val="00DD25F7"/>
    <w:rsid w:val="00DD2806"/>
    <w:rsid w:val="00DD28E3"/>
    <w:rsid w:val="00DD2A63"/>
    <w:rsid w:val="00DD2FB3"/>
    <w:rsid w:val="00DD319B"/>
    <w:rsid w:val="00DD33E6"/>
    <w:rsid w:val="00DD3790"/>
    <w:rsid w:val="00DD3C30"/>
    <w:rsid w:val="00DD3CA1"/>
    <w:rsid w:val="00DD3D78"/>
    <w:rsid w:val="00DD403F"/>
    <w:rsid w:val="00DD4198"/>
    <w:rsid w:val="00DD42DE"/>
    <w:rsid w:val="00DD45C4"/>
    <w:rsid w:val="00DD46F6"/>
    <w:rsid w:val="00DD4941"/>
    <w:rsid w:val="00DD5060"/>
    <w:rsid w:val="00DD5B65"/>
    <w:rsid w:val="00DD5C0C"/>
    <w:rsid w:val="00DD5D3E"/>
    <w:rsid w:val="00DD6267"/>
    <w:rsid w:val="00DD6600"/>
    <w:rsid w:val="00DD6B72"/>
    <w:rsid w:val="00DD74D2"/>
    <w:rsid w:val="00DD7E20"/>
    <w:rsid w:val="00DD7EBD"/>
    <w:rsid w:val="00DE018B"/>
    <w:rsid w:val="00DE029E"/>
    <w:rsid w:val="00DE02D7"/>
    <w:rsid w:val="00DE05DB"/>
    <w:rsid w:val="00DE06E4"/>
    <w:rsid w:val="00DE09F4"/>
    <w:rsid w:val="00DE10CA"/>
    <w:rsid w:val="00DE1170"/>
    <w:rsid w:val="00DE1DD6"/>
    <w:rsid w:val="00DE1E4A"/>
    <w:rsid w:val="00DE21B9"/>
    <w:rsid w:val="00DE21BE"/>
    <w:rsid w:val="00DE2494"/>
    <w:rsid w:val="00DE26A8"/>
    <w:rsid w:val="00DE30D3"/>
    <w:rsid w:val="00DE327C"/>
    <w:rsid w:val="00DE32F7"/>
    <w:rsid w:val="00DE331F"/>
    <w:rsid w:val="00DE3728"/>
    <w:rsid w:val="00DE384C"/>
    <w:rsid w:val="00DE3A06"/>
    <w:rsid w:val="00DE3A51"/>
    <w:rsid w:val="00DE3BC5"/>
    <w:rsid w:val="00DE3DE2"/>
    <w:rsid w:val="00DE4754"/>
    <w:rsid w:val="00DE478A"/>
    <w:rsid w:val="00DE4E9F"/>
    <w:rsid w:val="00DE4F73"/>
    <w:rsid w:val="00DE5BF2"/>
    <w:rsid w:val="00DE6756"/>
    <w:rsid w:val="00DE6A3F"/>
    <w:rsid w:val="00DE6C7C"/>
    <w:rsid w:val="00DE6C9C"/>
    <w:rsid w:val="00DE6FB5"/>
    <w:rsid w:val="00DE7005"/>
    <w:rsid w:val="00DE71FB"/>
    <w:rsid w:val="00DE7C1F"/>
    <w:rsid w:val="00DE7F81"/>
    <w:rsid w:val="00DE7FBF"/>
    <w:rsid w:val="00DF00E9"/>
    <w:rsid w:val="00DF0440"/>
    <w:rsid w:val="00DF08EB"/>
    <w:rsid w:val="00DF0CA4"/>
    <w:rsid w:val="00DF0E09"/>
    <w:rsid w:val="00DF0E6B"/>
    <w:rsid w:val="00DF1104"/>
    <w:rsid w:val="00DF16BC"/>
    <w:rsid w:val="00DF196A"/>
    <w:rsid w:val="00DF199F"/>
    <w:rsid w:val="00DF1A73"/>
    <w:rsid w:val="00DF1BE2"/>
    <w:rsid w:val="00DF1D26"/>
    <w:rsid w:val="00DF1E92"/>
    <w:rsid w:val="00DF2450"/>
    <w:rsid w:val="00DF2882"/>
    <w:rsid w:val="00DF2BAA"/>
    <w:rsid w:val="00DF2BFC"/>
    <w:rsid w:val="00DF2C29"/>
    <w:rsid w:val="00DF3002"/>
    <w:rsid w:val="00DF307C"/>
    <w:rsid w:val="00DF318F"/>
    <w:rsid w:val="00DF33AF"/>
    <w:rsid w:val="00DF38F7"/>
    <w:rsid w:val="00DF3A6A"/>
    <w:rsid w:val="00DF3B5C"/>
    <w:rsid w:val="00DF3DF2"/>
    <w:rsid w:val="00DF3EF9"/>
    <w:rsid w:val="00DF42A5"/>
    <w:rsid w:val="00DF4301"/>
    <w:rsid w:val="00DF4492"/>
    <w:rsid w:val="00DF4664"/>
    <w:rsid w:val="00DF4B49"/>
    <w:rsid w:val="00DF4E50"/>
    <w:rsid w:val="00DF51C8"/>
    <w:rsid w:val="00DF5AE1"/>
    <w:rsid w:val="00DF5B1F"/>
    <w:rsid w:val="00DF5DFC"/>
    <w:rsid w:val="00DF5E73"/>
    <w:rsid w:val="00DF6118"/>
    <w:rsid w:val="00DF62B3"/>
    <w:rsid w:val="00DF63D6"/>
    <w:rsid w:val="00DF6939"/>
    <w:rsid w:val="00DF69AE"/>
    <w:rsid w:val="00DF6A2F"/>
    <w:rsid w:val="00DF6B08"/>
    <w:rsid w:val="00DF6C33"/>
    <w:rsid w:val="00DF7143"/>
    <w:rsid w:val="00DF734C"/>
    <w:rsid w:val="00DF74F3"/>
    <w:rsid w:val="00DF7764"/>
    <w:rsid w:val="00DF78F6"/>
    <w:rsid w:val="00DF7AA3"/>
    <w:rsid w:val="00DF7AFA"/>
    <w:rsid w:val="00DF7BD7"/>
    <w:rsid w:val="00DF7D1D"/>
    <w:rsid w:val="00DF7DCC"/>
    <w:rsid w:val="00E00D07"/>
    <w:rsid w:val="00E01207"/>
    <w:rsid w:val="00E0124C"/>
    <w:rsid w:val="00E0197F"/>
    <w:rsid w:val="00E01C05"/>
    <w:rsid w:val="00E01DD4"/>
    <w:rsid w:val="00E020BD"/>
    <w:rsid w:val="00E026D7"/>
    <w:rsid w:val="00E02DC5"/>
    <w:rsid w:val="00E02E75"/>
    <w:rsid w:val="00E03A98"/>
    <w:rsid w:val="00E04399"/>
    <w:rsid w:val="00E04637"/>
    <w:rsid w:val="00E046C5"/>
    <w:rsid w:val="00E048B8"/>
    <w:rsid w:val="00E04EA0"/>
    <w:rsid w:val="00E04F34"/>
    <w:rsid w:val="00E0515E"/>
    <w:rsid w:val="00E05393"/>
    <w:rsid w:val="00E05D8E"/>
    <w:rsid w:val="00E05F09"/>
    <w:rsid w:val="00E07448"/>
    <w:rsid w:val="00E07522"/>
    <w:rsid w:val="00E07CB2"/>
    <w:rsid w:val="00E07F5D"/>
    <w:rsid w:val="00E104B8"/>
    <w:rsid w:val="00E10A34"/>
    <w:rsid w:val="00E10A60"/>
    <w:rsid w:val="00E10BE8"/>
    <w:rsid w:val="00E10D14"/>
    <w:rsid w:val="00E10D4B"/>
    <w:rsid w:val="00E10F8C"/>
    <w:rsid w:val="00E10FF0"/>
    <w:rsid w:val="00E1176E"/>
    <w:rsid w:val="00E11773"/>
    <w:rsid w:val="00E11FE6"/>
    <w:rsid w:val="00E120C3"/>
    <w:rsid w:val="00E12850"/>
    <w:rsid w:val="00E12A06"/>
    <w:rsid w:val="00E12B57"/>
    <w:rsid w:val="00E1385B"/>
    <w:rsid w:val="00E13B19"/>
    <w:rsid w:val="00E140F0"/>
    <w:rsid w:val="00E143AA"/>
    <w:rsid w:val="00E143D8"/>
    <w:rsid w:val="00E1447E"/>
    <w:rsid w:val="00E147C8"/>
    <w:rsid w:val="00E147E4"/>
    <w:rsid w:val="00E149D9"/>
    <w:rsid w:val="00E14A10"/>
    <w:rsid w:val="00E14D71"/>
    <w:rsid w:val="00E15030"/>
    <w:rsid w:val="00E1561A"/>
    <w:rsid w:val="00E1576D"/>
    <w:rsid w:val="00E159BF"/>
    <w:rsid w:val="00E15B04"/>
    <w:rsid w:val="00E15E09"/>
    <w:rsid w:val="00E168E0"/>
    <w:rsid w:val="00E16B51"/>
    <w:rsid w:val="00E1708C"/>
    <w:rsid w:val="00E172C0"/>
    <w:rsid w:val="00E17377"/>
    <w:rsid w:val="00E17462"/>
    <w:rsid w:val="00E178E4"/>
    <w:rsid w:val="00E17967"/>
    <w:rsid w:val="00E17E75"/>
    <w:rsid w:val="00E2003D"/>
    <w:rsid w:val="00E20723"/>
    <w:rsid w:val="00E2098F"/>
    <w:rsid w:val="00E20AC8"/>
    <w:rsid w:val="00E20C24"/>
    <w:rsid w:val="00E211D7"/>
    <w:rsid w:val="00E21948"/>
    <w:rsid w:val="00E21F72"/>
    <w:rsid w:val="00E21FD6"/>
    <w:rsid w:val="00E2223E"/>
    <w:rsid w:val="00E22299"/>
    <w:rsid w:val="00E2238D"/>
    <w:rsid w:val="00E223CF"/>
    <w:rsid w:val="00E22D0D"/>
    <w:rsid w:val="00E2306F"/>
    <w:rsid w:val="00E23777"/>
    <w:rsid w:val="00E23CB5"/>
    <w:rsid w:val="00E24271"/>
    <w:rsid w:val="00E24734"/>
    <w:rsid w:val="00E24A7A"/>
    <w:rsid w:val="00E24AB6"/>
    <w:rsid w:val="00E24EFE"/>
    <w:rsid w:val="00E25306"/>
    <w:rsid w:val="00E2549D"/>
    <w:rsid w:val="00E25D43"/>
    <w:rsid w:val="00E26093"/>
    <w:rsid w:val="00E26154"/>
    <w:rsid w:val="00E2655F"/>
    <w:rsid w:val="00E267F6"/>
    <w:rsid w:val="00E268F9"/>
    <w:rsid w:val="00E26BBC"/>
    <w:rsid w:val="00E26CFF"/>
    <w:rsid w:val="00E26DE1"/>
    <w:rsid w:val="00E27066"/>
    <w:rsid w:val="00E273EA"/>
    <w:rsid w:val="00E273EE"/>
    <w:rsid w:val="00E27485"/>
    <w:rsid w:val="00E274B0"/>
    <w:rsid w:val="00E274B7"/>
    <w:rsid w:val="00E27797"/>
    <w:rsid w:val="00E27AD0"/>
    <w:rsid w:val="00E27EF5"/>
    <w:rsid w:val="00E30224"/>
    <w:rsid w:val="00E3044B"/>
    <w:rsid w:val="00E30516"/>
    <w:rsid w:val="00E3090D"/>
    <w:rsid w:val="00E309AF"/>
    <w:rsid w:val="00E30DD3"/>
    <w:rsid w:val="00E30DF5"/>
    <w:rsid w:val="00E31458"/>
    <w:rsid w:val="00E3188B"/>
    <w:rsid w:val="00E3226D"/>
    <w:rsid w:val="00E32538"/>
    <w:rsid w:val="00E32586"/>
    <w:rsid w:val="00E32660"/>
    <w:rsid w:val="00E32857"/>
    <w:rsid w:val="00E328E1"/>
    <w:rsid w:val="00E32923"/>
    <w:rsid w:val="00E32A3C"/>
    <w:rsid w:val="00E3379B"/>
    <w:rsid w:val="00E337C8"/>
    <w:rsid w:val="00E339F5"/>
    <w:rsid w:val="00E33A52"/>
    <w:rsid w:val="00E33EA7"/>
    <w:rsid w:val="00E344A2"/>
    <w:rsid w:val="00E3482D"/>
    <w:rsid w:val="00E34EFA"/>
    <w:rsid w:val="00E353E2"/>
    <w:rsid w:val="00E35E47"/>
    <w:rsid w:val="00E36333"/>
    <w:rsid w:val="00E3644E"/>
    <w:rsid w:val="00E364CB"/>
    <w:rsid w:val="00E3672F"/>
    <w:rsid w:val="00E367FE"/>
    <w:rsid w:val="00E377B8"/>
    <w:rsid w:val="00E377EB"/>
    <w:rsid w:val="00E3790F"/>
    <w:rsid w:val="00E379D1"/>
    <w:rsid w:val="00E37BF6"/>
    <w:rsid w:val="00E37CF1"/>
    <w:rsid w:val="00E41599"/>
    <w:rsid w:val="00E417F1"/>
    <w:rsid w:val="00E41949"/>
    <w:rsid w:val="00E41EFD"/>
    <w:rsid w:val="00E41FA2"/>
    <w:rsid w:val="00E4213E"/>
    <w:rsid w:val="00E42773"/>
    <w:rsid w:val="00E427AD"/>
    <w:rsid w:val="00E42C43"/>
    <w:rsid w:val="00E42C9E"/>
    <w:rsid w:val="00E42D10"/>
    <w:rsid w:val="00E42DB9"/>
    <w:rsid w:val="00E430C2"/>
    <w:rsid w:val="00E433E9"/>
    <w:rsid w:val="00E434D7"/>
    <w:rsid w:val="00E43529"/>
    <w:rsid w:val="00E439ED"/>
    <w:rsid w:val="00E43AFC"/>
    <w:rsid w:val="00E43BD6"/>
    <w:rsid w:val="00E447E3"/>
    <w:rsid w:val="00E448B1"/>
    <w:rsid w:val="00E4497D"/>
    <w:rsid w:val="00E44A22"/>
    <w:rsid w:val="00E44F02"/>
    <w:rsid w:val="00E45107"/>
    <w:rsid w:val="00E451F5"/>
    <w:rsid w:val="00E452D7"/>
    <w:rsid w:val="00E4545C"/>
    <w:rsid w:val="00E45550"/>
    <w:rsid w:val="00E45623"/>
    <w:rsid w:val="00E45ACC"/>
    <w:rsid w:val="00E45C12"/>
    <w:rsid w:val="00E4638F"/>
    <w:rsid w:val="00E467F9"/>
    <w:rsid w:val="00E46AE0"/>
    <w:rsid w:val="00E46B29"/>
    <w:rsid w:val="00E46CB0"/>
    <w:rsid w:val="00E475FB"/>
    <w:rsid w:val="00E47716"/>
    <w:rsid w:val="00E4786A"/>
    <w:rsid w:val="00E47B28"/>
    <w:rsid w:val="00E47B4B"/>
    <w:rsid w:val="00E47D07"/>
    <w:rsid w:val="00E47D28"/>
    <w:rsid w:val="00E47F71"/>
    <w:rsid w:val="00E47FDD"/>
    <w:rsid w:val="00E50502"/>
    <w:rsid w:val="00E508C6"/>
    <w:rsid w:val="00E50DB7"/>
    <w:rsid w:val="00E50FF2"/>
    <w:rsid w:val="00E51774"/>
    <w:rsid w:val="00E51F6F"/>
    <w:rsid w:val="00E5218A"/>
    <w:rsid w:val="00E523E5"/>
    <w:rsid w:val="00E52727"/>
    <w:rsid w:val="00E52985"/>
    <w:rsid w:val="00E52A74"/>
    <w:rsid w:val="00E52F20"/>
    <w:rsid w:val="00E530B1"/>
    <w:rsid w:val="00E539BA"/>
    <w:rsid w:val="00E53A45"/>
    <w:rsid w:val="00E53CE2"/>
    <w:rsid w:val="00E53D89"/>
    <w:rsid w:val="00E53E42"/>
    <w:rsid w:val="00E5445C"/>
    <w:rsid w:val="00E54751"/>
    <w:rsid w:val="00E548E0"/>
    <w:rsid w:val="00E54DAF"/>
    <w:rsid w:val="00E54DB9"/>
    <w:rsid w:val="00E54FB6"/>
    <w:rsid w:val="00E55328"/>
    <w:rsid w:val="00E55389"/>
    <w:rsid w:val="00E559B3"/>
    <w:rsid w:val="00E55AD4"/>
    <w:rsid w:val="00E564A3"/>
    <w:rsid w:val="00E568FE"/>
    <w:rsid w:val="00E56B09"/>
    <w:rsid w:val="00E56BB8"/>
    <w:rsid w:val="00E56EA6"/>
    <w:rsid w:val="00E56EE9"/>
    <w:rsid w:val="00E57854"/>
    <w:rsid w:val="00E57C18"/>
    <w:rsid w:val="00E57F45"/>
    <w:rsid w:val="00E6033F"/>
    <w:rsid w:val="00E60772"/>
    <w:rsid w:val="00E60C70"/>
    <w:rsid w:val="00E60E33"/>
    <w:rsid w:val="00E60FE0"/>
    <w:rsid w:val="00E6125D"/>
    <w:rsid w:val="00E612DA"/>
    <w:rsid w:val="00E61659"/>
    <w:rsid w:val="00E616DD"/>
    <w:rsid w:val="00E61888"/>
    <w:rsid w:val="00E624BD"/>
    <w:rsid w:val="00E6275E"/>
    <w:rsid w:val="00E62A49"/>
    <w:rsid w:val="00E62C1B"/>
    <w:rsid w:val="00E62E6B"/>
    <w:rsid w:val="00E62F78"/>
    <w:rsid w:val="00E630CF"/>
    <w:rsid w:val="00E63233"/>
    <w:rsid w:val="00E632B9"/>
    <w:rsid w:val="00E63A61"/>
    <w:rsid w:val="00E63F02"/>
    <w:rsid w:val="00E64327"/>
    <w:rsid w:val="00E643AE"/>
    <w:rsid w:val="00E64460"/>
    <w:rsid w:val="00E64BE1"/>
    <w:rsid w:val="00E64D7D"/>
    <w:rsid w:val="00E64E02"/>
    <w:rsid w:val="00E64F99"/>
    <w:rsid w:val="00E65464"/>
    <w:rsid w:val="00E6581B"/>
    <w:rsid w:val="00E65BA8"/>
    <w:rsid w:val="00E65E71"/>
    <w:rsid w:val="00E66802"/>
    <w:rsid w:val="00E66B08"/>
    <w:rsid w:val="00E66F1C"/>
    <w:rsid w:val="00E67190"/>
    <w:rsid w:val="00E67515"/>
    <w:rsid w:val="00E67815"/>
    <w:rsid w:val="00E67C2A"/>
    <w:rsid w:val="00E67D53"/>
    <w:rsid w:val="00E67DB1"/>
    <w:rsid w:val="00E67F36"/>
    <w:rsid w:val="00E67FA6"/>
    <w:rsid w:val="00E7008E"/>
    <w:rsid w:val="00E7017B"/>
    <w:rsid w:val="00E705BA"/>
    <w:rsid w:val="00E70AC9"/>
    <w:rsid w:val="00E70B52"/>
    <w:rsid w:val="00E712E9"/>
    <w:rsid w:val="00E7154E"/>
    <w:rsid w:val="00E71B09"/>
    <w:rsid w:val="00E7200E"/>
    <w:rsid w:val="00E721AE"/>
    <w:rsid w:val="00E726DB"/>
    <w:rsid w:val="00E7270A"/>
    <w:rsid w:val="00E72CB7"/>
    <w:rsid w:val="00E72F1C"/>
    <w:rsid w:val="00E7301C"/>
    <w:rsid w:val="00E733CD"/>
    <w:rsid w:val="00E737A2"/>
    <w:rsid w:val="00E738FB"/>
    <w:rsid w:val="00E73C06"/>
    <w:rsid w:val="00E7416B"/>
    <w:rsid w:val="00E74D5F"/>
    <w:rsid w:val="00E74D84"/>
    <w:rsid w:val="00E74E99"/>
    <w:rsid w:val="00E7527F"/>
    <w:rsid w:val="00E75D89"/>
    <w:rsid w:val="00E75E0F"/>
    <w:rsid w:val="00E762FC"/>
    <w:rsid w:val="00E76461"/>
    <w:rsid w:val="00E764EA"/>
    <w:rsid w:val="00E76BBA"/>
    <w:rsid w:val="00E77007"/>
    <w:rsid w:val="00E7743C"/>
    <w:rsid w:val="00E77753"/>
    <w:rsid w:val="00E77CAB"/>
    <w:rsid w:val="00E77CF4"/>
    <w:rsid w:val="00E77EB6"/>
    <w:rsid w:val="00E80A36"/>
    <w:rsid w:val="00E8132B"/>
    <w:rsid w:val="00E816AE"/>
    <w:rsid w:val="00E81A26"/>
    <w:rsid w:val="00E81AF0"/>
    <w:rsid w:val="00E81CF5"/>
    <w:rsid w:val="00E81DF0"/>
    <w:rsid w:val="00E81E5B"/>
    <w:rsid w:val="00E82061"/>
    <w:rsid w:val="00E820A0"/>
    <w:rsid w:val="00E82824"/>
    <w:rsid w:val="00E83B8C"/>
    <w:rsid w:val="00E83CB1"/>
    <w:rsid w:val="00E83CCB"/>
    <w:rsid w:val="00E84094"/>
    <w:rsid w:val="00E846B0"/>
    <w:rsid w:val="00E84EA1"/>
    <w:rsid w:val="00E85754"/>
    <w:rsid w:val="00E85C1A"/>
    <w:rsid w:val="00E85D33"/>
    <w:rsid w:val="00E85EA4"/>
    <w:rsid w:val="00E86105"/>
    <w:rsid w:val="00E861CE"/>
    <w:rsid w:val="00E86606"/>
    <w:rsid w:val="00E8699E"/>
    <w:rsid w:val="00E86B07"/>
    <w:rsid w:val="00E86CF3"/>
    <w:rsid w:val="00E86D62"/>
    <w:rsid w:val="00E86D9D"/>
    <w:rsid w:val="00E86DCE"/>
    <w:rsid w:val="00E87012"/>
    <w:rsid w:val="00E872B3"/>
    <w:rsid w:val="00E874B6"/>
    <w:rsid w:val="00E878BC"/>
    <w:rsid w:val="00E87973"/>
    <w:rsid w:val="00E87DBD"/>
    <w:rsid w:val="00E90022"/>
    <w:rsid w:val="00E90053"/>
    <w:rsid w:val="00E9052A"/>
    <w:rsid w:val="00E90565"/>
    <w:rsid w:val="00E90743"/>
    <w:rsid w:val="00E90B99"/>
    <w:rsid w:val="00E90BFD"/>
    <w:rsid w:val="00E9163D"/>
    <w:rsid w:val="00E9193E"/>
    <w:rsid w:val="00E91D45"/>
    <w:rsid w:val="00E91D49"/>
    <w:rsid w:val="00E92006"/>
    <w:rsid w:val="00E923A0"/>
    <w:rsid w:val="00E92439"/>
    <w:rsid w:val="00E92B1B"/>
    <w:rsid w:val="00E92B38"/>
    <w:rsid w:val="00E92BF5"/>
    <w:rsid w:val="00E93253"/>
    <w:rsid w:val="00E933DA"/>
    <w:rsid w:val="00E935F3"/>
    <w:rsid w:val="00E93716"/>
    <w:rsid w:val="00E93768"/>
    <w:rsid w:val="00E939A4"/>
    <w:rsid w:val="00E93D4D"/>
    <w:rsid w:val="00E9444A"/>
    <w:rsid w:val="00E94478"/>
    <w:rsid w:val="00E9454B"/>
    <w:rsid w:val="00E94A91"/>
    <w:rsid w:val="00E94D66"/>
    <w:rsid w:val="00E94DE6"/>
    <w:rsid w:val="00E95012"/>
    <w:rsid w:val="00E95428"/>
    <w:rsid w:val="00E95C09"/>
    <w:rsid w:val="00E9614B"/>
    <w:rsid w:val="00E9630A"/>
    <w:rsid w:val="00E96C17"/>
    <w:rsid w:val="00E96EF3"/>
    <w:rsid w:val="00E97638"/>
    <w:rsid w:val="00E97856"/>
    <w:rsid w:val="00EA0373"/>
    <w:rsid w:val="00EA0482"/>
    <w:rsid w:val="00EA0C4D"/>
    <w:rsid w:val="00EA1025"/>
    <w:rsid w:val="00EA13A4"/>
    <w:rsid w:val="00EA156D"/>
    <w:rsid w:val="00EA163A"/>
    <w:rsid w:val="00EA1DB3"/>
    <w:rsid w:val="00EA21FF"/>
    <w:rsid w:val="00EA24C8"/>
    <w:rsid w:val="00EA27FB"/>
    <w:rsid w:val="00EA2FB5"/>
    <w:rsid w:val="00EA3202"/>
    <w:rsid w:val="00EA3658"/>
    <w:rsid w:val="00EA38A4"/>
    <w:rsid w:val="00EA398B"/>
    <w:rsid w:val="00EA3C78"/>
    <w:rsid w:val="00EA3FA0"/>
    <w:rsid w:val="00EA4837"/>
    <w:rsid w:val="00EA490E"/>
    <w:rsid w:val="00EA49B0"/>
    <w:rsid w:val="00EA53CB"/>
    <w:rsid w:val="00EA5D69"/>
    <w:rsid w:val="00EA6089"/>
    <w:rsid w:val="00EA68DF"/>
    <w:rsid w:val="00EA6D33"/>
    <w:rsid w:val="00EA6F1E"/>
    <w:rsid w:val="00EA74C2"/>
    <w:rsid w:val="00EA77FA"/>
    <w:rsid w:val="00EA7C0C"/>
    <w:rsid w:val="00EB0B46"/>
    <w:rsid w:val="00EB0D29"/>
    <w:rsid w:val="00EB17E9"/>
    <w:rsid w:val="00EB1968"/>
    <w:rsid w:val="00EB19AC"/>
    <w:rsid w:val="00EB1AF8"/>
    <w:rsid w:val="00EB202A"/>
    <w:rsid w:val="00EB2164"/>
    <w:rsid w:val="00EB25EC"/>
    <w:rsid w:val="00EB2755"/>
    <w:rsid w:val="00EB290E"/>
    <w:rsid w:val="00EB2D92"/>
    <w:rsid w:val="00EB2DA1"/>
    <w:rsid w:val="00EB2EC1"/>
    <w:rsid w:val="00EB31DC"/>
    <w:rsid w:val="00EB338D"/>
    <w:rsid w:val="00EB3417"/>
    <w:rsid w:val="00EB35D3"/>
    <w:rsid w:val="00EB3706"/>
    <w:rsid w:val="00EB3981"/>
    <w:rsid w:val="00EB3A14"/>
    <w:rsid w:val="00EB3E1B"/>
    <w:rsid w:val="00EB3E45"/>
    <w:rsid w:val="00EB3E8D"/>
    <w:rsid w:val="00EB41E2"/>
    <w:rsid w:val="00EB4383"/>
    <w:rsid w:val="00EB45DE"/>
    <w:rsid w:val="00EB4932"/>
    <w:rsid w:val="00EB5059"/>
    <w:rsid w:val="00EB52D8"/>
    <w:rsid w:val="00EB5438"/>
    <w:rsid w:val="00EB54B3"/>
    <w:rsid w:val="00EB5BAA"/>
    <w:rsid w:val="00EB63B3"/>
    <w:rsid w:val="00EB6468"/>
    <w:rsid w:val="00EB6A5B"/>
    <w:rsid w:val="00EB7285"/>
    <w:rsid w:val="00EB7506"/>
    <w:rsid w:val="00EB76B7"/>
    <w:rsid w:val="00EB7DF3"/>
    <w:rsid w:val="00EC00CA"/>
    <w:rsid w:val="00EC039A"/>
    <w:rsid w:val="00EC058F"/>
    <w:rsid w:val="00EC0940"/>
    <w:rsid w:val="00EC0B22"/>
    <w:rsid w:val="00EC1AC3"/>
    <w:rsid w:val="00EC1D4C"/>
    <w:rsid w:val="00EC2167"/>
    <w:rsid w:val="00EC2E11"/>
    <w:rsid w:val="00EC3179"/>
    <w:rsid w:val="00EC31AF"/>
    <w:rsid w:val="00EC325F"/>
    <w:rsid w:val="00EC32DC"/>
    <w:rsid w:val="00EC3612"/>
    <w:rsid w:val="00EC394B"/>
    <w:rsid w:val="00EC3A84"/>
    <w:rsid w:val="00EC3B84"/>
    <w:rsid w:val="00EC3BC8"/>
    <w:rsid w:val="00EC3C99"/>
    <w:rsid w:val="00EC44FF"/>
    <w:rsid w:val="00EC47B8"/>
    <w:rsid w:val="00EC4BA9"/>
    <w:rsid w:val="00EC4DE2"/>
    <w:rsid w:val="00EC4FBA"/>
    <w:rsid w:val="00EC51F6"/>
    <w:rsid w:val="00EC5A72"/>
    <w:rsid w:val="00EC5E9E"/>
    <w:rsid w:val="00EC6534"/>
    <w:rsid w:val="00EC666F"/>
    <w:rsid w:val="00EC6843"/>
    <w:rsid w:val="00EC77B7"/>
    <w:rsid w:val="00EC7CEF"/>
    <w:rsid w:val="00EC7FF8"/>
    <w:rsid w:val="00ED01DF"/>
    <w:rsid w:val="00ED035C"/>
    <w:rsid w:val="00ED0B16"/>
    <w:rsid w:val="00ED175B"/>
    <w:rsid w:val="00ED19CF"/>
    <w:rsid w:val="00ED1D9B"/>
    <w:rsid w:val="00ED1E36"/>
    <w:rsid w:val="00ED1FA0"/>
    <w:rsid w:val="00ED217A"/>
    <w:rsid w:val="00ED24D4"/>
    <w:rsid w:val="00ED275B"/>
    <w:rsid w:val="00ED2A5C"/>
    <w:rsid w:val="00ED2DC1"/>
    <w:rsid w:val="00ED3BA4"/>
    <w:rsid w:val="00ED3C58"/>
    <w:rsid w:val="00ED3D8F"/>
    <w:rsid w:val="00ED42E3"/>
    <w:rsid w:val="00ED4435"/>
    <w:rsid w:val="00ED4613"/>
    <w:rsid w:val="00ED4619"/>
    <w:rsid w:val="00ED4B52"/>
    <w:rsid w:val="00ED4D08"/>
    <w:rsid w:val="00ED5199"/>
    <w:rsid w:val="00ED5267"/>
    <w:rsid w:val="00ED5C86"/>
    <w:rsid w:val="00ED5D5C"/>
    <w:rsid w:val="00ED686B"/>
    <w:rsid w:val="00ED689C"/>
    <w:rsid w:val="00ED69B6"/>
    <w:rsid w:val="00ED6DF3"/>
    <w:rsid w:val="00ED6FD6"/>
    <w:rsid w:val="00ED757D"/>
    <w:rsid w:val="00ED75C3"/>
    <w:rsid w:val="00ED7DCB"/>
    <w:rsid w:val="00ED7EB8"/>
    <w:rsid w:val="00ED7F62"/>
    <w:rsid w:val="00EE02E7"/>
    <w:rsid w:val="00EE04DD"/>
    <w:rsid w:val="00EE04FA"/>
    <w:rsid w:val="00EE056A"/>
    <w:rsid w:val="00EE06D2"/>
    <w:rsid w:val="00EE0746"/>
    <w:rsid w:val="00EE0A89"/>
    <w:rsid w:val="00EE0ADE"/>
    <w:rsid w:val="00EE0ECF"/>
    <w:rsid w:val="00EE1000"/>
    <w:rsid w:val="00EE17BC"/>
    <w:rsid w:val="00EE1E38"/>
    <w:rsid w:val="00EE2012"/>
    <w:rsid w:val="00EE2275"/>
    <w:rsid w:val="00EE265A"/>
    <w:rsid w:val="00EE2982"/>
    <w:rsid w:val="00EE31E4"/>
    <w:rsid w:val="00EE345E"/>
    <w:rsid w:val="00EE35F0"/>
    <w:rsid w:val="00EE3729"/>
    <w:rsid w:val="00EE3872"/>
    <w:rsid w:val="00EE441A"/>
    <w:rsid w:val="00EE441C"/>
    <w:rsid w:val="00EE455A"/>
    <w:rsid w:val="00EE4623"/>
    <w:rsid w:val="00EE493E"/>
    <w:rsid w:val="00EE4EA7"/>
    <w:rsid w:val="00EE5305"/>
    <w:rsid w:val="00EE598A"/>
    <w:rsid w:val="00EE5B77"/>
    <w:rsid w:val="00EE5D2F"/>
    <w:rsid w:val="00EE5E4D"/>
    <w:rsid w:val="00EE5EB5"/>
    <w:rsid w:val="00EE60DA"/>
    <w:rsid w:val="00EE66E8"/>
    <w:rsid w:val="00EE6705"/>
    <w:rsid w:val="00EE67CF"/>
    <w:rsid w:val="00EE69B1"/>
    <w:rsid w:val="00EE6A9C"/>
    <w:rsid w:val="00EE6C90"/>
    <w:rsid w:val="00EE6CD0"/>
    <w:rsid w:val="00EE7020"/>
    <w:rsid w:val="00EE71AA"/>
    <w:rsid w:val="00EE77DF"/>
    <w:rsid w:val="00EE7F31"/>
    <w:rsid w:val="00EE7FC9"/>
    <w:rsid w:val="00EF04F1"/>
    <w:rsid w:val="00EF0985"/>
    <w:rsid w:val="00EF0CA6"/>
    <w:rsid w:val="00EF0CFE"/>
    <w:rsid w:val="00EF0F4E"/>
    <w:rsid w:val="00EF129D"/>
    <w:rsid w:val="00EF1891"/>
    <w:rsid w:val="00EF18E0"/>
    <w:rsid w:val="00EF19E3"/>
    <w:rsid w:val="00EF1B09"/>
    <w:rsid w:val="00EF1C0A"/>
    <w:rsid w:val="00EF223B"/>
    <w:rsid w:val="00EF2C73"/>
    <w:rsid w:val="00EF31DD"/>
    <w:rsid w:val="00EF34A6"/>
    <w:rsid w:val="00EF3846"/>
    <w:rsid w:val="00EF39AE"/>
    <w:rsid w:val="00EF3A9E"/>
    <w:rsid w:val="00EF3B21"/>
    <w:rsid w:val="00EF3C3B"/>
    <w:rsid w:val="00EF3E62"/>
    <w:rsid w:val="00EF420A"/>
    <w:rsid w:val="00EF42DC"/>
    <w:rsid w:val="00EF4396"/>
    <w:rsid w:val="00EF467C"/>
    <w:rsid w:val="00EF479E"/>
    <w:rsid w:val="00EF48C4"/>
    <w:rsid w:val="00EF4AF7"/>
    <w:rsid w:val="00EF4F22"/>
    <w:rsid w:val="00EF54FD"/>
    <w:rsid w:val="00EF5625"/>
    <w:rsid w:val="00EF5D89"/>
    <w:rsid w:val="00EF5DF6"/>
    <w:rsid w:val="00EF6064"/>
    <w:rsid w:val="00EF6866"/>
    <w:rsid w:val="00EF6F1A"/>
    <w:rsid w:val="00EF7181"/>
    <w:rsid w:val="00EF764C"/>
    <w:rsid w:val="00EF7834"/>
    <w:rsid w:val="00EF7A4E"/>
    <w:rsid w:val="00EF7AB1"/>
    <w:rsid w:val="00F01491"/>
    <w:rsid w:val="00F0179B"/>
    <w:rsid w:val="00F0199F"/>
    <w:rsid w:val="00F01F7B"/>
    <w:rsid w:val="00F0262B"/>
    <w:rsid w:val="00F02829"/>
    <w:rsid w:val="00F02972"/>
    <w:rsid w:val="00F031EC"/>
    <w:rsid w:val="00F0336A"/>
    <w:rsid w:val="00F033A6"/>
    <w:rsid w:val="00F03865"/>
    <w:rsid w:val="00F03972"/>
    <w:rsid w:val="00F0454D"/>
    <w:rsid w:val="00F046E4"/>
    <w:rsid w:val="00F046E6"/>
    <w:rsid w:val="00F04C64"/>
    <w:rsid w:val="00F04FF5"/>
    <w:rsid w:val="00F0500F"/>
    <w:rsid w:val="00F0512C"/>
    <w:rsid w:val="00F052C2"/>
    <w:rsid w:val="00F053F8"/>
    <w:rsid w:val="00F05503"/>
    <w:rsid w:val="00F05779"/>
    <w:rsid w:val="00F059F5"/>
    <w:rsid w:val="00F05E41"/>
    <w:rsid w:val="00F05ED1"/>
    <w:rsid w:val="00F05F50"/>
    <w:rsid w:val="00F06505"/>
    <w:rsid w:val="00F06898"/>
    <w:rsid w:val="00F06ACC"/>
    <w:rsid w:val="00F06BF9"/>
    <w:rsid w:val="00F06DF4"/>
    <w:rsid w:val="00F07167"/>
    <w:rsid w:val="00F079F5"/>
    <w:rsid w:val="00F07AB7"/>
    <w:rsid w:val="00F07BAF"/>
    <w:rsid w:val="00F07EC3"/>
    <w:rsid w:val="00F1009D"/>
    <w:rsid w:val="00F10200"/>
    <w:rsid w:val="00F102D4"/>
    <w:rsid w:val="00F10A28"/>
    <w:rsid w:val="00F11408"/>
    <w:rsid w:val="00F1185F"/>
    <w:rsid w:val="00F11936"/>
    <w:rsid w:val="00F11B5D"/>
    <w:rsid w:val="00F11E6F"/>
    <w:rsid w:val="00F12119"/>
    <w:rsid w:val="00F12394"/>
    <w:rsid w:val="00F124FD"/>
    <w:rsid w:val="00F127FB"/>
    <w:rsid w:val="00F12848"/>
    <w:rsid w:val="00F129DD"/>
    <w:rsid w:val="00F12C56"/>
    <w:rsid w:val="00F13252"/>
    <w:rsid w:val="00F1326E"/>
    <w:rsid w:val="00F140EF"/>
    <w:rsid w:val="00F147AB"/>
    <w:rsid w:val="00F14975"/>
    <w:rsid w:val="00F14E3D"/>
    <w:rsid w:val="00F14FCC"/>
    <w:rsid w:val="00F152B9"/>
    <w:rsid w:val="00F15D66"/>
    <w:rsid w:val="00F1611A"/>
    <w:rsid w:val="00F166ED"/>
    <w:rsid w:val="00F16CBD"/>
    <w:rsid w:val="00F16D5B"/>
    <w:rsid w:val="00F17150"/>
    <w:rsid w:val="00F1754A"/>
    <w:rsid w:val="00F17B1B"/>
    <w:rsid w:val="00F2008C"/>
    <w:rsid w:val="00F201A5"/>
    <w:rsid w:val="00F208B0"/>
    <w:rsid w:val="00F20BBB"/>
    <w:rsid w:val="00F20D57"/>
    <w:rsid w:val="00F20DFD"/>
    <w:rsid w:val="00F21039"/>
    <w:rsid w:val="00F210CE"/>
    <w:rsid w:val="00F21237"/>
    <w:rsid w:val="00F21AD6"/>
    <w:rsid w:val="00F21F3C"/>
    <w:rsid w:val="00F2217E"/>
    <w:rsid w:val="00F22625"/>
    <w:rsid w:val="00F22A49"/>
    <w:rsid w:val="00F2310C"/>
    <w:rsid w:val="00F234FB"/>
    <w:rsid w:val="00F24528"/>
    <w:rsid w:val="00F246A6"/>
    <w:rsid w:val="00F248EE"/>
    <w:rsid w:val="00F24FF5"/>
    <w:rsid w:val="00F25220"/>
    <w:rsid w:val="00F252BD"/>
    <w:rsid w:val="00F25642"/>
    <w:rsid w:val="00F26686"/>
    <w:rsid w:val="00F2676F"/>
    <w:rsid w:val="00F26CE7"/>
    <w:rsid w:val="00F27320"/>
    <w:rsid w:val="00F273EC"/>
    <w:rsid w:val="00F27CAF"/>
    <w:rsid w:val="00F3020C"/>
    <w:rsid w:val="00F30288"/>
    <w:rsid w:val="00F30947"/>
    <w:rsid w:val="00F30AA8"/>
    <w:rsid w:val="00F31271"/>
    <w:rsid w:val="00F314C9"/>
    <w:rsid w:val="00F316D1"/>
    <w:rsid w:val="00F316F3"/>
    <w:rsid w:val="00F31B65"/>
    <w:rsid w:val="00F32420"/>
    <w:rsid w:val="00F32666"/>
    <w:rsid w:val="00F32AF4"/>
    <w:rsid w:val="00F32BBA"/>
    <w:rsid w:val="00F32EE8"/>
    <w:rsid w:val="00F3318A"/>
    <w:rsid w:val="00F33430"/>
    <w:rsid w:val="00F3399B"/>
    <w:rsid w:val="00F33A92"/>
    <w:rsid w:val="00F3455B"/>
    <w:rsid w:val="00F34A55"/>
    <w:rsid w:val="00F34C84"/>
    <w:rsid w:val="00F35564"/>
    <w:rsid w:val="00F35691"/>
    <w:rsid w:val="00F3592D"/>
    <w:rsid w:val="00F35936"/>
    <w:rsid w:val="00F35997"/>
    <w:rsid w:val="00F36126"/>
    <w:rsid w:val="00F36289"/>
    <w:rsid w:val="00F3650C"/>
    <w:rsid w:val="00F366E1"/>
    <w:rsid w:val="00F36DA4"/>
    <w:rsid w:val="00F36F88"/>
    <w:rsid w:val="00F36FD7"/>
    <w:rsid w:val="00F37320"/>
    <w:rsid w:val="00F37589"/>
    <w:rsid w:val="00F377DF"/>
    <w:rsid w:val="00F378F0"/>
    <w:rsid w:val="00F37B37"/>
    <w:rsid w:val="00F40380"/>
    <w:rsid w:val="00F40531"/>
    <w:rsid w:val="00F40CCC"/>
    <w:rsid w:val="00F4106F"/>
    <w:rsid w:val="00F41429"/>
    <w:rsid w:val="00F414DB"/>
    <w:rsid w:val="00F418F7"/>
    <w:rsid w:val="00F419CD"/>
    <w:rsid w:val="00F41BD0"/>
    <w:rsid w:val="00F41D39"/>
    <w:rsid w:val="00F42B7A"/>
    <w:rsid w:val="00F42DD8"/>
    <w:rsid w:val="00F42E1C"/>
    <w:rsid w:val="00F43662"/>
    <w:rsid w:val="00F438A1"/>
    <w:rsid w:val="00F43A44"/>
    <w:rsid w:val="00F43C10"/>
    <w:rsid w:val="00F43D97"/>
    <w:rsid w:val="00F43DD3"/>
    <w:rsid w:val="00F43DE6"/>
    <w:rsid w:val="00F4405B"/>
    <w:rsid w:val="00F44275"/>
    <w:rsid w:val="00F446B8"/>
    <w:rsid w:val="00F44911"/>
    <w:rsid w:val="00F44B2A"/>
    <w:rsid w:val="00F44D01"/>
    <w:rsid w:val="00F44E29"/>
    <w:rsid w:val="00F450D4"/>
    <w:rsid w:val="00F451C1"/>
    <w:rsid w:val="00F452BB"/>
    <w:rsid w:val="00F4560C"/>
    <w:rsid w:val="00F45747"/>
    <w:rsid w:val="00F45AA2"/>
    <w:rsid w:val="00F45C32"/>
    <w:rsid w:val="00F45DA0"/>
    <w:rsid w:val="00F45E8E"/>
    <w:rsid w:val="00F45EB8"/>
    <w:rsid w:val="00F46513"/>
    <w:rsid w:val="00F465F0"/>
    <w:rsid w:val="00F4682C"/>
    <w:rsid w:val="00F4684F"/>
    <w:rsid w:val="00F46B43"/>
    <w:rsid w:val="00F46E98"/>
    <w:rsid w:val="00F473D7"/>
    <w:rsid w:val="00F47BC1"/>
    <w:rsid w:val="00F47E14"/>
    <w:rsid w:val="00F47F55"/>
    <w:rsid w:val="00F50321"/>
    <w:rsid w:val="00F50357"/>
    <w:rsid w:val="00F50397"/>
    <w:rsid w:val="00F503D8"/>
    <w:rsid w:val="00F50508"/>
    <w:rsid w:val="00F5079F"/>
    <w:rsid w:val="00F50AE3"/>
    <w:rsid w:val="00F50C26"/>
    <w:rsid w:val="00F51A29"/>
    <w:rsid w:val="00F51FBC"/>
    <w:rsid w:val="00F52238"/>
    <w:rsid w:val="00F525CA"/>
    <w:rsid w:val="00F52686"/>
    <w:rsid w:val="00F53193"/>
    <w:rsid w:val="00F5362D"/>
    <w:rsid w:val="00F539AD"/>
    <w:rsid w:val="00F539F9"/>
    <w:rsid w:val="00F53D3B"/>
    <w:rsid w:val="00F54277"/>
    <w:rsid w:val="00F54377"/>
    <w:rsid w:val="00F543A9"/>
    <w:rsid w:val="00F54449"/>
    <w:rsid w:val="00F5473D"/>
    <w:rsid w:val="00F54A82"/>
    <w:rsid w:val="00F54BBB"/>
    <w:rsid w:val="00F54F4B"/>
    <w:rsid w:val="00F55196"/>
    <w:rsid w:val="00F5554F"/>
    <w:rsid w:val="00F55CB9"/>
    <w:rsid w:val="00F565F6"/>
    <w:rsid w:val="00F56BFB"/>
    <w:rsid w:val="00F5786F"/>
    <w:rsid w:val="00F57D7C"/>
    <w:rsid w:val="00F57DFF"/>
    <w:rsid w:val="00F600F8"/>
    <w:rsid w:val="00F603E7"/>
    <w:rsid w:val="00F60FAF"/>
    <w:rsid w:val="00F61260"/>
    <w:rsid w:val="00F61342"/>
    <w:rsid w:val="00F6139B"/>
    <w:rsid w:val="00F61890"/>
    <w:rsid w:val="00F61A23"/>
    <w:rsid w:val="00F61CC0"/>
    <w:rsid w:val="00F61F0F"/>
    <w:rsid w:val="00F627DF"/>
    <w:rsid w:val="00F62963"/>
    <w:rsid w:val="00F62B68"/>
    <w:rsid w:val="00F62F86"/>
    <w:rsid w:val="00F6355F"/>
    <w:rsid w:val="00F63850"/>
    <w:rsid w:val="00F63B18"/>
    <w:rsid w:val="00F6433A"/>
    <w:rsid w:val="00F64A92"/>
    <w:rsid w:val="00F64E93"/>
    <w:rsid w:val="00F656B8"/>
    <w:rsid w:val="00F6570C"/>
    <w:rsid w:val="00F6584F"/>
    <w:rsid w:val="00F659C1"/>
    <w:rsid w:val="00F65DBB"/>
    <w:rsid w:val="00F65E2C"/>
    <w:rsid w:val="00F65EBA"/>
    <w:rsid w:val="00F65F19"/>
    <w:rsid w:val="00F660AA"/>
    <w:rsid w:val="00F6646C"/>
    <w:rsid w:val="00F66BAA"/>
    <w:rsid w:val="00F66F98"/>
    <w:rsid w:val="00F6718B"/>
    <w:rsid w:val="00F7023E"/>
    <w:rsid w:val="00F7024B"/>
    <w:rsid w:val="00F702C5"/>
    <w:rsid w:val="00F702EF"/>
    <w:rsid w:val="00F703E0"/>
    <w:rsid w:val="00F704FE"/>
    <w:rsid w:val="00F70D39"/>
    <w:rsid w:val="00F71559"/>
    <w:rsid w:val="00F719D4"/>
    <w:rsid w:val="00F71C0A"/>
    <w:rsid w:val="00F71CE2"/>
    <w:rsid w:val="00F71E56"/>
    <w:rsid w:val="00F7225F"/>
    <w:rsid w:val="00F722EB"/>
    <w:rsid w:val="00F7262C"/>
    <w:rsid w:val="00F72D57"/>
    <w:rsid w:val="00F72F28"/>
    <w:rsid w:val="00F7308B"/>
    <w:rsid w:val="00F73259"/>
    <w:rsid w:val="00F7327F"/>
    <w:rsid w:val="00F7352A"/>
    <w:rsid w:val="00F73B1B"/>
    <w:rsid w:val="00F7465E"/>
    <w:rsid w:val="00F746AE"/>
    <w:rsid w:val="00F74939"/>
    <w:rsid w:val="00F74A1A"/>
    <w:rsid w:val="00F75143"/>
    <w:rsid w:val="00F75AF5"/>
    <w:rsid w:val="00F7624D"/>
    <w:rsid w:val="00F765A7"/>
    <w:rsid w:val="00F76882"/>
    <w:rsid w:val="00F76C9C"/>
    <w:rsid w:val="00F76D8D"/>
    <w:rsid w:val="00F76FB2"/>
    <w:rsid w:val="00F77087"/>
    <w:rsid w:val="00F7756D"/>
    <w:rsid w:val="00F775C5"/>
    <w:rsid w:val="00F77C1A"/>
    <w:rsid w:val="00F80B3C"/>
    <w:rsid w:val="00F80DE2"/>
    <w:rsid w:val="00F81286"/>
    <w:rsid w:val="00F8195D"/>
    <w:rsid w:val="00F81E5F"/>
    <w:rsid w:val="00F824A7"/>
    <w:rsid w:val="00F82AEA"/>
    <w:rsid w:val="00F82E89"/>
    <w:rsid w:val="00F83387"/>
    <w:rsid w:val="00F8391E"/>
    <w:rsid w:val="00F83BD1"/>
    <w:rsid w:val="00F83E33"/>
    <w:rsid w:val="00F8429B"/>
    <w:rsid w:val="00F842D4"/>
    <w:rsid w:val="00F8469F"/>
    <w:rsid w:val="00F8480B"/>
    <w:rsid w:val="00F85082"/>
    <w:rsid w:val="00F86005"/>
    <w:rsid w:val="00F862D5"/>
    <w:rsid w:val="00F86550"/>
    <w:rsid w:val="00F868BF"/>
    <w:rsid w:val="00F86BF1"/>
    <w:rsid w:val="00F86D9A"/>
    <w:rsid w:val="00F86DA9"/>
    <w:rsid w:val="00F86DB5"/>
    <w:rsid w:val="00F8748F"/>
    <w:rsid w:val="00F90155"/>
    <w:rsid w:val="00F90730"/>
    <w:rsid w:val="00F909B8"/>
    <w:rsid w:val="00F90C04"/>
    <w:rsid w:val="00F90F45"/>
    <w:rsid w:val="00F910F4"/>
    <w:rsid w:val="00F91867"/>
    <w:rsid w:val="00F92B2E"/>
    <w:rsid w:val="00F92EED"/>
    <w:rsid w:val="00F92FB4"/>
    <w:rsid w:val="00F930D8"/>
    <w:rsid w:val="00F932FF"/>
    <w:rsid w:val="00F93A89"/>
    <w:rsid w:val="00F93B6C"/>
    <w:rsid w:val="00F94532"/>
    <w:rsid w:val="00F9471B"/>
    <w:rsid w:val="00F94736"/>
    <w:rsid w:val="00F947B8"/>
    <w:rsid w:val="00F94A6F"/>
    <w:rsid w:val="00F94B00"/>
    <w:rsid w:val="00F94FD2"/>
    <w:rsid w:val="00F94FD8"/>
    <w:rsid w:val="00F94FEC"/>
    <w:rsid w:val="00F95426"/>
    <w:rsid w:val="00F961A2"/>
    <w:rsid w:val="00F96D7B"/>
    <w:rsid w:val="00F9707D"/>
    <w:rsid w:val="00F977FC"/>
    <w:rsid w:val="00F97896"/>
    <w:rsid w:val="00FA01B2"/>
    <w:rsid w:val="00FA028D"/>
    <w:rsid w:val="00FA05E7"/>
    <w:rsid w:val="00FA09FF"/>
    <w:rsid w:val="00FA0F3E"/>
    <w:rsid w:val="00FA12C6"/>
    <w:rsid w:val="00FA156F"/>
    <w:rsid w:val="00FA16E4"/>
    <w:rsid w:val="00FA1C99"/>
    <w:rsid w:val="00FA1F8D"/>
    <w:rsid w:val="00FA204E"/>
    <w:rsid w:val="00FA24BB"/>
    <w:rsid w:val="00FA2594"/>
    <w:rsid w:val="00FA2945"/>
    <w:rsid w:val="00FA29A5"/>
    <w:rsid w:val="00FA2D94"/>
    <w:rsid w:val="00FA3216"/>
    <w:rsid w:val="00FA3309"/>
    <w:rsid w:val="00FA39EC"/>
    <w:rsid w:val="00FA3B3B"/>
    <w:rsid w:val="00FA3FA4"/>
    <w:rsid w:val="00FA4016"/>
    <w:rsid w:val="00FA46BB"/>
    <w:rsid w:val="00FA4962"/>
    <w:rsid w:val="00FA4A2D"/>
    <w:rsid w:val="00FA4D70"/>
    <w:rsid w:val="00FA5021"/>
    <w:rsid w:val="00FA5404"/>
    <w:rsid w:val="00FA54AD"/>
    <w:rsid w:val="00FA55F4"/>
    <w:rsid w:val="00FA56E3"/>
    <w:rsid w:val="00FA5B0B"/>
    <w:rsid w:val="00FA5B0C"/>
    <w:rsid w:val="00FA5F1D"/>
    <w:rsid w:val="00FA5F4F"/>
    <w:rsid w:val="00FA6203"/>
    <w:rsid w:val="00FA65F0"/>
    <w:rsid w:val="00FA6683"/>
    <w:rsid w:val="00FA67DE"/>
    <w:rsid w:val="00FA6A5A"/>
    <w:rsid w:val="00FA6CF8"/>
    <w:rsid w:val="00FA6FA7"/>
    <w:rsid w:val="00FA7147"/>
    <w:rsid w:val="00FA74CB"/>
    <w:rsid w:val="00FA7709"/>
    <w:rsid w:val="00FA7985"/>
    <w:rsid w:val="00FA7F1B"/>
    <w:rsid w:val="00FB00E2"/>
    <w:rsid w:val="00FB010C"/>
    <w:rsid w:val="00FB0294"/>
    <w:rsid w:val="00FB03B5"/>
    <w:rsid w:val="00FB0B9C"/>
    <w:rsid w:val="00FB0D1C"/>
    <w:rsid w:val="00FB0DA3"/>
    <w:rsid w:val="00FB0DDB"/>
    <w:rsid w:val="00FB12F1"/>
    <w:rsid w:val="00FB1865"/>
    <w:rsid w:val="00FB1D76"/>
    <w:rsid w:val="00FB1D95"/>
    <w:rsid w:val="00FB22BC"/>
    <w:rsid w:val="00FB2843"/>
    <w:rsid w:val="00FB2915"/>
    <w:rsid w:val="00FB2B7E"/>
    <w:rsid w:val="00FB2BBA"/>
    <w:rsid w:val="00FB2C86"/>
    <w:rsid w:val="00FB2F2C"/>
    <w:rsid w:val="00FB2F46"/>
    <w:rsid w:val="00FB303A"/>
    <w:rsid w:val="00FB30C6"/>
    <w:rsid w:val="00FB325A"/>
    <w:rsid w:val="00FB33A9"/>
    <w:rsid w:val="00FB3447"/>
    <w:rsid w:val="00FB3696"/>
    <w:rsid w:val="00FB3926"/>
    <w:rsid w:val="00FB4076"/>
    <w:rsid w:val="00FB4728"/>
    <w:rsid w:val="00FB4777"/>
    <w:rsid w:val="00FB4A2A"/>
    <w:rsid w:val="00FB4AA7"/>
    <w:rsid w:val="00FB5146"/>
    <w:rsid w:val="00FB5605"/>
    <w:rsid w:val="00FB5801"/>
    <w:rsid w:val="00FB59EB"/>
    <w:rsid w:val="00FB5E4B"/>
    <w:rsid w:val="00FB5ED5"/>
    <w:rsid w:val="00FB60C4"/>
    <w:rsid w:val="00FB613D"/>
    <w:rsid w:val="00FB625E"/>
    <w:rsid w:val="00FB681C"/>
    <w:rsid w:val="00FB6C9C"/>
    <w:rsid w:val="00FB6E6D"/>
    <w:rsid w:val="00FB71C3"/>
    <w:rsid w:val="00FB769D"/>
    <w:rsid w:val="00FB77F0"/>
    <w:rsid w:val="00FB78CD"/>
    <w:rsid w:val="00FB7AB5"/>
    <w:rsid w:val="00FB7D90"/>
    <w:rsid w:val="00FC066E"/>
    <w:rsid w:val="00FC09AD"/>
    <w:rsid w:val="00FC0E08"/>
    <w:rsid w:val="00FC1ABB"/>
    <w:rsid w:val="00FC1ECB"/>
    <w:rsid w:val="00FC2886"/>
    <w:rsid w:val="00FC35F8"/>
    <w:rsid w:val="00FC3CB8"/>
    <w:rsid w:val="00FC3DE1"/>
    <w:rsid w:val="00FC46FB"/>
    <w:rsid w:val="00FC4747"/>
    <w:rsid w:val="00FC493B"/>
    <w:rsid w:val="00FC4E17"/>
    <w:rsid w:val="00FC4FB3"/>
    <w:rsid w:val="00FC5351"/>
    <w:rsid w:val="00FC5533"/>
    <w:rsid w:val="00FC5936"/>
    <w:rsid w:val="00FC5E49"/>
    <w:rsid w:val="00FC60A2"/>
    <w:rsid w:val="00FC6246"/>
    <w:rsid w:val="00FC62F0"/>
    <w:rsid w:val="00FC6A07"/>
    <w:rsid w:val="00FC6E03"/>
    <w:rsid w:val="00FC6EE7"/>
    <w:rsid w:val="00FC71E0"/>
    <w:rsid w:val="00FC7420"/>
    <w:rsid w:val="00FC7734"/>
    <w:rsid w:val="00FC7BC4"/>
    <w:rsid w:val="00FC7FB6"/>
    <w:rsid w:val="00FD065C"/>
    <w:rsid w:val="00FD06E7"/>
    <w:rsid w:val="00FD0D8B"/>
    <w:rsid w:val="00FD1051"/>
    <w:rsid w:val="00FD120D"/>
    <w:rsid w:val="00FD1980"/>
    <w:rsid w:val="00FD1B24"/>
    <w:rsid w:val="00FD20CD"/>
    <w:rsid w:val="00FD21F5"/>
    <w:rsid w:val="00FD243A"/>
    <w:rsid w:val="00FD255C"/>
    <w:rsid w:val="00FD2914"/>
    <w:rsid w:val="00FD2FF6"/>
    <w:rsid w:val="00FD320D"/>
    <w:rsid w:val="00FD3373"/>
    <w:rsid w:val="00FD3D8D"/>
    <w:rsid w:val="00FD40CA"/>
    <w:rsid w:val="00FD4212"/>
    <w:rsid w:val="00FD4C2A"/>
    <w:rsid w:val="00FD4D37"/>
    <w:rsid w:val="00FD4FD4"/>
    <w:rsid w:val="00FD51FE"/>
    <w:rsid w:val="00FD5370"/>
    <w:rsid w:val="00FD54DF"/>
    <w:rsid w:val="00FD5BE3"/>
    <w:rsid w:val="00FD5D8B"/>
    <w:rsid w:val="00FD6848"/>
    <w:rsid w:val="00FD6A17"/>
    <w:rsid w:val="00FD6DDC"/>
    <w:rsid w:val="00FD7752"/>
    <w:rsid w:val="00FD7CA7"/>
    <w:rsid w:val="00FE0167"/>
    <w:rsid w:val="00FE0526"/>
    <w:rsid w:val="00FE05E1"/>
    <w:rsid w:val="00FE0938"/>
    <w:rsid w:val="00FE0A24"/>
    <w:rsid w:val="00FE1039"/>
    <w:rsid w:val="00FE1184"/>
    <w:rsid w:val="00FE123F"/>
    <w:rsid w:val="00FE14DB"/>
    <w:rsid w:val="00FE150D"/>
    <w:rsid w:val="00FE1886"/>
    <w:rsid w:val="00FE18BD"/>
    <w:rsid w:val="00FE1E4A"/>
    <w:rsid w:val="00FE238F"/>
    <w:rsid w:val="00FE2407"/>
    <w:rsid w:val="00FE2DEF"/>
    <w:rsid w:val="00FE3502"/>
    <w:rsid w:val="00FE3596"/>
    <w:rsid w:val="00FE36A5"/>
    <w:rsid w:val="00FE3830"/>
    <w:rsid w:val="00FE3AE9"/>
    <w:rsid w:val="00FE3EFB"/>
    <w:rsid w:val="00FE423F"/>
    <w:rsid w:val="00FE42DC"/>
    <w:rsid w:val="00FE50A4"/>
    <w:rsid w:val="00FE50EC"/>
    <w:rsid w:val="00FE57DD"/>
    <w:rsid w:val="00FE58B4"/>
    <w:rsid w:val="00FE58DD"/>
    <w:rsid w:val="00FE5DC0"/>
    <w:rsid w:val="00FE6038"/>
    <w:rsid w:val="00FE635C"/>
    <w:rsid w:val="00FE66FC"/>
    <w:rsid w:val="00FE6E9D"/>
    <w:rsid w:val="00FE6FA8"/>
    <w:rsid w:val="00FE7519"/>
    <w:rsid w:val="00FE7627"/>
    <w:rsid w:val="00FE7A3E"/>
    <w:rsid w:val="00FE7CCC"/>
    <w:rsid w:val="00FE7E83"/>
    <w:rsid w:val="00FF00E8"/>
    <w:rsid w:val="00FF02B1"/>
    <w:rsid w:val="00FF02B2"/>
    <w:rsid w:val="00FF04E7"/>
    <w:rsid w:val="00FF06DF"/>
    <w:rsid w:val="00FF0AE7"/>
    <w:rsid w:val="00FF0EE1"/>
    <w:rsid w:val="00FF0F39"/>
    <w:rsid w:val="00FF11E2"/>
    <w:rsid w:val="00FF1205"/>
    <w:rsid w:val="00FF121C"/>
    <w:rsid w:val="00FF17F4"/>
    <w:rsid w:val="00FF1A6B"/>
    <w:rsid w:val="00FF1DEC"/>
    <w:rsid w:val="00FF1EF1"/>
    <w:rsid w:val="00FF1FA5"/>
    <w:rsid w:val="00FF212E"/>
    <w:rsid w:val="00FF2411"/>
    <w:rsid w:val="00FF258C"/>
    <w:rsid w:val="00FF2795"/>
    <w:rsid w:val="00FF2AA2"/>
    <w:rsid w:val="00FF2C42"/>
    <w:rsid w:val="00FF31DB"/>
    <w:rsid w:val="00FF33C2"/>
    <w:rsid w:val="00FF33D4"/>
    <w:rsid w:val="00FF356F"/>
    <w:rsid w:val="00FF3695"/>
    <w:rsid w:val="00FF393B"/>
    <w:rsid w:val="00FF3DA3"/>
    <w:rsid w:val="00FF426B"/>
    <w:rsid w:val="00FF4297"/>
    <w:rsid w:val="00FF462D"/>
    <w:rsid w:val="00FF502B"/>
    <w:rsid w:val="00FF57BA"/>
    <w:rsid w:val="00FF5A68"/>
    <w:rsid w:val="00FF5C25"/>
    <w:rsid w:val="00FF5E24"/>
    <w:rsid w:val="00FF64AD"/>
    <w:rsid w:val="00FF6663"/>
    <w:rsid w:val="00FF685B"/>
    <w:rsid w:val="00FF6BD9"/>
    <w:rsid w:val="00FF6C38"/>
    <w:rsid w:val="00FF6CA9"/>
    <w:rsid w:val="00FF6EBC"/>
    <w:rsid w:val="00FF7062"/>
    <w:rsid w:val="00FF7222"/>
    <w:rsid w:val="00FF737C"/>
    <w:rsid w:val="00FF73B1"/>
    <w:rsid w:val="00FF770A"/>
    <w:rsid w:val="3BBA0C70"/>
    <w:rsid w:val="6546881D"/>
  </w:rsids>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0C"/>
    <w:pPr>
      <w:widowControl w:val="0"/>
    </w:pPr>
    <w:rPr>
      <w:snapToGrid w:val="0"/>
      <w:kern w:val="28"/>
      <w:sz w:val="22"/>
      <w:szCs w:val="20"/>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F6570C"/>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F6570C"/>
    <w:pPr>
      <w:keepNext/>
      <w:numPr>
        <w:ilvl w:val="1"/>
        <w:numId w:val="1"/>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F6570C"/>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F6570C"/>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F6570C"/>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F6570C"/>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F6570C"/>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F6570C"/>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F6570C"/>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6570C"/>
    <w:pPr>
      <w:numPr>
        <w:numId w:val="11"/>
      </w:numPr>
      <w:tabs>
        <w:tab w:val="clear" w:pos="1080"/>
        <w:tab w:val="num" w:pos="1440"/>
      </w:tabs>
      <w:spacing w:after="120"/>
    </w:pPr>
  </w:style>
  <w:style w:type="paragraph" w:styleId="EndnoteText">
    <w:name w:val="endnote text"/>
    <w:basedOn w:val="Normal"/>
    <w:semiHidden/>
    <w:rsid w:val="00F6570C"/>
    <w:rPr>
      <w:sz w:val="20"/>
    </w:rPr>
  </w:style>
  <w:style w:type="character" w:styleId="EndnoteReference">
    <w:name w:val="endnote reference"/>
    <w:semiHidden/>
    <w:rsid w:val="00F6570C"/>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F6570C"/>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F6570C"/>
    <w:rPr>
      <w:rFonts w:ascii="Times New Roman" w:hAnsi="Times New Roman"/>
      <w:dstrike w:val="0"/>
      <w:color w:val="auto"/>
      <w:sz w:val="20"/>
      <w:vertAlign w:val="superscript"/>
    </w:rPr>
  </w:style>
  <w:style w:type="paragraph" w:styleId="TOC1">
    <w:name w:val="toc 1"/>
    <w:basedOn w:val="Normal"/>
    <w:next w:val="Normal"/>
    <w:rsid w:val="00F6570C"/>
    <w:pPr>
      <w:tabs>
        <w:tab w:val="left" w:pos="360"/>
        <w:tab w:val="right" w:leader="dot" w:pos="9360"/>
      </w:tabs>
      <w:suppressAutoHyphens/>
      <w:ind w:left="360" w:right="720" w:hanging="360"/>
    </w:pPr>
    <w:rPr>
      <w:caps/>
      <w:noProof/>
    </w:rPr>
  </w:style>
  <w:style w:type="paragraph" w:styleId="TOC2">
    <w:name w:val="toc 2"/>
    <w:basedOn w:val="Normal"/>
    <w:next w:val="Normal"/>
    <w:rsid w:val="00F6570C"/>
    <w:pPr>
      <w:tabs>
        <w:tab w:val="left" w:pos="720"/>
        <w:tab w:val="right" w:leader="dot" w:pos="9360"/>
      </w:tabs>
      <w:suppressAutoHyphens/>
      <w:ind w:left="720" w:right="720" w:hanging="360"/>
    </w:pPr>
    <w:rPr>
      <w:noProof/>
    </w:rPr>
  </w:style>
  <w:style w:type="paragraph" w:styleId="TOC3">
    <w:name w:val="toc 3"/>
    <w:basedOn w:val="Normal"/>
    <w:next w:val="Normal"/>
    <w:rsid w:val="00F657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57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57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57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57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57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57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570C"/>
    <w:pPr>
      <w:tabs>
        <w:tab w:val="right" w:pos="9360"/>
      </w:tabs>
      <w:suppressAutoHyphens/>
    </w:pPr>
  </w:style>
  <w:style w:type="character" w:customStyle="1" w:styleId="EquationCaption">
    <w:name w:val="_Equation Caption"/>
    <w:rsid w:val="00F6570C"/>
  </w:style>
  <w:style w:type="paragraph" w:styleId="Header">
    <w:name w:val="header"/>
    <w:basedOn w:val="Normal"/>
    <w:link w:val="HeaderChar"/>
    <w:autoRedefine/>
    <w:rsid w:val="00F6570C"/>
    <w:pPr>
      <w:tabs>
        <w:tab w:val="center" w:pos="4680"/>
        <w:tab w:val="right" w:pos="9360"/>
      </w:tabs>
    </w:pPr>
    <w:rPr>
      <w:b/>
    </w:rPr>
  </w:style>
  <w:style w:type="paragraph" w:styleId="Footer">
    <w:name w:val="footer"/>
    <w:basedOn w:val="Normal"/>
    <w:link w:val="FooterChar"/>
    <w:rsid w:val="00F6570C"/>
    <w:pPr>
      <w:tabs>
        <w:tab w:val="center" w:pos="4320"/>
        <w:tab w:val="right" w:pos="8640"/>
      </w:tabs>
    </w:pPr>
  </w:style>
  <w:style w:type="character" w:styleId="PageNumber">
    <w:name w:val="page number"/>
    <w:basedOn w:val="DefaultParagraphFont"/>
    <w:rsid w:val="00F6570C"/>
  </w:style>
  <w:style w:type="paragraph" w:styleId="BlockText">
    <w:name w:val="Block Text"/>
    <w:basedOn w:val="Normal"/>
    <w:rsid w:val="00F6570C"/>
    <w:pPr>
      <w:spacing w:after="240"/>
      <w:ind w:left="1440" w:right="1440"/>
    </w:pPr>
  </w:style>
  <w:style w:type="paragraph" w:customStyle="1" w:styleId="Paratitle">
    <w:name w:val="Para title"/>
    <w:basedOn w:val="Normal"/>
    <w:rsid w:val="00F6570C"/>
    <w:pPr>
      <w:tabs>
        <w:tab w:val="center" w:pos="9270"/>
      </w:tabs>
      <w:spacing w:after="240"/>
    </w:pPr>
    <w:rPr>
      <w:spacing w:val="-2"/>
    </w:rPr>
  </w:style>
  <w:style w:type="paragraph" w:customStyle="1" w:styleId="Bullet">
    <w:name w:val="Bullet"/>
    <w:basedOn w:val="Normal"/>
    <w:rsid w:val="00F6570C"/>
    <w:pPr>
      <w:tabs>
        <w:tab w:val="left" w:pos="2160"/>
      </w:tabs>
      <w:spacing w:after="220"/>
      <w:ind w:left="2160" w:hanging="720"/>
    </w:pPr>
  </w:style>
  <w:style w:type="paragraph" w:customStyle="1" w:styleId="TableFormat">
    <w:name w:val="TableFormat"/>
    <w:basedOn w:val="Bullet"/>
    <w:rsid w:val="00F6570C"/>
    <w:pPr>
      <w:tabs>
        <w:tab w:val="clear" w:pos="2160"/>
        <w:tab w:val="left" w:pos="5040"/>
      </w:tabs>
      <w:ind w:left="5040" w:hanging="3600"/>
    </w:pPr>
  </w:style>
  <w:style w:type="paragraph" w:customStyle="1" w:styleId="TOCTitle">
    <w:name w:val="TOC Title"/>
    <w:basedOn w:val="Normal"/>
    <w:rsid w:val="00F6570C"/>
    <w:pPr>
      <w:spacing w:before="240" w:after="240"/>
      <w:jc w:val="center"/>
    </w:pPr>
    <w:rPr>
      <w:rFonts w:ascii="Times New Roman Bold" w:hAnsi="Times New Roman Bold"/>
      <w:b/>
      <w:caps/>
      <w:spacing w:val="-2"/>
    </w:rPr>
  </w:style>
  <w:style w:type="character" w:styleId="Hyperlink">
    <w:name w:val="Hyperlink"/>
    <w:rsid w:val="00F6570C"/>
    <w:rPr>
      <w:color w:val="0000FF"/>
      <w:u w:val="single"/>
    </w:rPr>
  </w:style>
  <w:style w:type="paragraph" w:styleId="ListBullet2">
    <w:name w:val="List Bullet 2"/>
    <w:basedOn w:val="Normal"/>
    <w:rsid w:val="002535E0"/>
    <w:pPr>
      <w:numPr>
        <w:numId w:val="2"/>
      </w:numPr>
      <w:ind w:left="360"/>
    </w:pPr>
    <w:rPr>
      <w:snapToGrid/>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2535E0"/>
    <w:rPr>
      <w:snapToGrid/>
      <w:sz w:val="20"/>
    </w:rPr>
  </w:style>
  <w:style w:type="paragraph" w:styleId="CommentSubject">
    <w:name w:val="annotation subject"/>
    <w:basedOn w:val="CommentText"/>
    <w:next w:val="CommentText"/>
    <w:semiHidden/>
    <w:rsid w:val="002535E0"/>
    <w:rPr>
      <w:b/>
      <w:bCs/>
    </w:rPr>
  </w:style>
  <w:style w:type="paragraph" w:styleId="BalloonText">
    <w:name w:val="Balloon Text"/>
    <w:basedOn w:val="Normal"/>
    <w:semiHidden/>
    <w:rsid w:val="002535E0"/>
    <w:rPr>
      <w:rFonts w:ascii="Tahoma" w:hAnsi="Tahoma" w:cs="Tahoma"/>
      <w:snapToGrid/>
      <w:sz w:val="16"/>
      <w:szCs w:val="16"/>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locked/>
    <w:rsid w:val="000F4FDF"/>
    <w:rPr>
      <w:sz w:val="20"/>
      <w:szCs w:val="20"/>
    </w:rPr>
  </w:style>
  <w:style w:type="character" w:customStyle="1" w:styleId="FootnoteTextChar1Char1">
    <w:name w:val="Footnote Text Char1 Char1"/>
    <w:aliases w:val="Footnote Text Char Char1 Char Char Char Char Char1,Footnote Text Char Char1 Char Char Char1,Footnote Text Char2 Char Char Char1,Footnote Text Char2 Char Char1 Char Char Char1,Footnote Text Char3 Char Char1,fn Char Char"/>
    <w:semiHidden/>
    <w:rsid w:val="002535E0"/>
  </w:style>
  <w:style w:type="paragraph" w:customStyle="1" w:styleId="NumberedList">
    <w:name w:val="Numbered List"/>
    <w:basedOn w:val="Normal"/>
    <w:rsid w:val="002535E0"/>
    <w:pPr>
      <w:tabs>
        <w:tab w:val="num" w:pos="1080"/>
      </w:tabs>
      <w:spacing w:after="220"/>
      <w:ind w:firstLine="720"/>
    </w:pPr>
    <w:rPr>
      <w:snapToGrid/>
    </w:rPr>
  </w:style>
  <w:style w:type="character" w:customStyle="1" w:styleId="Heading2Char">
    <w:name w:val="Heading 2 Char"/>
    <w:aliases w:val="Char Char3,Heading 2 Char Char1 Char Char Char Char Char Char,Heading 2 Char Char1 Char Char Char Char1,Heading 2 Char Char3 Char Char1,Heading 2 Char1 Char Char Char Char1,Heading 2 Char1 Char Char1,Heading 2 Char1 Char2"/>
    <w:link w:val="Heading2"/>
    <w:locked/>
    <w:rsid w:val="003B11E7"/>
    <w:rPr>
      <w:b/>
      <w:snapToGrid w:val="0"/>
      <w:kern w:val="28"/>
      <w:sz w:val="22"/>
      <w:szCs w:val="20"/>
    </w:rPr>
  </w:style>
  <w:style w:type="paragraph" w:styleId="ListNumber">
    <w:name w:val="List Number"/>
    <w:basedOn w:val="Normal"/>
    <w:rsid w:val="002535E0"/>
    <w:pPr>
      <w:numPr>
        <w:numId w:val="4"/>
      </w:numPr>
      <w:contextualSpacing/>
    </w:pPr>
    <w:rPr>
      <w:snapToGrid/>
    </w:rPr>
  </w:style>
  <w:style w:type="character" w:styleId="Strong">
    <w:name w:val="Strong"/>
    <w:qFormat/>
    <w:rsid w:val="002535E0"/>
    <w:rPr>
      <w:rFonts w:cs="Times New Roman"/>
      <w:b/>
      <w:bCs/>
    </w:rPr>
  </w:style>
  <w:style w:type="paragraph" w:styleId="NormalWeb">
    <w:name w:val="Normal (Web)"/>
    <w:basedOn w:val="Normal"/>
    <w:rsid w:val="002535E0"/>
    <w:rPr>
      <w:snapToGrid/>
    </w:rPr>
  </w:style>
  <w:style w:type="paragraph" w:styleId="DocumentMap">
    <w:name w:val="Document Map"/>
    <w:basedOn w:val="Normal"/>
    <w:semiHidden/>
    <w:rsid w:val="002535E0"/>
    <w:pPr>
      <w:shd w:val="clear" w:color="auto" w:fill="000080"/>
    </w:pPr>
    <w:rPr>
      <w:rFonts w:ascii="Tahoma" w:hAnsi="Tahoma" w:cs="Tahoma"/>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2535E0"/>
    <w:pPr>
      <w:numPr>
        <w:numId w:val="5"/>
      </w:numPr>
    </w:pPr>
    <w:rPr>
      <w:snapToGrid/>
    </w:rPr>
  </w:style>
  <w:style w:type="paragraph" w:styleId="ListNumber2">
    <w:name w:val="List Number 2"/>
    <w:basedOn w:val="Normal"/>
    <w:unhideWhenUsed/>
    <w:rsid w:val="002535E0"/>
    <w:pPr>
      <w:numPr>
        <w:numId w:val="6"/>
      </w:numPr>
      <w:contextualSpacing/>
    </w:pPr>
    <w:rPr>
      <w:snapToGrid/>
    </w:rPr>
  </w:style>
  <w:style w:type="paragraph" w:styleId="ListNumber3">
    <w:name w:val="List Number 3"/>
    <w:basedOn w:val="Normal"/>
    <w:unhideWhenUsed/>
    <w:rsid w:val="002535E0"/>
    <w:pPr>
      <w:numPr>
        <w:numId w:val="7"/>
      </w:numPr>
      <w:spacing w:after="240"/>
    </w:pPr>
    <w:rPr>
      <w:snapToGrid/>
    </w:rPr>
  </w:style>
  <w:style w:type="paragraph" w:styleId="ListNumber4">
    <w:name w:val="List Number 4"/>
    <w:basedOn w:val="Normal"/>
    <w:unhideWhenUsed/>
    <w:rsid w:val="002535E0"/>
    <w:pPr>
      <w:numPr>
        <w:numId w:val="8"/>
      </w:numPr>
      <w:spacing w:after="240"/>
      <w:ind w:left="1800"/>
    </w:pPr>
    <w:rPr>
      <w:snapToGrid/>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2535E0"/>
    <w:pPr>
      <w:numPr>
        <w:numId w:val="10"/>
      </w:numPr>
      <w:spacing w:after="220"/>
    </w:pPr>
    <w:rPr>
      <w:snapToGrid/>
    </w:rPr>
  </w:style>
  <w:style w:type="character" w:customStyle="1" w:styleId="CharChar1">
    <w:name w:val="Char Char1"/>
    <w:semiHidden/>
    <w:locked/>
    <w:rsid w:val="002535E0"/>
    <w:rPr>
      <w:lang w:val="en-US" w:eastAsia="en-US" w:bidi="ar-SA"/>
    </w:rPr>
  </w:style>
  <w:style w:type="character" w:customStyle="1" w:styleId="Heading4Char">
    <w:name w:val="Heading 4 Char"/>
    <w:aliases w:val="Heading 4 Char Char Char Char1,Heading 4 Char Char Char2,Heading 4 Char Char1 Char Ch Char,Heading 4 Char Char1 Char1,Heading 4 Char1 Char Char1,Heading 4 Char1 Char1 Char Char Char,Heading 4 Char1 Char1 Char1,Heading 4 Char1 Char3"/>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535E0"/>
    <w:pPr>
      <w:spacing w:before="120" w:after="120"/>
    </w:pPr>
    <w:rPr>
      <w:b/>
      <w:snapToGrid/>
    </w:rPr>
  </w:style>
  <w:style w:type="paragraph" w:styleId="Title">
    <w:name w:val="Title"/>
    <w:basedOn w:val="Normal"/>
    <w:qFormat/>
    <w:rsid w:val="002535E0"/>
    <w:pPr>
      <w:jc w:val="center"/>
    </w:pPr>
    <w:rPr>
      <w:b/>
      <w:snapToGrid/>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0C51D0"/>
    <w:rPr>
      <w:rFonts w:ascii="Times New Roman Bold" w:hAnsi="Times New Roman Bold"/>
      <w:b/>
      <w:caps/>
      <w:snapToGrid w:val="0"/>
      <w:kern w:val="28"/>
      <w:sz w:val="22"/>
      <w:szCs w:val="20"/>
    </w:rPr>
  </w:style>
  <w:style w:type="paragraph" w:styleId="BodyText">
    <w:name w:val="Body Text"/>
    <w:basedOn w:val="Normal"/>
    <w:rsid w:val="002535E0"/>
  </w:style>
  <w:style w:type="paragraph" w:styleId="Subtitle">
    <w:name w:val="Subtitle"/>
    <w:basedOn w:val="Normal"/>
    <w:qFormat/>
    <w:rsid w:val="002535E0"/>
    <w:pPr>
      <w:spacing w:after="60"/>
      <w:jc w:val="center"/>
      <w:outlineLvl w:val="1"/>
    </w:pPr>
    <w:rPr>
      <w:rFonts w:ascii="Arial" w:hAnsi="Arial" w:cs="Arial"/>
      <w:snapToGrid/>
    </w:rPr>
  </w:style>
  <w:style w:type="paragraph" w:customStyle="1" w:styleId="Byline">
    <w:name w:val="Byline"/>
    <w:basedOn w:val="BodyText"/>
    <w:rsid w:val="002535E0"/>
  </w:style>
  <w:style w:type="paragraph" w:customStyle="1" w:styleId="ReferenceLine">
    <w:name w:val="Reference Line"/>
    <w:basedOn w:val="BodyText"/>
    <w:rsid w:val="002535E0"/>
  </w:style>
  <w:style w:type="paragraph" w:styleId="HTMLPreformatted">
    <w:name w:val="HTML Preformatted"/>
    <w:basedOn w:val="Normal"/>
    <w:rsid w:val="0025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34"/>
    <w:qFormat/>
    <w:rsid w:val="001D2E62"/>
    <w:pPr>
      <w:ind w:left="720"/>
      <w:contextualSpacing/>
    </w:pPr>
    <w:rPr>
      <w:snapToGrid/>
    </w:r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snapToGrid/>
    </w:rPr>
  </w:style>
  <w:style w:type="character" w:customStyle="1" w:styleId="FooterChar">
    <w:name w:val="Footer Char"/>
    <w:link w:val="Footer"/>
    <w:rsid w:val="0043384D"/>
    <w:rPr>
      <w:snapToGrid w:val="0"/>
      <w:kern w:val="28"/>
      <w:sz w:val="22"/>
      <w:szCs w:val="20"/>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F6570C"/>
    <w:pPr>
      <w:jc w:val="center"/>
    </w:pPr>
    <w:rPr>
      <w:rFonts w:ascii="Times New Roman Bold" w:hAnsi="Times New Roman Bold"/>
      <w:b/>
      <w:bCs/>
      <w:caps/>
      <w:szCs w:val="22"/>
    </w:rPr>
  </w:style>
  <w:style w:type="character" w:customStyle="1" w:styleId="FootnoteTextChar1Char">
    <w:name w:val="Footnote Text Char1 Char"/>
    <w:aliases w:val="ALTS FOOTNOTE Char,Footnote Text Char Char Char,Footnote Text Char Char1,Footnote Text Char2 Char Char Char,Footnote Text Char3 Char1 Char Char Char,Footnote Text Char3 Char1 Char Char Char Char Char,fn Char1 Char,fn Char2"/>
    <w:rsid w:val="00F44275"/>
    <w:rPr>
      <w:lang w:val="en-US" w:eastAsia="en-US" w:bidi="ar-SA"/>
    </w:rPr>
  </w:style>
  <w:style w:type="character" w:customStyle="1" w:styleId="Heading2Char2">
    <w:name w:val="Heading 2 Char2"/>
    <w:aliases w:val="Char Char2,Heading 2 Char Char,Heading 2 Char Char1 Char Char Char Char,Heading 2 Char Char3 Char Char,Heading 2 Char1 Char Char,Heading 2 Char1 Char Char Char Char,Heading 2 Char1 Char Char Char Char Char Char,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napToGrid/>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 Char Char Char,Footnote Text Char Char Char Char Char Char,Footnote Text Char1 Char Char,Footnote Text Char1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 Char Char Char,Heading 4 Char Char Char1,Heading 4 Char Char1 Char,Heading 4 Char Char2,Heading 4 Char1 Char Char,Heading 4 Char1 Char1 Char,Heading 4 Char1 Char2,Heading 4 Char2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napToGrid/>
    </w:rPr>
  </w:style>
  <w:style w:type="paragraph" w:customStyle="1" w:styleId="Style30">
    <w:name w:val="Style3"/>
    <w:basedOn w:val="Normal"/>
    <w:next w:val="ListBullet3"/>
    <w:autoRedefine/>
    <w:rsid w:val="00F44275"/>
    <w:rPr>
      <w:snapToGrid/>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F44275"/>
    <w:rPr>
      <w:rFonts w:eastAsia="MS Mincho"/>
      <w:snapToGrid/>
      <w:lang w:eastAsia="ja-JP"/>
    </w:rPr>
  </w:style>
  <w:style w:type="character" w:customStyle="1" w:styleId="EquationCa">
    <w:name w:val="_Equation Ca"/>
    <w:rsid w:val="00F44275"/>
  </w:style>
  <w:style w:type="character" w:customStyle="1" w:styleId="HeaderChar">
    <w:name w:val="Header Char"/>
    <w:basedOn w:val="DefaultParagraphFont"/>
    <w:link w:val="Header"/>
    <w:rsid w:val="00D2122E"/>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D8176D"/>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Heading2Char11">
    <w:name w:val="Heading 2 Char11"/>
    <w:basedOn w:val="Normal"/>
    <w:next w:val="Normal"/>
    <w:autoRedefine/>
    <w:qFormat/>
    <w:rsid w:val="002A01CF"/>
    <w:pPr>
      <w:keepNext/>
      <w:tabs>
        <w:tab w:val="num" w:pos="1440"/>
      </w:tabs>
      <w:spacing w:before="120" w:after="120"/>
      <w:ind w:left="1440" w:hanging="720"/>
      <w:outlineLvl w:val="1"/>
    </w:pPr>
    <w:rPr>
      <w:b/>
      <w:color w:val="000000"/>
    </w:rPr>
  </w:style>
  <w:style w:type="paragraph" w:styleId="ListBullet">
    <w:name w:val="List Bullet"/>
    <w:basedOn w:val="Normal"/>
    <w:uiPriority w:val="99"/>
    <w:unhideWhenUsed/>
    <w:rsid w:val="00F03972"/>
    <w:pPr>
      <w:numPr>
        <w:numId w:val="12"/>
      </w:numPr>
      <w:spacing w:after="200" w:line="276" w:lineRule="auto"/>
      <w:contextualSpacing/>
    </w:pPr>
    <w:rPr>
      <w:rFonts w:asciiTheme="minorHAnsi" w:hAnsiTheme="minorHAnsi" w:cstheme="minorBidi"/>
    </w:rPr>
  </w:style>
  <w:style w:type="character" w:customStyle="1" w:styleId="Bodytext2">
    <w:name w:val="Body text (2)_"/>
    <w:basedOn w:val="DefaultParagraphFont"/>
    <w:link w:val="Bodytext21"/>
    <w:uiPriority w:val="99"/>
    <w:rsid w:val="00474F2D"/>
    <w:rPr>
      <w:rFonts w:ascii="Arial" w:hAnsi="Arial" w:cs="Arial"/>
      <w:sz w:val="20"/>
      <w:szCs w:val="20"/>
      <w:shd w:val="clear" w:color="auto" w:fill="FFFFFF"/>
    </w:rPr>
  </w:style>
  <w:style w:type="character" w:customStyle="1" w:styleId="Bodytext20">
    <w:name w:val="Body text (2)"/>
    <w:basedOn w:val="Bodytext2"/>
    <w:uiPriority w:val="99"/>
    <w:rsid w:val="00474F2D"/>
    <w:rPr>
      <w:rFonts w:ascii="Arial" w:hAnsi="Arial" w:cs="Arial"/>
      <w:color w:val="5A5A5A"/>
      <w:sz w:val="20"/>
      <w:szCs w:val="20"/>
      <w:shd w:val="clear" w:color="auto" w:fill="FFFFFF"/>
    </w:rPr>
  </w:style>
  <w:style w:type="paragraph" w:customStyle="1" w:styleId="Bodytext21">
    <w:name w:val="Body text (2)1"/>
    <w:basedOn w:val="Normal"/>
    <w:link w:val="Bodytext2"/>
    <w:uiPriority w:val="99"/>
    <w:rsid w:val="00474F2D"/>
    <w:pPr>
      <w:shd w:val="clear" w:color="auto" w:fill="FFFFFF"/>
      <w:spacing w:line="240" w:lineRule="atLeast"/>
      <w:ind w:hanging="10"/>
    </w:pPr>
    <w:rPr>
      <w:rFonts w:ascii="Arial" w:hAnsi="Arial" w:cs="Arial"/>
      <w:snapToGrid/>
      <w:sz w:val="20"/>
    </w:rPr>
  </w:style>
  <w:style w:type="character" w:customStyle="1" w:styleId="Headerorfooter">
    <w:name w:val="Header or footer_"/>
    <w:basedOn w:val="DefaultParagraphFont"/>
    <w:link w:val="Headerorfooter1"/>
    <w:uiPriority w:val="99"/>
    <w:rsid w:val="00474F2D"/>
    <w:rPr>
      <w:rFonts w:ascii="Arial" w:hAnsi="Arial" w:cs="Arial"/>
      <w:b/>
      <w:bCs/>
      <w:sz w:val="19"/>
      <w:szCs w:val="19"/>
      <w:shd w:val="clear" w:color="auto" w:fill="FFFFFF"/>
    </w:rPr>
  </w:style>
  <w:style w:type="character" w:customStyle="1" w:styleId="Headerorfooter2">
    <w:name w:val="Header or footer (2)"/>
    <w:basedOn w:val="DefaultParagraphFont"/>
    <w:uiPriority w:val="99"/>
    <w:rsid w:val="00474F2D"/>
    <w:rPr>
      <w:rFonts w:ascii="Arial" w:hAnsi="Arial" w:cs="Arial"/>
      <w:b/>
      <w:bCs/>
      <w:color w:val="5A5A5A"/>
      <w:sz w:val="21"/>
      <w:szCs w:val="21"/>
      <w:u w:val="single"/>
    </w:rPr>
  </w:style>
  <w:style w:type="character" w:customStyle="1" w:styleId="Headerorfooter21">
    <w:name w:val="Header or footer (2)1"/>
    <w:basedOn w:val="DefaultParagraphFont"/>
    <w:uiPriority w:val="99"/>
    <w:rsid w:val="00474F2D"/>
    <w:rPr>
      <w:rFonts w:ascii="Arial" w:hAnsi="Arial" w:cs="Arial"/>
      <w:b/>
      <w:bCs/>
      <w:color w:val="5A5A5A"/>
      <w:sz w:val="21"/>
      <w:szCs w:val="21"/>
      <w:u w:val="none"/>
    </w:rPr>
  </w:style>
  <w:style w:type="paragraph" w:customStyle="1" w:styleId="Headerorfooter1">
    <w:name w:val="Header or footer1"/>
    <w:basedOn w:val="Normal"/>
    <w:link w:val="Headerorfooter"/>
    <w:uiPriority w:val="99"/>
    <w:rsid w:val="00474F2D"/>
    <w:pPr>
      <w:shd w:val="clear" w:color="auto" w:fill="FFFFFF"/>
      <w:spacing w:line="240" w:lineRule="atLeast"/>
      <w:ind w:firstLine="34"/>
    </w:pPr>
    <w:rPr>
      <w:rFonts w:ascii="Arial" w:hAnsi="Arial" w:cs="Arial"/>
      <w:b/>
      <w:bCs/>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F0AA-5FC3-483E-B431-05156F35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6684</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2018-02-28T21:46:26Z</dcterms:created>
  <dcterms:modified xsi:type="dcterms:W3CDTF">2018-02-28T21:46:26Z</dcterms:modified>
</cp:coreProperties>
</file>