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50150" w:rsidRPr="009614B0" w:rsidP="00BC5E66">
      <w:pPr>
        <w:ind w:left="5040"/>
        <w:jc w:val="center"/>
        <w:rPr>
          <w:b/>
          <w:szCs w:val="22"/>
        </w:rPr>
      </w:pPr>
      <w:bookmarkStart w:id="0" w:name="_GoBack"/>
      <w:bookmarkEnd w:id="0"/>
      <w:r w:rsidRPr="009614B0">
        <w:rPr>
          <w:b/>
          <w:szCs w:val="22"/>
        </w:rPr>
        <w:t>DA 1</w:t>
      </w:r>
      <w:r w:rsidR="007A0A87">
        <w:rPr>
          <w:b/>
          <w:szCs w:val="22"/>
        </w:rPr>
        <w:t>8</w:t>
      </w:r>
      <w:r w:rsidRPr="009614B0">
        <w:rPr>
          <w:b/>
          <w:szCs w:val="22"/>
        </w:rPr>
        <w:t>-</w:t>
      </w:r>
      <w:r w:rsidR="00BB1351">
        <w:rPr>
          <w:b/>
          <w:szCs w:val="22"/>
        </w:rPr>
        <w:t>223</w:t>
      </w:r>
    </w:p>
    <w:p w:rsidR="00750150" w:rsidP="00AB13F9">
      <w:pPr>
        <w:spacing w:after="120"/>
        <w:ind w:left="6480"/>
        <w:rPr>
          <w:b/>
          <w:szCs w:val="22"/>
        </w:rPr>
      </w:pPr>
      <w:r>
        <w:rPr>
          <w:b/>
          <w:szCs w:val="22"/>
        </w:rPr>
        <w:t xml:space="preserve">   </w:t>
      </w:r>
      <w:r w:rsidR="00BB1351">
        <w:rPr>
          <w:b/>
          <w:szCs w:val="22"/>
        </w:rPr>
        <w:t xml:space="preserve"> </w:t>
      </w:r>
      <w:r w:rsidRPr="009614B0" w:rsidR="00F41547">
        <w:rPr>
          <w:b/>
          <w:szCs w:val="22"/>
        </w:rPr>
        <w:t xml:space="preserve">Released:  </w:t>
      </w:r>
      <w:r>
        <w:rPr>
          <w:b/>
          <w:szCs w:val="22"/>
        </w:rPr>
        <w:t>March</w:t>
      </w:r>
      <w:r w:rsidRPr="009614B0">
        <w:rPr>
          <w:b/>
          <w:szCs w:val="22"/>
        </w:rPr>
        <w:t xml:space="preserve"> </w:t>
      </w:r>
      <w:r w:rsidR="0087757F">
        <w:rPr>
          <w:b/>
          <w:szCs w:val="22"/>
        </w:rPr>
        <w:t>8</w:t>
      </w:r>
      <w:r w:rsidRPr="009614B0" w:rsidR="00F41547">
        <w:rPr>
          <w:b/>
          <w:szCs w:val="22"/>
        </w:rPr>
        <w:t>, 201</w:t>
      </w:r>
      <w:r w:rsidR="007A0A87">
        <w:rPr>
          <w:b/>
          <w:szCs w:val="22"/>
        </w:rPr>
        <w:t>8</w:t>
      </w:r>
    </w:p>
    <w:p w:rsidR="00750150" w:rsidRPr="009614B0" w:rsidP="00750150">
      <w:pPr>
        <w:spacing w:after="240"/>
        <w:jc w:val="center"/>
        <w:rPr>
          <w:b/>
          <w:caps/>
          <w:szCs w:val="22"/>
        </w:rPr>
      </w:pPr>
      <w:r w:rsidRPr="009614B0">
        <w:rPr>
          <w:b/>
          <w:caps/>
          <w:szCs w:val="22"/>
        </w:rPr>
        <w:t xml:space="preserve">INCENTIVE AUCTION TASK FORCE </w:t>
      </w:r>
      <w:r w:rsidRPr="009614B0" w:rsidR="00875A4B">
        <w:rPr>
          <w:b/>
          <w:caps/>
          <w:szCs w:val="22"/>
        </w:rPr>
        <w:t xml:space="preserve">AND MEDIA BUREAU </w:t>
      </w:r>
      <w:r w:rsidRPr="009614B0" w:rsidR="005641CE">
        <w:rPr>
          <w:b/>
          <w:caps/>
          <w:szCs w:val="22"/>
        </w:rPr>
        <w:t xml:space="preserve">ANNOUNCE </w:t>
      </w:r>
      <w:r w:rsidR="007A0A87">
        <w:rPr>
          <w:b/>
          <w:caps/>
          <w:szCs w:val="22"/>
        </w:rPr>
        <w:t>A</w:t>
      </w:r>
      <w:r w:rsidR="008F5C72">
        <w:rPr>
          <w:b/>
          <w:caps/>
          <w:szCs w:val="22"/>
        </w:rPr>
        <w:t xml:space="preserve"> FORTHCOMING </w:t>
      </w:r>
      <w:r w:rsidR="00872D47">
        <w:rPr>
          <w:b/>
          <w:caps/>
          <w:szCs w:val="22"/>
        </w:rPr>
        <w:t>ADDITIONAL</w:t>
      </w:r>
      <w:r w:rsidR="007A0A87">
        <w:rPr>
          <w:b/>
          <w:caps/>
          <w:szCs w:val="22"/>
        </w:rPr>
        <w:t xml:space="preserve"> REIMBURSEMENT</w:t>
      </w:r>
      <w:r w:rsidR="00367EFD">
        <w:rPr>
          <w:b/>
          <w:caps/>
          <w:szCs w:val="22"/>
        </w:rPr>
        <w:t xml:space="preserve"> </w:t>
      </w:r>
      <w:r w:rsidRPr="009614B0" w:rsidR="0060582D">
        <w:rPr>
          <w:b/>
          <w:caps/>
          <w:szCs w:val="22"/>
        </w:rPr>
        <w:t>ALLOCATION</w:t>
      </w:r>
      <w:r w:rsidRPr="009614B0" w:rsidR="00C7091D">
        <w:rPr>
          <w:b/>
          <w:caps/>
          <w:szCs w:val="22"/>
        </w:rPr>
        <w:t xml:space="preserve"> for </w:t>
      </w:r>
      <w:r w:rsidR="00367EFD">
        <w:rPr>
          <w:b/>
          <w:caps/>
          <w:szCs w:val="22"/>
        </w:rPr>
        <w:t>Eligible BROADCASTERS</w:t>
      </w:r>
      <w:r w:rsidRPr="009614B0" w:rsidR="00C7091D">
        <w:rPr>
          <w:b/>
          <w:caps/>
          <w:szCs w:val="22"/>
        </w:rPr>
        <w:t xml:space="preserve"> and MVPDs</w:t>
      </w:r>
      <w:r w:rsidRPr="009614B0" w:rsidR="00241C4F">
        <w:rPr>
          <w:b/>
          <w:caps/>
          <w:szCs w:val="22"/>
        </w:rPr>
        <w:t xml:space="preserve"> </w:t>
      </w:r>
    </w:p>
    <w:p w:rsidR="00750150" w:rsidRPr="009614B0" w:rsidP="00750150">
      <w:pPr>
        <w:jc w:val="center"/>
        <w:rPr>
          <w:b/>
          <w:szCs w:val="22"/>
        </w:rPr>
      </w:pPr>
      <w:r w:rsidRPr="009614B0">
        <w:rPr>
          <w:b/>
          <w:szCs w:val="22"/>
        </w:rPr>
        <w:t>MB Docket No. 16-306</w:t>
      </w:r>
    </w:p>
    <w:p w:rsidR="00750150" w:rsidRPr="001806AE" w:rsidP="001806AE">
      <w:pPr>
        <w:spacing w:after="120"/>
        <w:jc w:val="center"/>
        <w:rPr>
          <w:b/>
          <w:szCs w:val="22"/>
        </w:rPr>
      </w:pPr>
      <w:r w:rsidRPr="009614B0">
        <w:rPr>
          <w:b/>
          <w:szCs w:val="22"/>
        </w:rPr>
        <w:t>GN Docket No. 12-26</w:t>
      </w:r>
      <w:r w:rsidR="001806AE">
        <w:rPr>
          <w:b/>
          <w:szCs w:val="22"/>
        </w:rPr>
        <w:t>8</w:t>
      </w:r>
    </w:p>
    <w:p w:rsidR="00CC144D" w:rsidP="00090364">
      <w:pPr>
        <w:spacing w:after="220"/>
        <w:ind w:firstLine="720"/>
        <w:rPr>
          <w:szCs w:val="22"/>
        </w:rPr>
      </w:pPr>
      <w:r>
        <w:rPr>
          <w:szCs w:val="22"/>
        </w:rPr>
        <w:t>T</w:t>
      </w:r>
      <w:r w:rsidRPr="009614B0">
        <w:rPr>
          <w:szCs w:val="22"/>
        </w:rPr>
        <w:t xml:space="preserve">he Incentive Auction Task Force and </w:t>
      </w:r>
      <w:r w:rsidRPr="009614B0" w:rsidR="009E1DD1">
        <w:rPr>
          <w:szCs w:val="22"/>
        </w:rPr>
        <w:t xml:space="preserve">the Media Bureau </w:t>
      </w:r>
      <w:r w:rsidRPr="009614B0" w:rsidR="00935F6C">
        <w:rPr>
          <w:szCs w:val="22"/>
        </w:rPr>
        <w:t>(Bureau)</w:t>
      </w:r>
      <w:r w:rsidR="00935F6C">
        <w:rPr>
          <w:szCs w:val="22"/>
        </w:rPr>
        <w:t xml:space="preserve"> </w:t>
      </w:r>
      <w:r w:rsidRPr="009614B0">
        <w:rPr>
          <w:szCs w:val="22"/>
        </w:rPr>
        <w:t xml:space="preserve">announce </w:t>
      </w:r>
      <w:r w:rsidR="00872D47">
        <w:rPr>
          <w:szCs w:val="22"/>
        </w:rPr>
        <w:t xml:space="preserve">that </w:t>
      </w:r>
      <w:r w:rsidR="007A0A87">
        <w:rPr>
          <w:szCs w:val="22"/>
        </w:rPr>
        <w:t xml:space="preserve">an additional allocation </w:t>
      </w:r>
      <w:r w:rsidR="0019642C">
        <w:rPr>
          <w:szCs w:val="22"/>
        </w:rPr>
        <w:t xml:space="preserve">of </w:t>
      </w:r>
      <w:r w:rsidR="00935E92">
        <w:rPr>
          <w:szCs w:val="22"/>
        </w:rPr>
        <w:t xml:space="preserve">the TV Broadcaster Relocation Fund (Fund) </w:t>
      </w:r>
      <w:r w:rsidR="00872D47">
        <w:rPr>
          <w:szCs w:val="22"/>
        </w:rPr>
        <w:t xml:space="preserve">is anticipated in approximately </w:t>
      </w:r>
      <w:r w:rsidR="00473760">
        <w:rPr>
          <w:szCs w:val="22"/>
        </w:rPr>
        <w:t>four to six weeks</w:t>
      </w:r>
      <w:r w:rsidR="00CD2180">
        <w:rPr>
          <w:szCs w:val="22"/>
        </w:rPr>
        <w:t xml:space="preserve"> </w:t>
      </w:r>
      <w:r w:rsidR="00B86087">
        <w:rPr>
          <w:szCs w:val="22"/>
        </w:rPr>
        <w:t xml:space="preserve">to </w:t>
      </w:r>
      <w:r w:rsidR="00872D47">
        <w:rPr>
          <w:szCs w:val="22"/>
        </w:rPr>
        <w:t>ensure</w:t>
      </w:r>
      <w:r w:rsidR="00CD2180">
        <w:rPr>
          <w:szCs w:val="22"/>
        </w:rPr>
        <w:t xml:space="preserve"> </w:t>
      </w:r>
      <w:r w:rsidR="00BA2C15">
        <w:rPr>
          <w:szCs w:val="22"/>
        </w:rPr>
        <w:t xml:space="preserve">that </w:t>
      </w:r>
      <w:r w:rsidR="00CD2180">
        <w:rPr>
          <w:szCs w:val="22"/>
        </w:rPr>
        <w:t xml:space="preserve">funding </w:t>
      </w:r>
      <w:r w:rsidR="00872D47">
        <w:rPr>
          <w:szCs w:val="22"/>
        </w:rPr>
        <w:t xml:space="preserve">continues to be available </w:t>
      </w:r>
      <w:r w:rsidR="00CD2180">
        <w:rPr>
          <w:szCs w:val="22"/>
        </w:rPr>
        <w:t xml:space="preserve">to </w:t>
      </w:r>
      <w:r w:rsidR="00935F6C">
        <w:rPr>
          <w:szCs w:val="22"/>
        </w:rPr>
        <w:t>reimburse</w:t>
      </w:r>
      <w:r w:rsidR="009E4FE5">
        <w:rPr>
          <w:szCs w:val="22"/>
        </w:rPr>
        <w:t xml:space="preserve"> </w:t>
      </w:r>
      <w:r w:rsidRPr="009614B0" w:rsidR="00935F6C">
        <w:rPr>
          <w:szCs w:val="22"/>
        </w:rPr>
        <w:t xml:space="preserve">eligible </w:t>
      </w:r>
      <w:r w:rsidR="005D032C">
        <w:rPr>
          <w:szCs w:val="22"/>
        </w:rPr>
        <w:t xml:space="preserve">full power and Class A </w:t>
      </w:r>
      <w:r w:rsidRPr="009614B0" w:rsidR="00935F6C">
        <w:rPr>
          <w:szCs w:val="22"/>
        </w:rPr>
        <w:t>broadcasters and multichannel video programming distributors (MVPDs</w:t>
      </w:r>
      <w:r w:rsidR="00C97CC6">
        <w:rPr>
          <w:szCs w:val="22"/>
        </w:rPr>
        <w:t>)</w:t>
      </w:r>
      <w:r w:rsidR="005D032C">
        <w:rPr>
          <w:szCs w:val="22"/>
        </w:rPr>
        <w:t xml:space="preserve"> </w:t>
      </w:r>
      <w:r w:rsidR="00C97CC6">
        <w:rPr>
          <w:szCs w:val="22"/>
        </w:rPr>
        <w:t>(</w:t>
      </w:r>
      <w:r w:rsidR="00513895">
        <w:rPr>
          <w:szCs w:val="22"/>
        </w:rPr>
        <w:t xml:space="preserve">together, </w:t>
      </w:r>
      <w:r w:rsidR="00363F80">
        <w:rPr>
          <w:szCs w:val="22"/>
        </w:rPr>
        <w:t>E</w:t>
      </w:r>
      <w:r w:rsidR="005D032C">
        <w:rPr>
          <w:szCs w:val="22"/>
        </w:rPr>
        <w:t xml:space="preserve">ligible </w:t>
      </w:r>
      <w:r w:rsidR="00363F80">
        <w:rPr>
          <w:szCs w:val="22"/>
        </w:rPr>
        <w:t>E</w:t>
      </w:r>
      <w:r w:rsidR="005D032C">
        <w:rPr>
          <w:szCs w:val="22"/>
        </w:rPr>
        <w:t>ntities</w:t>
      </w:r>
      <w:r w:rsidRPr="009614B0" w:rsidR="00935F6C">
        <w:rPr>
          <w:szCs w:val="22"/>
        </w:rPr>
        <w:t>)</w:t>
      </w:r>
      <w:r w:rsidR="00363F80">
        <w:rPr>
          <w:szCs w:val="22"/>
        </w:rPr>
        <w:t>,</w:t>
      </w:r>
      <w:r w:rsidR="009E4FE5">
        <w:rPr>
          <w:szCs w:val="22"/>
        </w:rPr>
        <w:t xml:space="preserve"> for expenses related to the construction of </w:t>
      </w:r>
      <w:r w:rsidR="00B315D5">
        <w:rPr>
          <w:szCs w:val="22"/>
        </w:rPr>
        <w:t xml:space="preserve">station </w:t>
      </w:r>
      <w:r w:rsidR="009E4FE5">
        <w:rPr>
          <w:szCs w:val="22"/>
        </w:rPr>
        <w:t>facilities</w:t>
      </w:r>
      <w:r w:rsidR="00B315D5">
        <w:rPr>
          <w:szCs w:val="22"/>
        </w:rPr>
        <w:t xml:space="preserve"> on reassigned channels</w:t>
      </w:r>
      <w:r w:rsidRPr="009614B0" w:rsidR="00935F6C">
        <w:rPr>
          <w:szCs w:val="22"/>
        </w:rPr>
        <w:t>.</w:t>
      </w:r>
      <w:r>
        <w:rPr>
          <w:rStyle w:val="FootnoteReference"/>
          <w:sz w:val="22"/>
          <w:szCs w:val="22"/>
        </w:rPr>
        <w:footnoteReference w:id="3"/>
      </w:r>
      <w:r w:rsidRPr="009614B0">
        <w:rPr>
          <w:szCs w:val="22"/>
        </w:rPr>
        <w:t xml:space="preserve"> </w:t>
      </w:r>
      <w:r>
        <w:rPr>
          <w:szCs w:val="22"/>
        </w:rPr>
        <w:t xml:space="preserve"> </w:t>
      </w:r>
      <w:r w:rsidR="0064627E">
        <w:rPr>
          <w:szCs w:val="22"/>
        </w:rPr>
        <w:t>Last Fall w</w:t>
      </w:r>
      <w:r w:rsidR="00872D47">
        <w:rPr>
          <w:szCs w:val="22"/>
        </w:rPr>
        <w:t xml:space="preserve">hen </w:t>
      </w:r>
      <w:r w:rsidR="0064627E">
        <w:rPr>
          <w:szCs w:val="22"/>
        </w:rPr>
        <w:t xml:space="preserve">we </w:t>
      </w:r>
      <w:r w:rsidR="00872D47">
        <w:rPr>
          <w:szCs w:val="22"/>
        </w:rPr>
        <w:t>announc</w:t>
      </w:r>
      <w:r w:rsidR="0064627E">
        <w:rPr>
          <w:szCs w:val="22"/>
        </w:rPr>
        <w:t>ed</w:t>
      </w:r>
      <w:r w:rsidR="00872D47">
        <w:rPr>
          <w:szCs w:val="22"/>
        </w:rPr>
        <w:t xml:space="preserve"> the initial allocation, we stated that we will </w:t>
      </w:r>
      <w:r w:rsidR="007A0A87">
        <w:rPr>
          <w:szCs w:val="22"/>
        </w:rPr>
        <w:t>“</w:t>
      </w:r>
      <w:r w:rsidR="007F6DA2">
        <w:rPr>
          <w:szCs w:val="22"/>
        </w:rPr>
        <w:t>monitor closely the draw-down of Fund amounts and allocate a</w:t>
      </w:r>
      <w:r w:rsidR="00BF0731">
        <w:rPr>
          <w:szCs w:val="22"/>
        </w:rPr>
        <w:t xml:space="preserve">dditional </w:t>
      </w:r>
      <w:r w:rsidR="007F6DA2">
        <w:rPr>
          <w:szCs w:val="22"/>
        </w:rPr>
        <w:t xml:space="preserve">amounts </w:t>
      </w:r>
      <w:r w:rsidR="00BF0731">
        <w:rPr>
          <w:szCs w:val="22"/>
        </w:rPr>
        <w:t>later in the transition period.</w:t>
      </w:r>
      <w:r w:rsidR="007A0A87">
        <w:rPr>
          <w:szCs w:val="22"/>
        </w:rPr>
        <w:t>”</w:t>
      </w:r>
      <w:r>
        <w:rPr>
          <w:rStyle w:val="FootnoteReference"/>
          <w:szCs w:val="22"/>
        </w:rPr>
        <w:footnoteReference w:id="4"/>
      </w:r>
      <w:r w:rsidR="00CD2180">
        <w:rPr>
          <w:szCs w:val="22"/>
        </w:rPr>
        <w:t xml:space="preserve"> </w:t>
      </w:r>
      <w:r w:rsidR="00872D47">
        <w:rPr>
          <w:szCs w:val="22"/>
        </w:rPr>
        <w:t xml:space="preserve"> Our</w:t>
      </w:r>
      <w:r w:rsidR="00CD2180">
        <w:rPr>
          <w:szCs w:val="22"/>
        </w:rPr>
        <w:t xml:space="preserve"> monitoring</w:t>
      </w:r>
      <w:r w:rsidR="00872D47">
        <w:rPr>
          <w:szCs w:val="22"/>
        </w:rPr>
        <w:t xml:space="preserve"> indicates </w:t>
      </w:r>
      <w:r w:rsidR="00CD2180">
        <w:rPr>
          <w:szCs w:val="22"/>
        </w:rPr>
        <w:t xml:space="preserve">it </w:t>
      </w:r>
      <w:r w:rsidR="00872D47">
        <w:rPr>
          <w:szCs w:val="22"/>
        </w:rPr>
        <w:t xml:space="preserve">is </w:t>
      </w:r>
      <w:r w:rsidR="0064627E">
        <w:rPr>
          <w:szCs w:val="22"/>
        </w:rPr>
        <w:t>appropriate</w:t>
      </w:r>
      <w:r w:rsidR="00CD2180">
        <w:rPr>
          <w:szCs w:val="22"/>
        </w:rPr>
        <w:t xml:space="preserve"> to release an additional allocation of the available Fund </w:t>
      </w:r>
      <w:r w:rsidR="00872D47">
        <w:rPr>
          <w:szCs w:val="22"/>
        </w:rPr>
        <w:t>as described herein</w:t>
      </w:r>
      <w:r w:rsidR="00CD2180">
        <w:rPr>
          <w:szCs w:val="22"/>
        </w:rPr>
        <w:t>.</w:t>
      </w:r>
      <w:r w:rsidR="00BC5626">
        <w:rPr>
          <w:szCs w:val="22"/>
        </w:rPr>
        <w:t xml:space="preserve">  </w:t>
      </w:r>
    </w:p>
    <w:p w:rsidR="007B7DAF" w:rsidP="004709FC">
      <w:pPr>
        <w:spacing w:after="220"/>
        <w:ind w:firstLine="720"/>
      </w:pPr>
      <w:r>
        <w:rPr>
          <w:i/>
        </w:rPr>
        <w:t xml:space="preserve">Background.  </w:t>
      </w:r>
      <w:r w:rsidR="007C0F31">
        <w:t xml:space="preserve">As described in more detail in the </w:t>
      </w:r>
      <w:r w:rsidR="007C0F31">
        <w:rPr>
          <w:i/>
        </w:rPr>
        <w:t>Initial Allocation PN</w:t>
      </w:r>
      <w:r w:rsidRPr="007C0F31" w:rsidR="007C0F31">
        <w:t>,</w:t>
      </w:r>
      <w:r>
        <w:rPr>
          <w:rStyle w:val="FootnoteReference"/>
        </w:rPr>
        <w:footnoteReference w:id="5"/>
      </w:r>
      <w:r w:rsidRPr="007C0F31" w:rsidR="007C0F31">
        <w:t xml:space="preserve"> in order </w:t>
      </w:r>
      <w:r w:rsidR="004E5F75">
        <w:t xml:space="preserve">to </w:t>
      </w:r>
      <w:r w:rsidR="00743A95">
        <w:t xml:space="preserve">be a </w:t>
      </w:r>
      <w:r w:rsidR="00093785">
        <w:t xml:space="preserve">prudent </w:t>
      </w:r>
      <w:r w:rsidR="00743A95">
        <w:t xml:space="preserve">steward of </w:t>
      </w:r>
      <w:r w:rsidR="00BD6600">
        <w:t>taxpayer</w:t>
      </w:r>
      <w:r w:rsidR="00743A95">
        <w:t xml:space="preserve"> money</w:t>
      </w:r>
      <w:r w:rsidR="007C0F31">
        <w:t>, we will</w:t>
      </w:r>
      <w:r w:rsidR="004E5F75">
        <w:t xml:space="preserve"> carefully evaluat</w:t>
      </w:r>
      <w:r w:rsidR="007C0F31">
        <w:t>e</w:t>
      </w:r>
      <w:r w:rsidR="004E5F75">
        <w:t xml:space="preserve"> cost estimates and invoices </w:t>
      </w:r>
      <w:r w:rsidR="00743A95">
        <w:t xml:space="preserve">when administering the </w:t>
      </w:r>
      <w:r w:rsidR="00BA25DC">
        <w:t>Fund</w:t>
      </w:r>
      <w:r w:rsidRPr="00BA25DC" w:rsidR="00BA25DC">
        <w:t xml:space="preserve"> </w:t>
      </w:r>
      <w:r w:rsidR="004E5F75">
        <w:t>to prevent waste, fraud</w:t>
      </w:r>
      <w:r w:rsidR="007B7E6E">
        <w:t>,</w:t>
      </w:r>
      <w:r w:rsidR="004E5F75">
        <w:t xml:space="preserve"> and abuse</w:t>
      </w:r>
      <w:r w:rsidR="00743A95">
        <w:t>.</w:t>
      </w:r>
      <w:r>
        <w:rPr>
          <w:rStyle w:val="FootnoteReference"/>
          <w:sz w:val="22"/>
          <w:szCs w:val="22"/>
        </w:rPr>
        <w:footnoteReference w:id="6"/>
      </w:r>
      <w:r w:rsidR="00BA25DC">
        <w:t xml:space="preserve">  </w:t>
      </w:r>
      <w:r w:rsidR="004709FC">
        <w:t>As contemplated by the Commission in t</w:t>
      </w:r>
      <w:r w:rsidRPr="009614B0" w:rsidR="00217161">
        <w:rPr>
          <w:szCs w:val="22"/>
        </w:rPr>
        <w:t xml:space="preserve">he </w:t>
      </w:r>
      <w:r w:rsidRPr="009614B0" w:rsidR="00217161">
        <w:rPr>
          <w:i/>
          <w:szCs w:val="22"/>
        </w:rPr>
        <w:t xml:space="preserve">Incentive Auction </w:t>
      </w:r>
      <w:r w:rsidR="00C66DD9">
        <w:rPr>
          <w:i/>
          <w:szCs w:val="22"/>
        </w:rPr>
        <w:t>R&amp;O</w:t>
      </w:r>
      <w:r w:rsidR="002C23E1">
        <w:rPr>
          <w:szCs w:val="22"/>
        </w:rPr>
        <w:t>,</w:t>
      </w:r>
      <w:r>
        <w:rPr>
          <w:rStyle w:val="FootnoteReference"/>
          <w:sz w:val="22"/>
          <w:szCs w:val="22"/>
        </w:rPr>
        <w:footnoteReference w:id="7"/>
      </w:r>
      <w:r w:rsidRPr="009614B0" w:rsidR="00DF2AB9">
        <w:rPr>
          <w:szCs w:val="22"/>
        </w:rPr>
        <w:t xml:space="preserve"> </w:t>
      </w:r>
      <w:r w:rsidR="004709FC">
        <w:rPr>
          <w:szCs w:val="22"/>
        </w:rPr>
        <w:t>w</w:t>
      </w:r>
      <w:r w:rsidR="007C0F31">
        <w:rPr>
          <w:szCs w:val="22"/>
        </w:rPr>
        <w:t>e will</w:t>
      </w:r>
      <w:r w:rsidR="00BA25DC">
        <w:t xml:space="preserve"> allocate funding in tranches</w:t>
      </w:r>
      <w:r w:rsidR="00D02AF2">
        <w:t>.  This approach will serve multiple purposes, including</w:t>
      </w:r>
      <w:r w:rsidR="00AA2786">
        <w:t>:</w:t>
      </w:r>
      <w:r w:rsidR="00D02AF2">
        <w:t xml:space="preserve"> </w:t>
      </w:r>
      <w:r w:rsidR="00BA25DC">
        <w:t>help</w:t>
      </w:r>
      <w:r w:rsidR="00AA2786">
        <w:t>ing</w:t>
      </w:r>
      <w:r w:rsidR="00BA25DC">
        <w:t xml:space="preserve"> stations cover </w:t>
      </w:r>
      <w:r w:rsidR="007D306E">
        <w:t>expenditures</w:t>
      </w:r>
      <w:r w:rsidR="00383B89">
        <w:t xml:space="preserve"> as they arise in the construction process</w:t>
      </w:r>
      <w:r w:rsidR="00AA2786">
        <w:t>;</w:t>
      </w:r>
      <w:r w:rsidR="00383B89">
        <w:t xml:space="preserve"> allow</w:t>
      </w:r>
      <w:r w:rsidR="00AA2786">
        <w:t>ing</w:t>
      </w:r>
      <w:r w:rsidR="00383B89">
        <w:t xml:space="preserve"> the Bureau to take into account the most accurate and complete information available over time as Eligible Entit</w:t>
      </w:r>
      <w:r w:rsidR="002C23E1">
        <w:t>i</w:t>
      </w:r>
      <w:r w:rsidR="00383B89">
        <w:t>es</w:t>
      </w:r>
      <w:r w:rsidR="00D02AF2">
        <w:t xml:space="preserve"> </w:t>
      </w:r>
      <w:r w:rsidRPr="00EC7CE2" w:rsidR="00EC7CE2">
        <w:t>refine</w:t>
      </w:r>
      <w:r w:rsidR="00383B89">
        <w:t xml:space="preserve"> their</w:t>
      </w:r>
      <w:r w:rsidRPr="00EC7CE2" w:rsidR="00EC7CE2">
        <w:t xml:space="preserve"> construction</w:t>
      </w:r>
      <w:r w:rsidR="00383B89">
        <w:t xml:space="preserve"> projects</w:t>
      </w:r>
      <w:r w:rsidR="00AA2786">
        <w:t xml:space="preserve">; </w:t>
      </w:r>
      <w:r w:rsidR="002C23E1">
        <w:t>promot</w:t>
      </w:r>
      <w:r w:rsidR="00AA2786">
        <w:t>ing</w:t>
      </w:r>
      <w:r w:rsidR="002C23E1">
        <w:t xml:space="preserve"> equitable distributions among all repacked stations</w:t>
      </w:r>
      <w:r w:rsidR="00AA2786">
        <w:t xml:space="preserve">; </w:t>
      </w:r>
      <w:r w:rsidR="002C23E1">
        <w:t>and reduc</w:t>
      </w:r>
      <w:r w:rsidR="00AA2786">
        <w:t>ing</w:t>
      </w:r>
      <w:r w:rsidR="002C23E1">
        <w:t xml:space="preserve"> the likelihood of a reduction in future allocations or </w:t>
      </w:r>
      <w:r w:rsidR="00AA2786">
        <w:t xml:space="preserve">a </w:t>
      </w:r>
      <w:r w:rsidR="002C23E1">
        <w:t>claw-back of payments that have already been drawn down.</w:t>
      </w:r>
      <w:r>
        <w:rPr>
          <w:rStyle w:val="FootnoteReference"/>
          <w:szCs w:val="22"/>
        </w:rPr>
        <w:footnoteReference w:id="8"/>
      </w:r>
      <w:r w:rsidR="00BA25DC">
        <w:t xml:space="preserve"> </w:t>
      </w:r>
    </w:p>
    <w:p w:rsidR="00F93E30" w:rsidP="00BB1351">
      <w:pPr>
        <w:widowControl/>
        <w:spacing w:after="220"/>
        <w:ind w:firstLine="720"/>
        <w:rPr>
          <w:szCs w:val="22"/>
        </w:rPr>
      </w:pPr>
      <w:r>
        <w:rPr>
          <w:szCs w:val="22"/>
        </w:rPr>
        <w:t xml:space="preserve">On October </w:t>
      </w:r>
      <w:r w:rsidR="00311EAE">
        <w:rPr>
          <w:szCs w:val="22"/>
        </w:rPr>
        <w:t>16</w:t>
      </w:r>
      <w:r>
        <w:rPr>
          <w:szCs w:val="22"/>
        </w:rPr>
        <w:t>, 201</w:t>
      </w:r>
      <w:r w:rsidR="00311EAE">
        <w:rPr>
          <w:szCs w:val="22"/>
        </w:rPr>
        <w:t>7</w:t>
      </w:r>
      <w:r>
        <w:rPr>
          <w:szCs w:val="22"/>
        </w:rPr>
        <w:t xml:space="preserve">, the </w:t>
      </w:r>
      <w:r w:rsidR="001F4477">
        <w:rPr>
          <w:szCs w:val="22"/>
        </w:rPr>
        <w:t>Bureau</w:t>
      </w:r>
      <w:r>
        <w:rPr>
          <w:szCs w:val="22"/>
        </w:rPr>
        <w:t xml:space="preserve"> allocate</w:t>
      </w:r>
      <w:r w:rsidR="003A7269">
        <w:rPr>
          <w:szCs w:val="22"/>
        </w:rPr>
        <w:t>d approximately $1 billion to Eligible Entities</w:t>
      </w:r>
      <w:r w:rsidR="00D02AF2">
        <w:rPr>
          <w:szCs w:val="22"/>
        </w:rPr>
        <w:t xml:space="preserve"> representing approximately 52 percent of then</w:t>
      </w:r>
      <w:r w:rsidR="00AA2786">
        <w:rPr>
          <w:szCs w:val="22"/>
        </w:rPr>
        <w:t>-</w:t>
      </w:r>
      <w:r w:rsidR="00D02AF2">
        <w:rPr>
          <w:szCs w:val="22"/>
        </w:rPr>
        <w:t>current verified cost estimates for commercial stations and MVPDs</w:t>
      </w:r>
      <w:r w:rsidR="00AA2786">
        <w:rPr>
          <w:szCs w:val="22"/>
        </w:rPr>
        <w:t>,</w:t>
      </w:r>
      <w:r w:rsidR="00D02AF2">
        <w:rPr>
          <w:szCs w:val="22"/>
        </w:rPr>
        <w:t xml:space="preserve"> and 62 percent for noncommercial education</w:t>
      </w:r>
      <w:r w:rsidR="00625219">
        <w:rPr>
          <w:szCs w:val="22"/>
        </w:rPr>
        <w:t>al</w:t>
      </w:r>
      <w:r w:rsidR="00D02AF2">
        <w:rPr>
          <w:szCs w:val="22"/>
        </w:rPr>
        <w:t xml:space="preserve"> broadcasters (NCEs)</w:t>
      </w:r>
      <w:r w:rsidR="003A7269">
        <w:rPr>
          <w:szCs w:val="22"/>
        </w:rPr>
        <w:t>.</w:t>
      </w:r>
      <w:r>
        <w:rPr>
          <w:rStyle w:val="FootnoteReference"/>
          <w:sz w:val="22"/>
          <w:szCs w:val="22"/>
        </w:rPr>
        <w:footnoteReference w:id="9"/>
      </w:r>
      <w:r w:rsidR="00311EAE">
        <w:rPr>
          <w:szCs w:val="22"/>
        </w:rPr>
        <w:t xml:space="preserve"> </w:t>
      </w:r>
      <w:r w:rsidR="003A7269">
        <w:rPr>
          <w:szCs w:val="22"/>
        </w:rPr>
        <w:t xml:space="preserve"> </w:t>
      </w:r>
      <w:r w:rsidR="001F4477">
        <w:rPr>
          <w:szCs w:val="22"/>
        </w:rPr>
        <w:t>T</w:t>
      </w:r>
      <w:r w:rsidR="003A7269">
        <w:rPr>
          <w:szCs w:val="22"/>
        </w:rPr>
        <w:t xml:space="preserve">he </w:t>
      </w:r>
      <w:r w:rsidR="001F4477">
        <w:rPr>
          <w:szCs w:val="22"/>
        </w:rPr>
        <w:t xml:space="preserve">amount of the </w:t>
      </w:r>
      <w:r w:rsidR="00417C23">
        <w:rPr>
          <w:szCs w:val="22"/>
        </w:rPr>
        <w:t>i</w:t>
      </w:r>
      <w:r w:rsidR="003A7269">
        <w:rPr>
          <w:szCs w:val="22"/>
        </w:rPr>
        <w:t xml:space="preserve">nitial </w:t>
      </w:r>
      <w:r w:rsidR="00417C23">
        <w:rPr>
          <w:szCs w:val="22"/>
        </w:rPr>
        <w:t>a</w:t>
      </w:r>
      <w:r w:rsidR="003A7269">
        <w:rPr>
          <w:szCs w:val="22"/>
        </w:rPr>
        <w:t xml:space="preserve">llocation was informed </w:t>
      </w:r>
      <w:r>
        <w:rPr>
          <w:szCs w:val="22"/>
        </w:rPr>
        <w:t xml:space="preserve">by the </w:t>
      </w:r>
      <w:r w:rsidR="001F4477">
        <w:rPr>
          <w:szCs w:val="22"/>
        </w:rPr>
        <w:t xml:space="preserve">total </w:t>
      </w:r>
      <w:r>
        <w:rPr>
          <w:szCs w:val="22"/>
        </w:rPr>
        <w:t xml:space="preserve">verified cost estimates </w:t>
      </w:r>
      <w:r w:rsidR="001F4477">
        <w:rPr>
          <w:szCs w:val="22"/>
        </w:rPr>
        <w:t xml:space="preserve">submitted by Eligible Entities </w:t>
      </w:r>
      <w:r w:rsidR="002C23E1">
        <w:rPr>
          <w:szCs w:val="22"/>
        </w:rPr>
        <w:t xml:space="preserve">at that time </w:t>
      </w:r>
      <w:r>
        <w:rPr>
          <w:szCs w:val="22"/>
        </w:rPr>
        <w:t>and</w:t>
      </w:r>
      <w:r w:rsidR="00BC5E66">
        <w:rPr>
          <w:szCs w:val="22"/>
        </w:rPr>
        <w:t xml:space="preserve"> </w:t>
      </w:r>
      <w:r w:rsidR="001F4477">
        <w:rPr>
          <w:szCs w:val="22"/>
        </w:rPr>
        <w:t>an assessment of the reimbursement demand by discrete cost categories</w:t>
      </w:r>
      <w:r w:rsidR="00AA2786">
        <w:rPr>
          <w:szCs w:val="22"/>
        </w:rPr>
        <w:t xml:space="preserve">.  Based on this review, </w:t>
      </w:r>
      <w:r w:rsidR="001F4477">
        <w:rPr>
          <w:szCs w:val="22"/>
        </w:rPr>
        <w:t>the Bureau conclude</w:t>
      </w:r>
      <w:r w:rsidR="00AA2786">
        <w:rPr>
          <w:szCs w:val="22"/>
        </w:rPr>
        <w:t>d</w:t>
      </w:r>
      <w:r w:rsidR="001F4477">
        <w:rPr>
          <w:szCs w:val="22"/>
        </w:rPr>
        <w:t xml:space="preserve"> that this amount </w:t>
      </w:r>
      <w:r w:rsidR="00AA2786">
        <w:rPr>
          <w:szCs w:val="22"/>
        </w:rPr>
        <w:t xml:space="preserve">would </w:t>
      </w:r>
      <w:r w:rsidR="001F4477">
        <w:rPr>
          <w:szCs w:val="22"/>
        </w:rPr>
        <w:t>be sufficient to cover “up-front costs, down payments on equipment, and other associated starting costs, as well as other ‘pre-implementation’ and ‘early implementation’ costs billed in the ordinary course of trade.”</w:t>
      </w:r>
      <w:r>
        <w:rPr>
          <w:rStyle w:val="FootnoteReference"/>
          <w:szCs w:val="22"/>
        </w:rPr>
        <w:footnoteReference w:id="10"/>
      </w:r>
      <w:r w:rsidR="002C23E1">
        <w:rPr>
          <w:szCs w:val="22"/>
        </w:rPr>
        <w:t xml:space="preserve">  At that time</w:t>
      </w:r>
      <w:r w:rsidR="0064627E">
        <w:rPr>
          <w:szCs w:val="22"/>
        </w:rPr>
        <w:t>,</w:t>
      </w:r>
      <w:r w:rsidR="002C23E1">
        <w:rPr>
          <w:szCs w:val="22"/>
        </w:rPr>
        <w:t xml:space="preserve"> we stated that we would monitor the draw-down amounts and revised estimates and make an additional allocation when it appears that Eligible Entities are beginning to incur eligible costs</w:t>
      </w:r>
      <w:r w:rsidR="005874FD">
        <w:rPr>
          <w:szCs w:val="22"/>
        </w:rPr>
        <w:t xml:space="preserve"> that exceed their initial allocation. </w:t>
      </w:r>
      <w:r w:rsidR="002C23E1">
        <w:rPr>
          <w:szCs w:val="22"/>
        </w:rPr>
        <w:t xml:space="preserve"> </w:t>
      </w:r>
      <w:r w:rsidR="005874FD">
        <w:rPr>
          <w:szCs w:val="22"/>
        </w:rPr>
        <w:t xml:space="preserve">We encouraged </w:t>
      </w:r>
      <w:r w:rsidR="002B46B4">
        <w:rPr>
          <w:szCs w:val="22"/>
        </w:rPr>
        <w:t xml:space="preserve">Eligible Entities </w:t>
      </w:r>
      <w:r w:rsidR="005874FD">
        <w:rPr>
          <w:szCs w:val="22"/>
        </w:rPr>
        <w:t xml:space="preserve">to </w:t>
      </w:r>
      <w:r w:rsidR="002B46B4">
        <w:rPr>
          <w:szCs w:val="22"/>
        </w:rPr>
        <w:t xml:space="preserve">promptly </w:t>
      </w:r>
      <w:r w:rsidRPr="002B46B4" w:rsidR="002B46B4">
        <w:rPr>
          <w:szCs w:val="22"/>
        </w:rPr>
        <w:t xml:space="preserve">submit for reimbursement of costs </w:t>
      </w:r>
      <w:r w:rsidR="005A6CC3">
        <w:rPr>
          <w:szCs w:val="22"/>
        </w:rPr>
        <w:t xml:space="preserve">that have been </w:t>
      </w:r>
      <w:r w:rsidRPr="002B46B4" w:rsidR="002B46B4">
        <w:rPr>
          <w:szCs w:val="22"/>
        </w:rPr>
        <w:t>incurred and, to the extent app</w:t>
      </w:r>
      <w:r w:rsidR="005A6CC3">
        <w:rPr>
          <w:szCs w:val="22"/>
        </w:rPr>
        <w:t>licabl</w:t>
      </w:r>
      <w:r w:rsidRPr="002B46B4" w:rsidR="002B46B4">
        <w:rPr>
          <w:szCs w:val="22"/>
        </w:rPr>
        <w:t>e, modify</w:t>
      </w:r>
      <w:r w:rsidR="004035CB">
        <w:rPr>
          <w:szCs w:val="22"/>
        </w:rPr>
        <w:t xml:space="preserve"> their</w:t>
      </w:r>
      <w:r w:rsidRPr="002B46B4" w:rsidR="002B46B4">
        <w:rPr>
          <w:szCs w:val="22"/>
        </w:rPr>
        <w:t xml:space="preserve"> cost estimates based on more refined quotations from vendors</w:t>
      </w:r>
      <w:r w:rsidR="005A6CC3">
        <w:rPr>
          <w:szCs w:val="22"/>
        </w:rPr>
        <w:t xml:space="preserve"> and other new information.  Having up-to-date estimates and invoices will</w:t>
      </w:r>
      <w:r w:rsidR="002B46B4">
        <w:rPr>
          <w:szCs w:val="22"/>
        </w:rPr>
        <w:t xml:space="preserve"> </w:t>
      </w:r>
      <w:r w:rsidR="005874FD">
        <w:rPr>
          <w:szCs w:val="22"/>
        </w:rPr>
        <w:t>provide us with the best information available</w:t>
      </w:r>
      <w:r w:rsidR="005A6CC3">
        <w:rPr>
          <w:szCs w:val="22"/>
        </w:rPr>
        <w:t xml:space="preserve"> when calculating the amount of an Eligible Entity’s </w:t>
      </w:r>
      <w:r w:rsidR="002B46B4">
        <w:rPr>
          <w:szCs w:val="22"/>
        </w:rPr>
        <w:t>allocation</w:t>
      </w:r>
      <w:r w:rsidR="005874FD">
        <w:rPr>
          <w:szCs w:val="22"/>
        </w:rPr>
        <w:t>.</w:t>
      </w:r>
      <w:r>
        <w:rPr>
          <w:rStyle w:val="FootnoteReference"/>
          <w:szCs w:val="22"/>
        </w:rPr>
        <w:footnoteReference w:id="11"/>
      </w:r>
      <w:r w:rsidR="005874FD">
        <w:rPr>
          <w:szCs w:val="22"/>
        </w:rPr>
        <w:t xml:space="preserve"> </w:t>
      </w:r>
    </w:p>
    <w:p w:rsidR="00643883" w:rsidP="00643883">
      <w:pPr>
        <w:spacing w:after="220"/>
        <w:ind w:firstLine="720"/>
        <w:rPr>
          <w:szCs w:val="22"/>
        </w:rPr>
      </w:pPr>
      <w:r w:rsidRPr="00AB13F9">
        <w:rPr>
          <w:i/>
          <w:szCs w:val="22"/>
        </w:rPr>
        <w:t>Second Allocation</w:t>
      </w:r>
      <w:r>
        <w:rPr>
          <w:szCs w:val="22"/>
        </w:rPr>
        <w:t xml:space="preserve">. </w:t>
      </w:r>
      <w:r w:rsidR="00B328A4">
        <w:rPr>
          <w:szCs w:val="22"/>
        </w:rPr>
        <w:t xml:space="preserve"> </w:t>
      </w:r>
      <w:r w:rsidR="003A7269">
        <w:rPr>
          <w:szCs w:val="22"/>
        </w:rPr>
        <w:t xml:space="preserve">Since the issuance of the </w:t>
      </w:r>
      <w:r w:rsidRPr="00D528FE" w:rsidR="003A7269">
        <w:rPr>
          <w:i/>
          <w:szCs w:val="22"/>
        </w:rPr>
        <w:t>Initial Allocation</w:t>
      </w:r>
      <w:r w:rsidRPr="00D528FE" w:rsidR="005B10FF">
        <w:rPr>
          <w:i/>
          <w:szCs w:val="22"/>
        </w:rPr>
        <w:t xml:space="preserve"> PN</w:t>
      </w:r>
      <w:r w:rsidR="003A7269">
        <w:rPr>
          <w:szCs w:val="22"/>
        </w:rPr>
        <w:t xml:space="preserve">, numerous </w:t>
      </w:r>
      <w:r>
        <w:rPr>
          <w:szCs w:val="22"/>
        </w:rPr>
        <w:t xml:space="preserve">Eligible Entities </w:t>
      </w:r>
      <w:r w:rsidRPr="00F93E30">
        <w:rPr>
          <w:szCs w:val="22"/>
        </w:rPr>
        <w:t xml:space="preserve">have sought reimbursement for </w:t>
      </w:r>
      <w:r w:rsidR="008D1EFF">
        <w:rPr>
          <w:szCs w:val="22"/>
        </w:rPr>
        <w:t xml:space="preserve">costs </w:t>
      </w:r>
      <w:r w:rsidRPr="00F93E30">
        <w:rPr>
          <w:szCs w:val="22"/>
        </w:rPr>
        <w:t>reasonabl</w:t>
      </w:r>
      <w:r w:rsidR="008D1EFF">
        <w:rPr>
          <w:szCs w:val="22"/>
        </w:rPr>
        <w:t>y</w:t>
      </w:r>
      <w:r w:rsidRPr="00F93E30">
        <w:rPr>
          <w:szCs w:val="22"/>
        </w:rPr>
        <w:t xml:space="preserve"> </w:t>
      </w:r>
      <w:r w:rsidR="008D1EFF">
        <w:rPr>
          <w:szCs w:val="22"/>
        </w:rPr>
        <w:t>incurred</w:t>
      </w:r>
      <w:r w:rsidRPr="00F93E30">
        <w:rPr>
          <w:szCs w:val="22"/>
        </w:rPr>
        <w:t xml:space="preserve"> related to</w:t>
      </w:r>
      <w:r w:rsidR="00B328A4">
        <w:rPr>
          <w:szCs w:val="22"/>
        </w:rPr>
        <w:t xml:space="preserve"> a broadcast television station</w:t>
      </w:r>
      <w:r w:rsidRPr="00F93E30">
        <w:rPr>
          <w:szCs w:val="22"/>
        </w:rPr>
        <w:t xml:space="preserve"> </w:t>
      </w:r>
      <w:r w:rsidR="00AB13F9">
        <w:rPr>
          <w:szCs w:val="22"/>
        </w:rPr>
        <w:t xml:space="preserve">transitioning to </w:t>
      </w:r>
      <w:r w:rsidR="00B328A4">
        <w:rPr>
          <w:szCs w:val="22"/>
        </w:rPr>
        <w:t xml:space="preserve">a </w:t>
      </w:r>
      <w:r w:rsidR="00AB13F9">
        <w:rPr>
          <w:szCs w:val="22"/>
        </w:rPr>
        <w:t xml:space="preserve">new </w:t>
      </w:r>
      <w:r w:rsidR="00B328A4">
        <w:rPr>
          <w:szCs w:val="22"/>
        </w:rPr>
        <w:t xml:space="preserve">channel.  </w:t>
      </w:r>
      <w:r w:rsidR="00AA2786">
        <w:rPr>
          <w:szCs w:val="22"/>
        </w:rPr>
        <w:t xml:space="preserve">Although </w:t>
      </w:r>
      <w:r w:rsidR="00B328A4">
        <w:rPr>
          <w:szCs w:val="22"/>
        </w:rPr>
        <w:t xml:space="preserve">the </w:t>
      </w:r>
      <w:r w:rsidR="00D02AF2">
        <w:rPr>
          <w:szCs w:val="22"/>
        </w:rPr>
        <w:t xml:space="preserve">vast </w:t>
      </w:r>
      <w:r w:rsidR="00B328A4">
        <w:rPr>
          <w:szCs w:val="22"/>
        </w:rPr>
        <w:t>majority of Eligible Entities</w:t>
      </w:r>
      <w:r w:rsidR="007C0F31">
        <w:rPr>
          <w:szCs w:val="22"/>
        </w:rPr>
        <w:t xml:space="preserve"> </w:t>
      </w:r>
      <w:r w:rsidR="00AA2786">
        <w:rPr>
          <w:szCs w:val="22"/>
        </w:rPr>
        <w:t xml:space="preserve">are </w:t>
      </w:r>
      <w:r w:rsidR="007C0F31">
        <w:rPr>
          <w:szCs w:val="22"/>
        </w:rPr>
        <w:t>not yet approach</w:t>
      </w:r>
      <w:r w:rsidR="00AA2786">
        <w:rPr>
          <w:szCs w:val="22"/>
        </w:rPr>
        <w:t>ing</w:t>
      </w:r>
      <w:r w:rsidR="007C0F31">
        <w:rPr>
          <w:szCs w:val="22"/>
        </w:rPr>
        <w:t xml:space="preserve"> the point of </w:t>
      </w:r>
      <w:r w:rsidRPr="007C0F31" w:rsidR="007C0F31">
        <w:rPr>
          <w:szCs w:val="22"/>
        </w:rPr>
        <w:t>exhausting their initial allocation</w:t>
      </w:r>
      <w:r w:rsidR="007C0F31">
        <w:rPr>
          <w:szCs w:val="22"/>
        </w:rPr>
        <w:t xml:space="preserve">, reimbursement requests for a number of entities are now </w:t>
      </w:r>
      <w:r w:rsidR="00AA2786">
        <w:rPr>
          <w:szCs w:val="22"/>
        </w:rPr>
        <w:t xml:space="preserve">at a level </w:t>
      </w:r>
      <w:r w:rsidR="005874FD">
        <w:rPr>
          <w:szCs w:val="22"/>
        </w:rPr>
        <w:t xml:space="preserve">where they </w:t>
      </w:r>
      <w:r w:rsidR="002A4892">
        <w:rPr>
          <w:szCs w:val="22"/>
        </w:rPr>
        <w:t xml:space="preserve">likely </w:t>
      </w:r>
      <w:r w:rsidR="005874FD">
        <w:rPr>
          <w:szCs w:val="22"/>
        </w:rPr>
        <w:t xml:space="preserve">will </w:t>
      </w:r>
      <w:r w:rsidR="002A4892">
        <w:rPr>
          <w:szCs w:val="22"/>
        </w:rPr>
        <w:t xml:space="preserve">soon </w:t>
      </w:r>
      <w:r w:rsidR="007C0F31">
        <w:rPr>
          <w:szCs w:val="22"/>
        </w:rPr>
        <w:t>reach or</w:t>
      </w:r>
      <w:r w:rsidR="00D02AF2">
        <w:rPr>
          <w:szCs w:val="22"/>
        </w:rPr>
        <w:t>,</w:t>
      </w:r>
      <w:r>
        <w:rPr>
          <w:szCs w:val="22"/>
        </w:rPr>
        <w:t xml:space="preserve"> in some cases</w:t>
      </w:r>
      <w:r w:rsidR="00D02AF2">
        <w:rPr>
          <w:szCs w:val="22"/>
        </w:rPr>
        <w:t>,</w:t>
      </w:r>
      <w:r w:rsidRPr="00F93E30">
        <w:rPr>
          <w:szCs w:val="22"/>
        </w:rPr>
        <w:t xml:space="preserve"> exceed the</w:t>
      </w:r>
      <w:r w:rsidR="00FA393C">
        <w:rPr>
          <w:szCs w:val="22"/>
        </w:rPr>
        <w:t xml:space="preserve"> entity’s</w:t>
      </w:r>
      <w:r w:rsidRPr="00F93E30">
        <w:rPr>
          <w:szCs w:val="22"/>
        </w:rPr>
        <w:t xml:space="preserve"> initial allocation</w:t>
      </w:r>
      <w:r w:rsidR="00FA393C">
        <w:rPr>
          <w:szCs w:val="22"/>
        </w:rPr>
        <w:t xml:space="preserve"> amount</w:t>
      </w:r>
      <w:r w:rsidRPr="00F93E30">
        <w:rPr>
          <w:szCs w:val="22"/>
        </w:rPr>
        <w:t>.</w:t>
      </w:r>
      <w:r w:rsidR="007C0F31">
        <w:rPr>
          <w:szCs w:val="22"/>
        </w:rPr>
        <w:t xml:space="preserve"> </w:t>
      </w:r>
      <w:r w:rsidRPr="00F93E30">
        <w:rPr>
          <w:szCs w:val="22"/>
        </w:rPr>
        <w:t xml:space="preserve"> </w:t>
      </w:r>
      <w:r w:rsidR="002E14AD">
        <w:rPr>
          <w:szCs w:val="22"/>
        </w:rPr>
        <w:t xml:space="preserve">Additionally, </w:t>
      </w:r>
      <w:r w:rsidR="007C0F31">
        <w:rPr>
          <w:szCs w:val="22"/>
        </w:rPr>
        <w:t xml:space="preserve">since the date of the initial allocation, </w:t>
      </w:r>
      <w:r w:rsidR="00BC5E66">
        <w:rPr>
          <w:szCs w:val="22"/>
        </w:rPr>
        <w:t>various</w:t>
      </w:r>
      <w:r w:rsidR="002E14AD">
        <w:rPr>
          <w:szCs w:val="22"/>
        </w:rPr>
        <w:t xml:space="preserve"> Eligible Entities have provided </w:t>
      </w:r>
      <w:r w:rsidR="007C0F31">
        <w:rPr>
          <w:szCs w:val="22"/>
        </w:rPr>
        <w:t xml:space="preserve">revised and </w:t>
      </w:r>
      <w:r w:rsidR="00BC5E66">
        <w:rPr>
          <w:szCs w:val="22"/>
        </w:rPr>
        <w:t xml:space="preserve">more granular cost estimates as </w:t>
      </w:r>
      <w:r w:rsidR="00AA2786">
        <w:rPr>
          <w:szCs w:val="22"/>
        </w:rPr>
        <w:t>their planning has proceeded and engineering studies have been completed</w:t>
      </w:r>
      <w:r w:rsidR="00BC5E66">
        <w:rPr>
          <w:szCs w:val="22"/>
        </w:rPr>
        <w:t xml:space="preserve">. </w:t>
      </w:r>
      <w:r w:rsidR="007C0F31">
        <w:rPr>
          <w:szCs w:val="22"/>
        </w:rPr>
        <w:t xml:space="preserve"> </w:t>
      </w:r>
      <w:r w:rsidR="005874FD">
        <w:rPr>
          <w:szCs w:val="22"/>
        </w:rPr>
        <w:t xml:space="preserve">In the </w:t>
      </w:r>
      <w:r w:rsidR="005874FD">
        <w:rPr>
          <w:i/>
          <w:szCs w:val="22"/>
        </w:rPr>
        <w:t xml:space="preserve">Initial Allocation PN </w:t>
      </w:r>
      <w:r w:rsidR="005874FD">
        <w:rPr>
          <w:szCs w:val="22"/>
        </w:rPr>
        <w:t xml:space="preserve">we noted </w:t>
      </w:r>
      <w:r w:rsidR="009D3673">
        <w:rPr>
          <w:szCs w:val="22"/>
        </w:rPr>
        <w:t>that the $1</w:t>
      </w:r>
      <w:r w:rsidR="00A46731">
        <w:rPr>
          <w:szCs w:val="22"/>
        </w:rPr>
        <w:t xml:space="preserve">,863,971470.42 </w:t>
      </w:r>
      <w:r w:rsidR="005874FD">
        <w:rPr>
          <w:szCs w:val="22"/>
        </w:rPr>
        <w:t xml:space="preserve">“verified estimates </w:t>
      </w:r>
      <w:r w:rsidRPr="00324FED" w:rsidR="005874FD">
        <w:rPr>
          <w:szCs w:val="22"/>
        </w:rPr>
        <w:t>use</w:t>
      </w:r>
      <w:r w:rsidR="005874FD">
        <w:rPr>
          <w:szCs w:val="22"/>
        </w:rPr>
        <w:t>d</w:t>
      </w:r>
      <w:r w:rsidRPr="00324FED" w:rsidR="005874FD">
        <w:rPr>
          <w:szCs w:val="22"/>
        </w:rPr>
        <w:t xml:space="preserve"> for purposes of this initial allocation </w:t>
      </w:r>
      <w:r w:rsidR="005874FD">
        <w:rPr>
          <w:szCs w:val="22"/>
        </w:rPr>
        <w:t>are likely to rise</w:t>
      </w:r>
      <w:r w:rsidRPr="00324FED" w:rsidR="005874FD">
        <w:rPr>
          <w:szCs w:val="22"/>
        </w:rPr>
        <w:t xml:space="preserve"> as Eligible Entities are able to produce adequate justification for their unverified initial estimates and refine and supplement their estimates as their construction planning and execution continues</w:t>
      </w:r>
      <w:r w:rsidR="005874FD">
        <w:rPr>
          <w:szCs w:val="22"/>
        </w:rPr>
        <w:t>,</w:t>
      </w:r>
      <w:r w:rsidRPr="0040141E" w:rsidR="005874FD">
        <w:rPr>
          <w:szCs w:val="22"/>
        </w:rPr>
        <w:t xml:space="preserve"> </w:t>
      </w:r>
      <w:r w:rsidR="005874FD">
        <w:rPr>
          <w:szCs w:val="22"/>
        </w:rPr>
        <w:t>including, for instance, as stations more fully evaluate</w:t>
      </w:r>
      <w:r w:rsidRPr="00324FED" w:rsidR="005874FD">
        <w:rPr>
          <w:szCs w:val="22"/>
        </w:rPr>
        <w:t xml:space="preserve"> tower and rigging needs, </w:t>
      </w:r>
      <w:r w:rsidR="005874FD">
        <w:rPr>
          <w:szCs w:val="22"/>
        </w:rPr>
        <w:t xml:space="preserve">incur </w:t>
      </w:r>
      <w:r w:rsidRPr="00324FED" w:rsidR="005874FD">
        <w:rPr>
          <w:szCs w:val="22"/>
        </w:rPr>
        <w:t>engineering and other consulting cost</w:t>
      </w:r>
      <w:r w:rsidR="005874FD">
        <w:rPr>
          <w:szCs w:val="22"/>
        </w:rPr>
        <w:t>s</w:t>
      </w:r>
      <w:r w:rsidRPr="00324FED" w:rsidR="005874FD">
        <w:rPr>
          <w:szCs w:val="22"/>
        </w:rPr>
        <w:t xml:space="preserve">, and </w:t>
      </w:r>
      <w:r w:rsidR="005874FD">
        <w:rPr>
          <w:szCs w:val="22"/>
        </w:rPr>
        <w:t>realize the impact of</w:t>
      </w:r>
      <w:r w:rsidRPr="00324FED" w:rsidR="005874FD">
        <w:rPr>
          <w:szCs w:val="22"/>
        </w:rPr>
        <w:t xml:space="preserve"> cost increases in equipment and services over the </w:t>
      </w:r>
      <w:r w:rsidR="005874FD">
        <w:rPr>
          <w:szCs w:val="22"/>
        </w:rPr>
        <w:t>three</w:t>
      </w:r>
      <w:r w:rsidRPr="00324FED" w:rsidR="005874FD">
        <w:rPr>
          <w:szCs w:val="22"/>
        </w:rPr>
        <w:t>-year transition period.</w:t>
      </w:r>
      <w:r w:rsidR="005874FD">
        <w:rPr>
          <w:szCs w:val="22"/>
        </w:rPr>
        <w:t>”</w:t>
      </w:r>
      <w:r>
        <w:rPr>
          <w:rStyle w:val="FootnoteReference"/>
          <w:szCs w:val="22"/>
        </w:rPr>
        <w:footnoteReference w:id="12"/>
      </w:r>
      <w:r w:rsidR="005874FD">
        <w:rPr>
          <w:szCs w:val="22"/>
        </w:rPr>
        <w:t xml:space="preserve">  </w:t>
      </w:r>
      <w:r w:rsidR="002B46B4">
        <w:rPr>
          <w:szCs w:val="22"/>
        </w:rPr>
        <w:t>C</w:t>
      </w:r>
      <w:r w:rsidR="003621FF">
        <w:rPr>
          <w:szCs w:val="22"/>
        </w:rPr>
        <w:t xml:space="preserve">onsistent with </w:t>
      </w:r>
      <w:r w:rsidR="005874FD">
        <w:rPr>
          <w:szCs w:val="22"/>
        </w:rPr>
        <w:t xml:space="preserve">that </w:t>
      </w:r>
      <w:r w:rsidR="00DF3D4C">
        <w:rPr>
          <w:szCs w:val="22"/>
        </w:rPr>
        <w:t>expectation</w:t>
      </w:r>
      <w:r w:rsidR="002B46B4">
        <w:rPr>
          <w:szCs w:val="22"/>
        </w:rPr>
        <w:t xml:space="preserve">, </w:t>
      </w:r>
      <w:r w:rsidR="005874FD">
        <w:rPr>
          <w:szCs w:val="22"/>
        </w:rPr>
        <w:t xml:space="preserve">the </w:t>
      </w:r>
      <w:r w:rsidR="00DF3D4C">
        <w:rPr>
          <w:szCs w:val="22"/>
        </w:rPr>
        <w:t xml:space="preserve">total verified and </w:t>
      </w:r>
      <w:r w:rsidR="005874FD">
        <w:rPr>
          <w:szCs w:val="22"/>
        </w:rPr>
        <w:t>unverified estimates submitted by Eligible Entities</w:t>
      </w:r>
      <w:r w:rsidR="002B46B4">
        <w:rPr>
          <w:szCs w:val="22"/>
        </w:rPr>
        <w:t xml:space="preserve"> as of</w:t>
      </w:r>
      <w:r w:rsidR="005874FD">
        <w:rPr>
          <w:szCs w:val="22"/>
        </w:rPr>
        <w:t xml:space="preserve"> </w:t>
      </w:r>
      <w:r w:rsidR="00C234E0">
        <w:rPr>
          <w:szCs w:val="22"/>
        </w:rPr>
        <w:t>March</w:t>
      </w:r>
      <w:r w:rsidR="000B4856">
        <w:rPr>
          <w:szCs w:val="22"/>
        </w:rPr>
        <w:t xml:space="preserve"> </w:t>
      </w:r>
      <w:r w:rsidRPr="000B4856" w:rsidR="00C234E0">
        <w:rPr>
          <w:szCs w:val="22"/>
        </w:rPr>
        <w:t>7</w:t>
      </w:r>
      <w:r w:rsidRPr="000B4856" w:rsidR="002B46B4">
        <w:rPr>
          <w:szCs w:val="22"/>
        </w:rPr>
        <w:t>, 201</w:t>
      </w:r>
      <w:r w:rsidR="00D17D44">
        <w:rPr>
          <w:szCs w:val="22"/>
        </w:rPr>
        <w:t>8</w:t>
      </w:r>
      <w:r w:rsidRPr="000B4856" w:rsidR="002B46B4">
        <w:rPr>
          <w:szCs w:val="22"/>
        </w:rPr>
        <w:t xml:space="preserve">, </w:t>
      </w:r>
      <w:r w:rsidRPr="000B4856" w:rsidR="00DF3D4C">
        <w:rPr>
          <w:szCs w:val="22"/>
        </w:rPr>
        <w:t xml:space="preserve">was </w:t>
      </w:r>
      <w:r w:rsidRPr="000B4856" w:rsidR="00EC2102">
        <w:rPr>
          <w:szCs w:val="22"/>
        </w:rPr>
        <w:t xml:space="preserve">approximately </w:t>
      </w:r>
      <w:r w:rsidRPr="000B4856" w:rsidR="005874FD">
        <w:rPr>
          <w:szCs w:val="22"/>
        </w:rPr>
        <w:t>$1.9</w:t>
      </w:r>
      <w:r w:rsidRPr="000B4856" w:rsidR="00DF3D4C">
        <w:rPr>
          <w:szCs w:val="22"/>
        </w:rPr>
        <w:t>5</w:t>
      </w:r>
      <w:r w:rsidRPr="000B4856" w:rsidR="005874FD">
        <w:rPr>
          <w:szCs w:val="22"/>
        </w:rPr>
        <w:t xml:space="preserve"> billion.</w:t>
      </w:r>
      <w:r w:rsidR="005B10FF">
        <w:rPr>
          <w:szCs w:val="22"/>
        </w:rPr>
        <w:t xml:space="preserve">  As a result, we anticipate making an additional allocation in approximately </w:t>
      </w:r>
      <w:r w:rsidR="00473760">
        <w:rPr>
          <w:szCs w:val="22"/>
        </w:rPr>
        <w:t>four to six weeks</w:t>
      </w:r>
      <w:r w:rsidR="005B10FF">
        <w:rPr>
          <w:szCs w:val="22"/>
        </w:rPr>
        <w:t xml:space="preserve"> in an amount that </w:t>
      </w:r>
      <w:r w:rsidR="00624B90">
        <w:rPr>
          <w:szCs w:val="22"/>
        </w:rPr>
        <w:t xml:space="preserve">will take into account </w:t>
      </w:r>
      <w:r w:rsidR="00DF3D4C">
        <w:rPr>
          <w:szCs w:val="22"/>
        </w:rPr>
        <w:t>the v</w:t>
      </w:r>
      <w:r w:rsidR="00B1163F">
        <w:rPr>
          <w:szCs w:val="22"/>
        </w:rPr>
        <w:t>erified estimates on file at</w:t>
      </w:r>
      <w:r w:rsidR="000420C7">
        <w:rPr>
          <w:szCs w:val="22"/>
        </w:rPr>
        <w:t xml:space="preserve"> that time</w:t>
      </w:r>
      <w:r w:rsidR="003621FF">
        <w:rPr>
          <w:szCs w:val="22"/>
        </w:rPr>
        <w:t xml:space="preserve">.  </w:t>
      </w:r>
    </w:p>
    <w:p w:rsidR="00BA25DC" w:rsidP="00090364">
      <w:pPr>
        <w:spacing w:after="220"/>
        <w:ind w:firstLine="720"/>
      </w:pPr>
      <w:r>
        <w:rPr>
          <w:szCs w:val="22"/>
        </w:rPr>
        <w:t>T</w:t>
      </w:r>
      <w:r w:rsidR="00BC5E66">
        <w:rPr>
          <w:szCs w:val="22"/>
        </w:rPr>
        <w:t>h</w:t>
      </w:r>
      <w:r w:rsidR="002A4892">
        <w:rPr>
          <w:szCs w:val="22"/>
        </w:rPr>
        <w:t>e</w:t>
      </w:r>
      <w:r w:rsidR="00BC5E66">
        <w:rPr>
          <w:szCs w:val="22"/>
        </w:rPr>
        <w:t xml:space="preserve"> </w:t>
      </w:r>
      <w:r w:rsidR="003621FF">
        <w:rPr>
          <w:szCs w:val="22"/>
        </w:rPr>
        <w:t xml:space="preserve">second </w:t>
      </w:r>
      <w:r w:rsidR="00643883">
        <w:rPr>
          <w:szCs w:val="22"/>
        </w:rPr>
        <w:t>allocation</w:t>
      </w:r>
      <w:r w:rsidR="00AB13F9">
        <w:rPr>
          <w:szCs w:val="22"/>
        </w:rPr>
        <w:t>, in conjunction with the initial allocation,</w:t>
      </w:r>
      <w:r w:rsidR="00643883">
        <w:rPr>
          <w:szCs w:val="22"/>
        </w:rPr>
        <w:t xml:space="preserve"> </w:t>
      </w:r>
      <w:r w:rsidR="0064627E">
        <w:rPr>
          <w:szCs w:val="22"/>
        </w:rPr>
        <w:t>will</w:t>
      </w:r>
      <w:r w:rsidR="00643883">
        <w:rPr>
          <w:szCs w:val="22"/>
        </w:rPr>
        <w:t xml:space="preserve"> not </w:t>
      </w:r>
      <w:r w:rsidR="00624B90">
        <w:rPr>
          <w:szCs w:val="22"/>
        </w:rPr>
        <w:t xml:space="preserve">amount to </w:t>
      </w:r>
      <w:r w:rsidR="00643883">
        <w:rPr>
          <w:szCs w:val="22"/>
        </w:rPr>
        <w:t>the total estimated reimbursement for Eligible Entities’ actual costs</w:t>
      </w:r>
      <w:r>
        <w:rPr>
          <w:szCs w:val="22"/>
        </w:rPr>
        <w:t>.  R</w:t>
      </w:r>
      <w:r w:rsidR="00643883">
        <w:rPr>
          <w:szCs w:val="22"/>
        </w:rPr>
        <w:t xml:space="preserve">ather, it is intended to provide entities with </w:t>
      </w:r>
      <w:r w:rsidR="000D5835">
        <w:rPr>
          <w:szCs w:val="22"/>
        </w:rPr>
        <w:t xml:space="preserve">ongoing </w:t>
      </w:r>
      <w:r w:rsidR="00643883">
        <w:rPr>
          <w:szCs w:val="22"/>
        </w:rPr>
        <w:t>access to reimbursement funding sufficient to continue the transition process, while preserving flexibility to respond to unforeseen changes that may arise while undertaking transition activities.</w:t>
      </w:r>
      <w:r w:rsidR="00AB13F9">
        <w:rPr>
          <w:szCs w:val="22"/>
        </w:rPr>
        <w:t xml:space="preserve"> </w:t>
      </w:r>
      <w:r w:rsidR="005B10FF">
        <w:rPr>
          <w:szCs w:val="22"/>
        </w:rPr>
        <w:t xml:space="preserve"> </w:t>
      </w:r>
      <w:r w:rsidR="007B7DAF">
        <w:rPr>
          <w:szCs w:val="22"/>
        </w:rPr>
        <w:t>A</w:t>
      </w:r>
      <w:r w:rsidR="00487A6D">
        <w:rPr>
          <w:szCs w:val="22"/>
        </w:rPr>
        <w:t xml:space="preserve">s </w:t>
      </w:r>
      <w:r w:rsidRPr="0060582D" w:rsidR="00487A6D">
        <w:rPr>
          <w:szCs w:val="22"/>
        </w:rPr>
        <w:t xml:space="preserve">contemplated </w:t>
      </w:r>
      <w:r w:rsidR="00487A6D">
        <w:rPr>
          <w:szCs w:val="22"/>
        </w:rPr>
        <w:t>i</w:t>
      </w:r>
      <w:r w:rsidRPr="0060582D" w:rsidR="00487A6D">
        <w:rPr>
          <w:szCs w:val="22"/>
        </w:rPr>
        <w:t xml:space="preserve">n the </w:t>
      </w:r>
      <w:r w:rsidRPr="001516F3" w:rsidR="00487A6D">
        <w:rPr>
          <w:i/>
          <w:szCs w:val="22"/>
        </w:rPr>
        <w:t>Incentive Auction R&amp;O</w:t>
      </w:r>
      <w:r w:rsidRPr="0060582D" w:rsidR="00487A6D">
        <w:rPr>
          <w:szCs w:val="22"/>
        </w:rPr>
        <w:t xml:space="preserve">, </w:t>
      </w:r>
      <w:r w:rsidR="00624B90">
        <w:rPr>
          <w:szCs w:val="22"/>
        </w:rPr>
        <w:t xml:space="preserve">the next allocation will continue to provide NCEs access to 10 percent more of their verified cost estimates to reflect the </w:t>
      </w:r>
      <w:r w:rsidRPr="0060582D" w:rsidR="009D01FA">
        <w:rPr>
          <w:szCs w:val="22"/>
        </w:rPr>
        <w:t>“unique funding constraints</w:t>
      </w:r>
      <w:r w:rsidR="009D01FA">
        <w:rPr>
          <w:szCs w:val="22"/>
        </w:rPr>
        <w:t>”</w:t>
      </w:r>
      <w:r w:rsidR="00624B90">
        <w:rPr>
          <w:szCs w:val="22"/>
        </w:rPr>
        <w:t xml:space="preserve"> of NCEs.</w:t>
      </w:r>
      <w:r>
        <w:rPr>
          <w:rStyle w:val="FootnoteReference"/>
          <w:sz w:val="22"/>
          <w:szCs w:val="22"/>
        </w:rPr>
        <w:footnoteReference w:id="13"/>
      </w:r>
      <w:r w:rsidR="00487A6D">
        <w:rPr>
          <w:szCs w:val="22"/>
        </w:rPr>
        <w:t xml:space="preserve">  </w:t>
      </w:r>
      <w:r w:rsidR="002C13A1">
        <w:t>A</w:t>
      </w:r>
      <w:r w:rsidRPr="002C13A1" w:rsidR="002C13A1">
        <w:t xml:space="preserve">t </w:t>
      </w:r>
      <w:r w:rsidRPr="002C13A1" w:rsidR="002C13A1">
        <w:t xml:space="preserve">the end of the program, </w:t>
      </w:r>
      <w:r w:rsidR="0019642C">
        <w:t xml:space="preserve">all </w:t>
      </w:r>
      <w:r w:rsidR="00626385">
        <w:t xml:space="preserve">Eligible </w:t>
      </w:r>
      <w:r w:rsidR="0019642C">
        <w:t xml:space="preserve">Entities </w:t>
      </w:r>
      <w:r w:rsidR="00434319">
        <w:t xml:space="preserve">will </w:t>
      </w:r>
      <w:r w:rsidR="00626385">
        <w:t>provide information regarding any actual or remaining estimated costs and</w:t>
      </w:r>
      <w:r w:rsidR="00F273F1">
        <w:t>, if appropriate,</w:t>
      </w:r>
      <w:r w:rsidR="00626385">
        <w:t xml:space="preserve"> will be issued a </w:t>
      </w:r>
      <w:r w:rsidRPr="002C13A1" w:rsidR="002C13A1">
        <w:t xml:space="preserve">final allocation percentage </w:t>
      </w:r>
      <w:r w:rsidR="0019642C">
        <w:t xml:space="preserve">out of </w:t>
      </w:r>
      <w:r w:rsidRPr="002C13A1" w:rsidR="002C13A1">
        <w:t>the remainder of the Fund.</w:t>
      </w:r>
      <w:r w:rsidR="002C13A1">
        <w:t xml:space="preserve"> </w:t>
      </w:r>
      <w:r w:rsidR="00F273F1">
        <w:t xml:space="preserve"> </w:t>
      </w:r>
      <w:r w:rsidRPr="00CC27BF" w:rsidR="00F273F1">
        <w:rPr>
          <w:szCs w:val="22"/>
        </w:rPr>
        <w:t>If overpayment is discovered</w:t>
      </w:r>
      <w:r w:rsidR="0019642C">
        <w:rPr>
          <w:szCs w:val="22"/>
        </w:rPr>
        <w:t>,</w:t>
      </w:r>
      <w:r w:rsidRPr="00CC27BF" w:rsidR="00F273F1">
        <w:rPr>
          <w:szCs w:val="22"/>
        </w:rPr>
        <w:t xml:space="preserve"> entities will be required to return the excess </w:t>
      </w:r>
      <w:r w:rsidR="009F365D">
        <w:rPr>
          <w:szCs w:val="22"/>
        </w:rPr>
        <w:t xml:space="preserve">funds </w:t>
      </w:r>
      <w:r w:rsidRPr="00CC27BF" w:rsidR="00F273F1">
        <w:rPr>
          <w:szCs w:val="22"/>
        </w:rPr>
        <w:t>to the Commission.</w:t>
      </w:r>
      <w:r>
        <w:rPr>
          <w:rStyle w:val="FootnoteReference"/>
        </w:rPr>
        <w:footnoteReference w:id="14"/>
      </w:r>
      <w:r w:rsidR="00F273F1">
        <w:rPr>
          <w:szCs w:val="22"/>
        </w:rPr>
        <w:t xml:space="preserve">  </w:t>
      </w:r>
      <w:r w:rsidR="00513AC9">
        <w:rPr>
          <w:szCs w:val="22"/>
        </w:rPr>
        <w:t xml:space="preserve"> </w:t>
      </w:r>
    </w:p>
    <w:p w:rsidR="00062C17" w:rsidRPr="009614B0" w:rsidP="00D52D86">
      <w:pPr>
        <w:autoSpaceDE w:val="0"/>
        <w:autoSpaceDN w:val="0"/>
        <w:spacing w:after="220"/>
        <w:ind w:firstLine="720"/>
        <w:rPr>
          <w:szCs w:val="22"/>
        </w:rPr>
      </w:pPr>
      <w:r>
        <w:rPr>
          <w:i/>
          <w:szCs w:val="22"/>
        </w:rPr>
        <w:t xml:space="preserve">Phase Transition Deadlines. </w:t>
      </w:r>
      <w:r w:rsidR="000F6696">
        <w:rPr>
          <w:i/>
          <w:szCs w:val="22"/>
        </w:rPr>
        <w:t xml:space="preserve"> </w:t>
      </w:r>
      <w:r w:rsidR="001E71DF">
        <w:rPr>
          <w:szCs w:val="22"/>
        </w:rPr>
        <w:t xml:space="preserve">All stations </w:t>
      </w:r>
      <w:r w:rsidRPr="002C13A1" w:rsidR="001E71DF">
        <w:rPr>
          <w:szCs w:val="22"/>
        </w:rPr>
        <w:t>transition</w:t>
      </w:r>
      <w:r w:rsidR="001E71DF">
        <w:rPr>
          <w:szCs w:val="22"/>
        </w:rPr>
        <w:t xml:space="preserve">ing to new channels </w:t>
      </w:r>
      <w:r w:rsidR="00434319">
        <w:rPr>
          <w:szCs w:val="22"/>
        </w:rPr>
        <w:t xml:space="preserve">should </w:t>
      </w:r>
      <w:r w:rsidR="001E71DF">
        <w:rPr>
          <w:szCs w:val="22"/>
        </w:rPr>
        <w:t xml:space="preserve">be mindful of the </w:t>
      </w:r>
      <w:r w:rsidR="00AE28BA">
        <w:rPr>
          <w:szCs w:val="22"/>
        </w:rPr>
        <w:t xml:space="preserve">applicable </w:t>
      </w:r>
      <w:r w:rsidR="001E71DF">
        <w:rPr>
          <w:szCs w:val="22"/>
        </w:rPr>
        <w:t>phase transition deadline</w:t>
      </w:r>
      <w:r w:rsidR="00434319">
        <w:rPr>
          <w:szCs w:val="22"/>
        </w:rPr>
        <w:t>,</w:t>
      </w:r>
      <w:r w:rsidR="001E71DF">
        <w:rPr>
          <w:szCs w:val="22"/>
        </w:rPr>
        <w:t xml:space="preserve"> and </w:t>
      </w:r>
      <w:r w:rsidR="00434319">
        <w:rPr>
          <w:szCs w:val="22"/>
        </w:rPr>
        <w:t xml:space="preserve">should </w:t>
      </w:r>
      <w:r w:rsidR="001E71DF">
        <w:rPr>
          <w:szCs w:val="22"/>
        </w:rPr>
        <w:t xml:space="preserve">plan for and initiate the various stages of their </w:t>
      </w:r>
      <w:r w:rsidRPr="00D52D86" w:rsidR="001E71DF">
        <w:rPr>
          <w:szCs w:val="22"/>
        </w:rPr>
        <w:t>construction project</w:t>
      </w:r>
      <w:r w:rsidR="001E71DF">
        <w:rPr>
          <w:szCs w:val="22"/>
        </w:rPr>
        <w:t xml:space="preserve"> in a timely manner to satisfy </w:t>
      </w:r>
      <w:r w:rsidR="00DF3D4C">
        <w:rPr>
          <w:szCs w:val="22"/>
        </w:rPr>
        <w:t xml:space="preserve">their </w:t>
      </w:r>
      <w:r w:rsidR="001E71DF">
        <w:rPr>
          <w:szCs w:val="22"/>
        </w:rPr>
        <w:t>deadlines.</w:t>
      </w:r>
      <w:r w:rsidR="00D52D86">
        <w:rPr>
          <w:szCs w:val="22"/>
        </w:rPr>
        <w:t xml:space="preserve">  W</w:t>
      </w:r>
      <w:r w:rsidR="005C529F">
        <w:rPr>
          <w:szCs w:val="22"/>
        </w:rPr>
        <w:t xml:space="preserve">e have provided </w:t>
      </w:r>
      <w:r w:rsidRPr="00D52D86" w:rsidR="00D52D86">
        <w:rPr>
          <w:szCs w:val="22"/>
        </w:rPr>
        <w:t xml:space="preserve">several tools </w:t>
      </w:r>
      <w:r w:rsidR="005C529F">
        <w:rPr>
          <w:szCs w:val="22"/>
        </w:rPr>
        <w:t xml:space="preserve">that will allow us to provide relief to stations that are ultimately unable to satisfy certain deadlines due to </w:t>
      </w:r>
      <w:r w:rsidRPr="00D52D86" w:rsidR="00D52D86">
        <w:rPr>
          <w:szCs w:val="22"/>
        </w:rPr>
        <w:t>circumstances beyond their control</w:t>
      </w:r>
      <w:r w:rsidR="005C529F">
        <w:rPr>
          <w:szCs w:val="22"/>
        </w:rPr>
        <w:t>.</w:t>
      </w:r>
      <w:r>
        <w:rPr>
          <w:rStyle w:val="FootnoteReference"/>
          <w:szCs w:val="22"/>
        </w:rPr>
        <w:footnoteReference w:id="15"/>
      </w:r>
      <w:r w:rsidR="00D52D86">
        <w:rPr>
          <w:szCs w:val="22"/>
        </w:rPr>
        <w:t xml:space="preserve"> </w:t>
      </w:r>
      <w:r w:rsidR="005C529F">
        <w:rPr>
          <w:szCs w:val="22"/>
        </w:rPr>
        <w:t xml:space="preserve"> Such relief will be granted on a case-by-case basis to accommodate stations that face unforeseen circumstances to prevent a station from going dark.  F</w:t>
      </w:r>
      <w:r w:rsidR="00D52D86">
        <w:rPr>
          <w:szCs w:val="22"/>
        </w:rPr>
        <w:t xml:space="preserve">ailure to timely initiate a construction project </w:t>
      </w:r>
      <w:r w:rsidR="005C529F">
        <w:rPr>
          <w:szCs w:val="22"/>
        </w:rPr>
        <w:t xml:space="preserve">or undertake necessary steps to complete the transition by the phase transition date </w:t>
      </w:r>
      <w:r w:rsidR="00D52D86">
        <w:rPr>
          <w:szCs w:val="22"/>
        </w:rPr>
        <w:t xml:space="preserve">due to the amount of </w:t>
      </w:r>
      <w:r w:rsidR="00FA393C">
        <w:rPr>
          <w:szCs w:val="22"/>
        </w:rPr>
        <w:t>any</w:t>
      </w:r>
      <w:r w:rsidR="005C529F">
        <w:rPr>
          <w:szCs w:val="22"/>
        </w:rPr>
        <w:t xml:space="preserve"> a</w:t>
      </w:r>
      <w:r w:rsidR="00D52D86">
        <w:rPr>
          <w:szCs w:val="22"/>
        </w:rPr>
        <w:t xml:space="preserve">llocation will not be weighed favorably as a factor in </w:t>
      </w:r>
      <w:r w:rsidR="00AE7786">
        <w:rPr>
          <w:szCs w:val="22"/>
        </w:rPr>
        <w:t xml:space="preserve">considering </w:t>
      </w:r>
      <w:r w:rsidR="00D52D86">
        <w:rPr>
          <w:szCs w:val="22"/>
        </w:rPr>
        <w:t xml:space="preserve">such </w:t>
      </w:r>
      <w:r w:rsidR="00AE7786">
        <w:rPr>
          <w:szCs w:val="22"/>
        </w:rPr>
        <w:t>grants of relief</w:t>
      </w:r>
      <w:r w:rsidR="00D52D86">
        <w:rPr>
          <w:szCs w:val="22"/>
        </w:rPr>
        <w:t>.</w:t>
      </w:r>
    </w:p>
    <w:p w:rsidR="006A714B" w:rsidRPr="006567A9" w:rsidP="006567A9">
      <w:pPr>
        <w:autoSpaceDE w:val="0"/>
        <w:autoSpaceDN w:val="0"/>
        <w:spacing w:after="220"/>
        <w:ind w:firstLine="720"/>
        <w:rPr>
          <w:color w:val="0000FF"/>
          <w:u w:val="single"/>
        </w:rPr>
      </w:pPr>
      <w:r>
        <w:rPr>
          <w:i/>
          <w:szCs w:val="22"/>
        </w:rPr>
        <w:t xml:space="preserve">Resources.  </w:t>
      </w:r>
      <w:r w:rsidR="00615870">
        <w:rPr>
          <w:szCs w:val="22"/>
        </w:rPr>
        <w:t>E</w:t>
      </w:r>
      <w:r w:rsidRPr="009614B0" w:rsidR="00D401B0">
        <w:rPr>
          <w:szCs w:val="22"/>
        </w:rPr>
        <w:t xml:space="preserve">ducational and reference materials </w:t>
      </w:r>
      <w:r w:rsidR="00B01AFF">
        <w:rPr>
          <w:szCs w:val="22"/>
        </w:rPr>
        <w:t>about</w:t>
      </w:r>
      <w:r w:rsidRPr="009614B0" w:rsidR="00D401B0">
        <w:rPr>
          <w:szCs w:val="22"/>
        </w:rPr>
        <w:t xml:space="preserve"> </w:t>
      </w:r>
      <w:r w:rsidR="00615870">
        <w:rPr>
          <w:szCs w:val="22"/>
        </w:rPr>
        <w:t>the reimbursement process and the</w:t>
      </w:r>
      <w:r w:rsidR="00B01AFF">
        <w:rPr>
          <w:szCs w:val="22"/>
        </w:rPr>
        <w:t xml:space="preserve"> Reimbursement Form</w:t>
      </w:r>
      <w:r w:rsidRPr="009614B0" w:rsidR="00D401B0">
        <w:rPr>
          <w:szCs w:val="22"/>
        </w:rPr>
        <w:t xml:space="preserve"> </w:t>
      </w:r>
      <w:r w:rsidR="00B01AFF">
        <w:rPr>
          <w:szCs w:val="22"/>
        </w:rPr>
        <w:t>are</w:t>
      </w:r>
      <w:r w:rsidRPr="009614B0" w:rsidR="00D401B0">
        <w:rPr>
          <w:szCs w:val="22"/>
        </w:rPr>
        <w:t xml:space="preserve"> accessible via </w:t>
      </w:r>
      <w:r w:rsidRPr="009614B0" w:rsidR="002E4952">
        <w:rPr>
          <w:szCs w:val="22"/>
        </w:rPr>
        <w:t>the Commission’s website at</w:t>
      </w:r>
      <w:r w:rsidR="00B01AFF">
        <w:rPr>
          <w:szCs w:val="22"/>
        </w:rPr>
        <w:t>:</w:t>
      </w:r>
      <w:r w:rsidR="00876DAD">
        <w:rPr>
          <w:szCs w:val="22"/>
        </w:rPr>
        <w:t xml:space="preserve"> </w:t>
      </w:r>
      <w:r w:rsidRPr="00786109" w:rsidR="006567A9">
        <w:rPr>
          <w:szCs w:val="22"/>
        </w:rPr>
        <w:t>https://</w:t>
      </w:r>
      <w:r w:rsidRPr="00786109" w:rsidR="006567A9">
        <w:t>www.fcc.gov/incentiveauctions/reimbursement</w:t>
      </w:r>
      <w:r w:rsidRPr="009614B0">
        <w:rPr>
          <w:szCs w:val="22"/>
        </w:rPr>
        <w:t>.</w:t>
      </w:r>
      <w:r w:rsidRPr="009614B0" w:rsidR="00D401B0">
        <w:rPr>
          <w:szCs w:val="22"/>
        </w:rPr>
        <w:t xml:space="preserve"> These materials </w:t>
      </w:r>
      <w:r w:rsidR="00624B90">
        <w:rPr>
          <w:szCs w:val="22"/>
        </w:rPr>
        <w:t xml:space="preserve">are </w:t>
      </w:r>
      <w:r w:rsidRPr="009614B0" w:rsidR="00D401B0">
        <w:rPr>
          <w:szCs w:val="22"/>
        </w:rPr>
        <w:t>updated</w:t>
      </w:r>
      <w:r w:rsidR="0018267B">
        <w:rPr>
          <w:szCs w:val="22"/>
        </w:rPr>
        <w:t xml:space="preserve"> frequently</w:t>
      </w:r>
      <w:r w:rsidR="002A4892">
        <w:rPr>
          <w:szCs w:val="22"/>
        </w:rPr>
        <w:t xml:space="preserve"> </w:t>
      </w:r>
      <w:r w:rsidR="0018267B">
        <w:rPr>
          <w:szCs w:val="22"/>
        </w:rPr>
        <w:t xml:space="preserve">with </w:t>
      </w:r>
      <w:r w:rsidR="00624B90">
        <w:rPr>
          <w:szCs w:val="22"/>
        </w:rPr>
        <w:t xml:space="preserve">practical tips </w:t>
      </w:r>
      <w:r w:rsidR="0018267B">
        <w:rPr>
          <w:szCs w:val="22"/>
        </w:rPr>
        <w:t xml:space="preserve">on how to submit various types of </w:t>
      </w:r>
      <w:r w:rsidR="00624B90">
        <w:rPr>
          <w:szCs w:val="22"/>
        </w:rPr>
        <w:t>requests and</w:t>
      </w:r>
      <w:r w:rsidR="0018267B">
        <w:rPr>
          <w:szCs w:val="22"/>
        </w:rPr>
        <w:t xml:space="preserve"> what expenses are not reimbursable, </w:t>
      </w:r>
      <w:r w:rsidR="00624B90">
        <w:rPr>
          <w:szCs w:val="22"/>
        </w:rPr>
        <w:t>and guidance on providing sufficient documentation</w:t>
      </w:r>
      <w:r w:rsidR="0018267B">
        <w:rPr>
          <w:szCs w:val="22"/>
        </w:rPr>
        <w:t>.  W</w:t>
      </w:r>
      <w:r w:rsidR="002A4892">
        <w:rPr>
          <w:szCs w:val="22"/>
        </w:rPr>
        <w:t>e encourage Eligible Entities to r</w:t>
      </w:r>
      <w:r w:rsidR="0018267B">
        <w:rPr>
          <w:szCs w:val="22"/>
        </w:rPr>
        <w:t xml:space="preserve">eview them regularly throughout </w:t>
      </w:r>
      <w:r w:rsidRPr="009614B0" w:rsidR="00D401B0">
        <w:rPr>
          <w:szCs w:val="22"/>
        </w:rPr>
        <w:t>the reimbursement period</w:t>
      </w:r>
      <w:r w:rsidRPr="0018267B" w:rsidR="0018267B">
        <w:rPr>
          <w:szCs w:val="22"/>
        </w:rPr>
        <w:t xml:space="preserve"> </w:t>
      </w:r>
      <w:r w:rsidR="0018267B">
        <w:rPr>
          <w:szCs w:val="22"/>
        </w:rPr>
        <w:t xml:space="preserve">to </w:t>
      </w:r>
      <w:r w:rsidR="00624B90">
        <w:rPr>
          <w:szCs w:val="22"/>
        </w:rPr>
        <w:t>facilitate prompt payment of</w:t>
      </w:r>
      <w:r w:rsidR="0018267B">
        <w:rPr>
          <w:szCs w:val="22"/>
        </w:rPr>
        <w:t xml:space="preserve"> reimbursement requests</w:t>
      </w:r>
      <w:r w:rsidRPr="009614B0" w:rsidR="00D401B0">
        <w:rPr>
          <w:szCs w:val="22"/>
        </w:rPr>
        <w:t>.</w:t>
      </w:r>
    </w:p>
    <w:p w:rsidR="006A714B" w:rsidP="006A714B">
      <w:pPr>
        <w:spacing w:after="120"/>
        <w:ind w:firstLine="720"/>
        <w:rPr>
          <w:szCs w:val="22"/>
        </w:rPr>
      </w:pPr>
      <w:r>
        <w:rPr>
          <w:i/>
          <w:szCs w:val="22"/>
        </w:rPr>
        <w:t xml:space="preserve">Additional Information.  </w:t>
      </w:r>
      <w:r w:rsidRPr="009614B0" w:rsidR="00D44C93">
        <w:rPr>
          <w:szCs w:val="22"/>
        </w:rPr>
        <w:t xml:space="preserve">For questions about the reimbursement process, please call the Reimbursement Help Line at (202) 418-2009, or e-mail </w:t>
      </w:r>
      <w:r w:rsidRPr="00931E7E" w:rsidR="005678A2">
        <w:t>R</w:t>
      </w:r>
      <w:r w:rsidRPr="00931E7E" w:rsidR="00D44C93">
        <w:t>eimburse@fcc.gov</w:t>
      </w:r>
      <w:r w:rsidRPr="009614B0" w:rsidR="00D44C93">
        <w:rPr>
          <w:szCs w:val="22"/>
        </w:rPr>
        <w:t xml:space="preserve">.  Questions about this Public Notice may be directed to </w:t>
      </w:r>
      <w:r w:rsidRPr="0064627E" w:rsidR="00D44C93">
        <w:rPr>
          <w:szCs w:val="22"/>
        </w:rPr>
        <w:t xml:space="preserve">Raphael Sznajder at (202) 418-1648 or </w:t>
      </w:r>
      <w:r w:rsidRPr="0064627E" w:rsidR="00B30FBC">
        <w:rPr>
          <w:szCs w:val="22"/>
        </w:rPr>
        <w:t>Raphael.Sznajder@fcc.gov, or Jeffrey Neumann</w:t>
      </w:r>
      <w:r w:rsidRPr="0064627E" w:rsidR="00D44C93">
        <w:rPr>
          <w:szCs w:val="22"/>
        </w:rPr>
        <w:t xml:space="preserve"> </w:t>
      </w:r>
      <w:r w:rsidRPr="0064627E" w:rsidR="00B30FBC">
        <w:rPr>
          <w:szCs w:val="22"/>
        </w:rPr>
        <w:t xml:space="preserve">at (202) 418-2046 or </w:t>
      </w:r>
      <w:r w:rsidRPr="0064627E" w:rsidR="00B30FBC">
        <w:t>Jeffrey.Neumann@fcc.gov</w:t>
      </w:r>
      <w:r w:rsidR="00744200">
        <w:rPr>
          <w:szCs w:val="22"/>
        </w:rPr>
        <w:t>,</w:t>
      </w:r>
      <w:r w:rsidRPr="009614B0" w:rsidR="00B30FBC">
        <w:rPr>
          <w:szCs w:val="22"/>
        </w:rPr>
        <w:t xml:space="preserve"> </w:t>
      </w:r>
      <w:r w:rsidRPr="009614B0" w:rsidR="00D44C93">
        <w:rPr>
          <w:szCs w:val="22"/>
        </w:rPr>
        <w:t>of the Media Bureau.</w:t>
      </w:r>
      <w:r w:rsidRPr="009614B0">
        <w:rPr>
          <w:szCs w:val="22"/>
        </w:rPr>
        <w:t xml:space="preserve">  Press contact: Charlie Meisch, </w:t>
      </w:r>
      <w:r>
        <w:rPr>
          <w:szCs w:val="22"/>
        </w:rPr>
        <w:t xml:space="preserve">(202) </w:t>
      </w:r>
      <w:r w:rsidRPr="009614B0">
        <w:rPr>
          <w:szCs w:val="22"/>
        </w:rPr>
        <w:t>418-2943</w:t>
      </w:r>
      <w:r>
        <w:rPr>
          <w:szCs w:val="22"/>
        </w:rPr>
        <w:t xml:space="preserve"> or </w:t>
      </w:r>
      <w:r w:rsidRPr="00856B81" w:rsidR="00503B3A">
        <w:rPr>
          <w:szCs w:val="22"/>
        </w:rPr>
        <w:t>C</w:t>
      </w:r>
      <w:r w:rsidRPr="00856B81" w:rsidR="00503B3A">
        <w:t>harles.Meisch@fcc.gov</w:t>
      </w:r>
      <w:r w:rsidRPr="009614B0">
        <w:rPr>
          <w:szCs w:val="22"/>
        </w:rPr>
        <w:t>.</w:t>
      </w:r>
    </w:p>
    <w:p w:rsidR="00AE7786" w:rsidP="006A714B">
      <w:pPr>
        <w:spacing w:after="120"/>
        <w:ind w:firstLine="720"/>
        <w:rPr>
          <w:szCs w:val="22"/>
        </w:rPr>
      </w:pPr>
    </w:p>
    <w:p w:rsidR="00AE7786" w:rsidRPr="009614B0" w:rsidP="006A714B">
      <w:pPr>
        <w:spacing w:after="120"/>
        <w:ind w:firstLine="720"/>
        <w:rPr>
          <w:szCs w:val="22"/>
        </w:rPr>
      </w:pPr>
    </w:p>
    <w:p w:rsidR="00750150" w:rsidRPr="009614B0" w:rsidP="00F3180E">
      <w:pPr>
        <w:jc w:val="center"/>
        <w:rPr>
          <w:b/>
          <w:szCs w:val="22"/>
        </w:rPr>
      </w:pPr>
      <w:r w:rsidRPr="009614B0">
        <w:rPr>
          <w:b/>
          <w:szCs w:val="22"/>
        </w:rPr>
        <w:t xml:space="preserve">- FCC </w:t>
      </w:r>
      <w:r w:rsidRPr="009614B0" w:rsidR="00537D03">
        <w:rPr>
          <w:b/>
          <w:szCs w:val="22"/>
        </w:rPr>
        <w:t>–</w:t>
      </w:r>
      <w:r w:rsidRPr="009614B0">
        <w:rPr>
          <w:b/>
          <w:szCs w:val="22"/>
        </w:rPr>
        <w:t xml:space="preserve"> </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55614C">
    <w:pPr>
      <w:pStyle w:val="Footer"/>
      <w:framePr w:wrap="around" w:vAnchor="text" w:hAnchor="margin" w:xAlign="center" w:y="1"/>
    </w:pPr>
    <w:r>
      <w:fldChar w:fldCharType="begin"/>
    </w:r>
    <w:r>
      <w:instrText xml:space="preserve">PAGE  </w:instrText>
    </w:r>
    <w:r>
      <w:fldChar w:fldCharType="separate"/>
    </w:r>
    <w:r>
      <w:fldChar w:fldCharType="end"/>
    </w:r>
  </w:p>
  <w:p w:rsidR="00C62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55614C">
    <w:pPr>
      <w:pStyle w:val="Footer"/>
      <w:framePr w:wrap="around" w:vAnchor="text" w:hAnchor="margin" w:xAlign="center" w:y="1"/>
    </w:pPr>
    <w:r>
      <w:fldChar w:fldCharType="begin"/>
    </w:r>
    <w:r>
      <w:instrText xml:space="preserve">PAGE  </w:instrText>
    </w:r>
    <w:r>
      <w:fldChar w:fldCharType="separate"/>
    </w:r>
    <w:r w:rsidR="00D63E39">
      <w:rPr>
        <w:noProof/>
      </w:rPr>
      <w:t>2</w:t>
    </w:r>
    <w:r>
      <w:fldChar w:fldCharType="end"/>
    </w:r>
  </w:p>
  <w:p w:rsidR="00C627C6">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627E" w:rsidRPr="00FF55F7" w:rsidP="00FF55F7">
      <w:pPr>
        <w:pStyle w:val="Footer"/>
      </w:pPr>
      <w:r>
        <w:separator/>
      </w:r>
    </w:p>
  </w:footnote>
  <w:footnote w:type="continuationSeparator" w:id="1">
    <w:p w:rsidR="0064627E" w:rsidRPr="00FF55F7" w:rsidP="00FF55F7">
      <w:pPr>
        <w:pStyle w:val="Footer"/>
      </w:pPr>
      <w:r>
        <w:continuationSeparator/>
      </w:r>
    </w:p>
  </w:footnote>
  <w:footnote w:type="continuationNotice" w:id="2">
    <w:p w:rsidR="0064627E" w:rsidRPr="00FF55F7" w:rsidP="00FF55F7">
      <w:pPr>
        <w:pStyle w:val="Footer"/>
      </w:pPr>
    </w:p>
  </w:footnote>
  <w:footnote w:id="3">
    <w:p w:rsidR="00C627C6" w:rsidRPr="00625219" w:rsidP="00DA1C5D">
      <w:pPr>
        <w:widowControl/>
        <w:autoSpaceDE w:val="0"/>
        <w:autoSpaceDN w:val="0"/>
        <w:adjustRightInd w:val="0"/>
        <w:spacing w:after="120"/>
      </w:pPr>
      <w:r w:rsidRPr="00625219">
        <w:rPr>
          <w:rStyle w:val="FootnoteReference"/>
        </w:rPr>
        <w:footnoteRef/>
      </w:r>
      <w:r w:rsidRPr="00625219">
        <w:rPr>
          <w:sz w:val="20"/>
        </w:rPr>
        <w:t xml:space="preserve"> </w:t>
      </w:r>
      <w:r w:rsidRPr="00625219">
        <w:rPr>
          <w:i/>
          <w:sz w:val="20"/>
        </w:rPr>
        <w:t xml:space="preserve">See </w:t>
      </w:r>
      <w:r w:rsidRPr="0064627E">
        <w:rPr>
          <w:i/>
          <w:kern w:val="0"/>
          <w:sz w:val="20"/>
        </w:rPr>
        <w:t>Middle Class Tax Relief and Job Creation Act of 2012</w:t>
      </w:r>
      <w:r w:rsidRPr="0064627E">
        <w:rPr>
          <w:kern w:val="0"/>
          <w:sz w:val="20"/>
        </w:rPr>
        <w:t xml:space="preserve">, Pub. L. No. 112-96, §§ 6402, 6403, 125 Stat. 156 (2012) (Spectrum Act) at § 6403(d)(1); 47 U.S.C. § 309(j)(8)(G)(iii)(I). </w:t>
      </w:r>
    </w:p>
  </w:footnote>
  <w:footnote w:id="4">
    <w:p w:rsidR="007A0A87" w:rsidRPr="00625219">
      <w:pPr>
        <w:pStyle w:val="FootnoteText"/>
      </w:pPr>
      <w:r w:rsidRPr="00625219">
        <w:rPr>
          <w:rStyle w:val="FootnoteReference"/>
        </w:rPr>
        <w:footnoteRef/>
      </w:r>
      <w:r w:rsidRPr="00625219">
        <w:t xml:space="preserve"> </w:t>
      </w:r>
      <w:r w:rsidRPr="00625219" w:rsidR="000D5835">
        <w:rPr>
          <w:i/>
        </w:rPr>
        <w:t>Incentive Auction Task Force and Media Bureau Announce the Initial Reimbursement Allocation for Eligible Broadcasters and MVPDs</w:t>
      </w:r>
      <w:r w:rsidRPr="00625219" w:rsidR="000D5835">
        <w:t xml:space="preserve">, Public Notice, </w:t>
      </w:r>
      <w:r w:rsidR="00417C23">
        <w:t>32</w:t>
      </w:r>
      <w:r w:rsidRPr="00365078" w:rsidR="000D5835">
        <w:t xml:space="preserve"> FCC Rcd</w:t>
      </w:r>
      <w:r w:rsidR="00365078">
        <w:t xml:space="preserve"> </w:t>
      </w:r>
      <w:r w:rsidR="00417C23">
        <w:t>7556</w:t>
      </w:r>
      <w:r w:rsidR="00365078">
        <w:t>,</w:t>
      </w:r>
      <w:r w:rsidR="00417C23">
        <w:t xml:space="preserve"> </w:t>
      </w:r>
      <w:r w:rsidR="00686CD3">
        <w:t>7556</w:t>
      </w:r>
      <w:r w:rsidRPr="00625219" w:rsidR="002964B7">
        <w:t xml:space="preserve"> </w:t>
      </w:r>
      <w:r w:rsidRPr="00625219" w:rsidR="00BE584C">
        <w:t>(IATF/MB 2017)</w:t>
      </w:r>
      <w:r w:rsidR="00BE584C">
        <w:t xml:space="preserve"> </w:t>
      </w:r>
      <w:r w:rsidRPr="00625219" w:rsidR="002964B7">
        <w:rPr>
          <w:i/>
        </w:rPr>
        <w:t>Initial Allocation PN</w:t>
      </w:r>
      <w:r w:rsidRPr="00625219" w:rsidR="002964B7">
        <w:t>)</w:t>
      </w:r>
      <w:r w:rsidRPr="00625219" w:rsidR="000D5835">
        <w:t>.</w:t>
      </w:r>
    </w:p>
  </w:footnote>
  <w:footnote w:id="5">
    <w:p w:rsidR="007C0F31" w:rsidRPr="00625219">
      <w:pPr>
        <w:pStyle w:val="FootnoteText"/>
      </w:pPr>
      <w:r w:rsidRPr="00625219">
        <w:rPr>
          <w:rStyle w:val="FootnoteReference"/>
        </w:rPr>
        <w:footnoteRef/>
      </w:r>
      <w:r w:rsidRPr="00625219">
        <w:t xml:space="preserve"> </w:t>
      </w:r>
      <w:r w:rsidRPr="0064627E" w:rsidR="00625219">
        <w:rPr>
          <w:i/>
        </w:rPr>
        <w:t>I</w:t>
      </w:r>
      <w:r w:rsidRPr="00625219">
        <w:rPr>
          <w:i/>
        </w:rPr>
        <w:t>nitial Allocation PN</w:t>
      </w:r>
      <w:r w:rsidR="00686CD3">
        <w:t>,</w:t>
      </w:r>
      <w:r w:rsidRPr="00625219">
        <w:t xml:space="preserve"> </w:t>
      </w:r>
      <w:r w:rsidR="00686CD3">
        <w:t>32</w:t>
      </w:r>
      <w:r w:rsidRPr="00365078" w:rsidR="00686CD3">
        <w:t xml:space="preserve"> FCC Rcd</w:t>
      </w:r>
      <w:r w:rsidR="00686CD3">
        <w:t xml:space="preserve"> </w:t>
      </w:r>
      <w:r w:rsidRPr="00625219">
        <w:t xml:space="preserve">at </w:t>
      </w:r>
      <w:r w:rsidR="00DE638C">
        <w:t>7556-7557</w:t>
      </w:r>
      <w:r w:rsidRPr="00625219">
        <w:t>.</w:t>
      </w:r>
    </w:p>
  </w:footnote>
  <w:footnote w:id="6">
    <w:p w:rsidR="00C627C6" w:rsidRPr="00625219" w:rsidP="008911F2">
      <w:pPr>
        <w:pStyle w:val="FootnoteText"/>
      </w:pPr>
      <w:r w:rsidRPr="00625219">
        <w:rPr>
          <w:rStyle w:val="FootnoteReference"/>
        </w:rPr>
        <w:footnoteRef/>
      </w:r>
      <w:r w:rsidRPr="00625219">
        <w:rPr>
          <w:i/>
          <w:iCs/>
        </w:rPr>
        <w:t xml:space="preserve"> </w:t>
      </w:r>
      <w:r w:rsidRPr="00625219">
        <w:rPr>
          <w:i/>
        </w:rPr>
        <w:t xml:space="preserve">See </w:t>
      </w:r>
      <w:r w:rsidRPr="0064627E">
        <w:rPr>
          <w:i/>
        </w:rPr>
        <w:t>Expanding the Economic and Innovation Opportunities of Spectrum Through Incentive Auctions</w:t>
      </w:r>
      <w:r w:rsidRPr="0064627E">
        <w:t>, Report and Order, 29 FCC Rcd 6567</w:t>
      </w:r>
      <w:r w:rsidRPr="00625219">
        <w:t>,</w:t>
      </w:r>
      <w:r w:rsidRPr="0064627E">
        <w:t xml:space="preserve"> </w:t>
      </w:r>
      <w:r w:rsidRPr="00625219">
        <w:t>6820, para. 619 (noting the importance of “maintaining the integrity of the Fund,” and delegating authority to the Bureau to “adopt the necessary policies and procedures relating to allocations, draw downs, payments, obligations, and expenditures of money from the [] Fund in order to protect against waste, fraud, and abuse and in the event of bankruptcy.”)</w:t>
      </w:r>
      <w:r w:rsidRPr="0064627E">
        <w:t xml:space="preserve">, </w:t>
      </w:r>
      <w:r w:rsidRPr="0064627E">
        <w:rPr>
          <w:i/>
        </w:rPr>
        <w:t>affirmed, National Association of Broadcasters v. FCC</w:t>
      </w:r>
      <w:r w:rsidRPr="0064627E">
        <w:t>, 789 F.3d 165 (D.C. Cir. 2015) (</w:t>
      </w:r>
      <w:r w:rsidRPr="0064627E">
        <w:rPr>
          <w:i/>
        </w:rPr>
        <w:t>Incentive Auction R&amp;O</w:t>
      </w:r>
      <w:r w:rsidRPr="0064627E">
        <w:t>)</w:t>
      </w:r>
      <w:r w:rsidRPr="00625219">
        <w:t xml:space="preserve">.  </w:t>
      </w:r>
    </w:p>
  </w:footnote>
  <w:footnote w:id="7">
    <w:p w:rsidR="00C627C6" w:rsidRPr="00625219" w:rsidP="008911F2">
      <w:pPr>
        <w:pStyle w:val="FootnoteText"/>
      </w:pPr>
      <w:r w:rsidRPr="00625219">
        <w:rPr>
          <w:rStyle w:val="FootnoteReference"/>
        </w:rPr>
        <w:footnoteRef/>
      </w:r>
      <w:r w:rsidRPr="00625219">
        <w:t xml:space="preserve"> </w:t>
      </w:r>
      <w:r w:rsidRPr="00625219">
        <w:rPr>
          <w:i/>
        </w:rPr>
        <w:t xml:space="preserve">See </w:t>
      </w:r>
      <w:r w:rsidRPr="0064627E">
        <w:rPr>
          <w:i/>
        </w:rPr>
        <w:t>id.</w:t>
      </w:r>
      <w:r w:rsidRPr="0064627E">
        <w:t xml:space="preserve"> at 6812-6826, paras. 598-636</w:t>
      </w:r>
      <w:r w:rsidRPr="00625219">
        <w:t xml:space="preserve">.  </w:t>
      </w:r>
      <w:r w:rsidRPr="0064627E">
        <w:rPr>
          <w:i/>
        </w:rPr>
        <w:t>S</w:t>
      </w:r>
      <w:r w:rsidRPr="00625219">
        <w:rPr>
          <w:i/>
        </w:rPr>
        <w:t xml:space="preserve">ee also, </w:t>
      </w:r>
      <w:r w:rsidRPr="0064627E">
        <w:rPr>
          <w:i/>
        </w:rPr>
        <w:t>supra</w:t>
      </w:r>
      <w:r w:rsidRPr="0064627E">
        <w:t xml:space="preserve"> n</w:t>
      </w:r>
      <w:r w:rsidRPr="0064627E" w:rsidR="000420C7">
        <w:t>.</w:t>
      </w:r>
      <w:r w:rsidRPr="0064627E">
        <w:t xml:space="preserve"> 1.</w:t>
      </w:r>
    </w:p>
  </w:footnote>
  <w:footnote w:id="8">
    <w:p w:rsidR="00EC7CE2">
      <w:pPr>
        <w:pStyle w:val="FootnoteText"/>
      </w:pPr>
      <w:r w:rsidRPr="00625219">
        <w:rPr>
          <w:rStyle w:val="FootnoteReference"/>
        </w:rPr>
        <w:footnoteRef/>
      </w:r>
      <w:r w:rsidRPr="00625219">
        <w:t xml:space="preserve"> </w:t>
      </w:r>
      <w:r w:rsidRPr="00625219" w:rsidR="002964B7">
        <w:rPr>
          <w:i/>
        </w:rPr>
        <w:t>Initial Allocation PN</w:t>
      </w:r>
      <w:r w:rsidR="00DE638C">
        <w:t>,</w:t>
      </w:r>
      <w:r w:rsidRPr="00625219" w:rsidR="000D5835">
        <w:t xml:space="preserve"> </w:t>
      </w:r>
      <w:r w:rsidR="00DE638C">
        <w:t>32</w:t>
      </w:r>
      <w:r w:rsidRPr="00365078" w:rsidR="00DE638C">
        <w:t xml:space="preserve"> FCC Rcd</w:t>
      </w:r>
      <w:r w:rsidR="00DE638C">
        <w:t xml:space="preserve"> </w:t>
      </w:r>
      <w:r w:rsidRPr="00625219" w:rsidR="00DE638C">
        <w:t xml:space="preserve">at </w:t>
      </w:r>
      <w:r w:rsidR="00DE638C">
        <w:t>7556-7557</w:t>
      </w:r>
      <w:r w:rsidRPr="00625219" w:rsidR="000D5835">
        <w:t>.</w:t>
      </w:r>
    </w:p>
  </w:footnote>
  <w:footnote w:id="9">
    <w:p w:rsidR="00311EAE" w:rsidRPr="00625219" w:rsidP="00311EAE">
      <w:pPr>
        <w:pStyle w:val="FootnoteText"/>
      </w:pPr>
      <w:r w:rsidRPr="00625219">
        <w:rPr>
          <w:rStyle w:val="FootnoteReference"/>
        </w:rPr>
        <w:footnoteRef/>
      </w:r>
      <w:r w:rsidRPr="00625219">
        <w:t xml:space="preserve"> The precise allocation</w:t>
      </w:r>
      <w:r w:rsidRPr="00625219">
        <w:rPr>
          <w:i/>
        </w:rPr>
        <w:t xml:space="preserve"> </w:t>
      </w:r>
      <w:r w:rsidRPr="00625219" w:rsidR="00DF3D4C">
        <w:t>was</w:t>
      </w:r>
      <w:r w:rsidRPr="00625219">
        <w:t xml:space="preserve"> $1,</w:t>
      </w:r>
      <w:r w:rsidRPr="00625219" w:rsidR="00BC5E66">
        <w:t>000,003,751.80.</w:t>
      </w:r>
      <w:r w:rsidRPr="00625219" w:rsidR="00DF3D4C">
        <w:t xml:space="preserve">  </w:t>
      </w:r>
      <w:r w:rsidR="00572F71">
        <w:rPr>
          <w:i/>
        </w:rPr>
        <w:t>Id.</w:t>
      </w:r>
      <w:r w:rsidR="00705BC9">
        <w:t xml:space="preserve"> </w:t>
      </w:r>
      <w:r w:rsidRPr="00625219" w:rsidR="00705BC9">
        <w:t xml:space="preserve">at </w:t>
      </w:r>
      <w:r w:rsidR="00705BC9">
        <w:t>7558,</w:t>
      </w:r>
      <w:r w:rsidRPr="00625219" w:rsidR="00DF3D4C">
        <w:t xml:space="preserve"> n.15.</w:t>
      </w:r>
    </w:p>
  </w:footnote>
  <w:footnote w:id="10">
    <w:p w:rsidR="001F4477" w:rsidRPr="00625219">
      <w:pPr>
        <w:pStyle w:val="FootnoteText"/>
      </w:pPr>
      <w:r w:rsidRPr="00625219">
        <w:rPr>
          <w:rStyle w:val="FootnoteReference"/>
        </w:rPr>
        <w:footnoteRef/>
      </w:r>
      <w:r w:rsidRPr="00625219">
        <w:t xml:space="preserve"> </w:t>
      </w:r>
      <w:r w:rsidR="00705BC9">
        <w:rPr>
          <w:i/>
        </w:rPr>
        <w:t>Id.</w:t>
      </w:r>
      <w:r w:rsidR="00705BC9">
        <w:t xml:space="preserve"> </w:t>
      </w:r>
      <w:r w:rsidRPr="00625219" w:rsidR="00705BC9">
        <w:t xml:space="preserve">at </w:t>
      </w:r>
      <w:r w:rsidR="00705BC9">
        <w:t>7558</w:t>
      </w:r>
      <w:r w:rsidRPr="00625219">
        <w:t>.</w:t>
      </w:r>
    </w:p>
  </w:footnote>
  <w:footnote w:id="11">
    <w:p w:rsidR="00D02AF2" w:rsidRPr="00625219">
      <w:pPr>
        <w:pStyle w:val="FootnoteText"/>
      </w:pPr>
      <w:r w:rsidRPr="00625219">
        <w:rPr>
          <w:rStyle w:val="FootnoteReference"/>
        </w:rPr>
        <w:footnoteRef/>
      </w:r>
      <w:r w:rsidRPr="00625219">
        <w:t xml:space="preserve"> </w:t>
      </w:r>
      <w:r w:rsidR="00705BC9">
        <w:rPr>
          <w:i/>
        </w:rPr>
        <w:t>Id.</w:t>
      </w:r>
      <w:r w:rsidR="00705BC9">
        <w:t xml:space="preserve"> </w:t>
      </w:r>
      <w:r w:rsidRPr="00625219" w:rsidR="00705BC9">
        <w:t xml:space="preserve">at </w:t>
      </w:r>
      <w:r w:rsidR="00705BC9">
        <w:t>7559</w:t>
      </w:r>
      <w:r w:rsidRPr="00625219">
        <w:t>.</w:t>
      </w:r>
    </w:p>
  </w:footnote>
  <w:footnote w:id="12">
    <w:p w:rsidR="005874FD" w:rsidRPr="00625219" w:rsidP="005874FD">
      <w:pPr>
        <w:pStyle w:val="FootnoteText"/>
      </w:pPr>
      <w:r w:rsidRPr="00625219">
        <w:rPr>
          <w:rStyle w:val="FootnoteReference"/>
        </w:rPr>
        <w:footnoteRef/>
      </w:r>
      <w:r w:rsidRPr="00625219">
        <w:t xml:space="preserve"> </w:t>
      </w:r>
      <w:r w:rsidR="00705BC9">
        <w:rPr>
          <w:i/>
        </w:rPr>
        <w:t>Id.</w:t>
      </w:r>
      <w:r w:rsidR="00705BC9">
        <w:t xml:space="preserve"> </w:t>
      </w:r>
      <w:r w:rsidRPr="00625219" w:rsidR="00705BC9">
        <w:t xml:space="preserve">at </w:t>
      </w:r>
      <w:r w:rsidR="00705BC9">
        <w:t>7558</w:t>
      </w:r>
      <w:r w:rsidRPr="00625219">
        <w:t xml:space="preserve">. </w:t>
      </w:r>
      <w:r w:rsidRPr="00625219">
        <w:rPr>
          <w:i/>
        </w:rPr>
        <w:t>See also</w:t>
      </w:r>
      <w:r w:rsidRPr="00625219">
        <w:t xml:space="preserve"> </w:t>
      </w:r>
      <w:r w:rsidRPr="00625219">
        <w:rPr>
          <w:i/>
        </w:rPr>
        <w:t>Incentive Auction Task Force and Media Bureau Finalize Catalog of Reimbursement Expenses</w:t>
      </w:r>
      <w:r w:rsidRPr="00625219">
        <w:t>, Public Notice, 32 FCC Rcd 1199, 1205, para. 12 (IATF/MB 2017) (adopting methodology for annually updating baseline costs listed in the Cost Catalog using the Producer Price Index (PPI), WPUFD4 series, as calculated by the Bureau of Labor Statistics, to ensure that the baseline costs remain current throughout the reimbursement period, and further noting that if actual price increases outpaced the PPI we would propose adjusting the baseline costs accordingly).</w:t>
      </w:r>
    </w:p>
  </w:footnote>
  <w:footnote w:id="13">
    <w:p w:rsidR="00C627C6" w:rsidP="00487A6D">
      <w:pPr>
        <w:pStyle w:val="FootnoteText"/>
      </w:pPr>
      <w:r w:rsidRPr="00625219">
        <w:rPr>
          <w:rStyle w:val="FootnoteReference"/>
        </w:rPr>
        <w:footnoteRef/>
      </w:r>
      <w:r w:rsidRPr="00625219">
        <w:rPr>
          <w:szCs w:val="22"/>
        </w:rPr>
        <w:t xml:space="preserve"> </w:t>
      </w:r>
      <w:r w:rsidRPr="00625219">
        <w:rPr>
          <w:i/>
        </w:rPr>
        <w:t>Incentive Auction R&amp;O</w:t>
      </w:r>
      <w:r w:rsidRPr="00625219">
        <w:t>, 29 FCC Rcd</w:t>
      </w:r>
      <w:r w:rsidRPr="0064627E">
        <w:t xml:space="preserve"> at</w:t>
      </w:r>
      <w:r w:rsidRPr="00625219">
        <w:t xml:space="preserve"> 6818, para. 614</w:t>
      </w:r>
      <w:r w:rsidRPr="0064627E">
        <w:t xml:space="preserve"> (</w:t>
      </w:r>
      <w:r w:rsidRPr="00625219">
        <w:t>citing PTV Comments at 28–29).</w:t>
      </w:r>
    </w:p>
  </w:footnote>
  <w:footnote w:id="14">
    <w:p w:rsidR="00C627C6" w:rsidRPr="00CC27BF" w:rsidP="00F273F1">
      <w:pPr>
        <w:pStyle w:val="FootnoteText"/>
      </w:pPr>
      <w:r w:rsidRPr="00CC27BF">
        <w:rPr>
          <w:rStyle w:val="FootnoteReference"/>
        </w:rPr>
        <w:footnoteRef/>
      </w:r>
      <w:r w:rsidRPr="00CC27BF">
        <w:t xml:space="preserve"> </w:t>
      </w:r>
      <w:r>
        <w:rPr>
          <w:i/>
        </w:rPr>
        <w:t>Id.</w:t>
      </w:r>
      <w:r w:rsidRPr="00F650CA">
        <w:rPr>
          <w:i/>
        </w:rPr>
        <w:t xml:space="preserve"> </w:t>
      </w:r>
      <w:r w:rsidRPr="00F650CA">
        <w:t xml:space="preserve">at 6815-16, para. 607; </w:t>
      </w:r>
      <w:r>
        <w:rPr>
          <w:i/>
        </w:rPr>
        <w:t xml:space="preserve">and see </w:t>
      </w:r>
      <w:r w:rsidRPr="00DA646D">
        <w:rPr>
          <w:i/>
        </w:rPr>
        <w:t>Incentive Auction Closing and Channel Reassignment Pub. Notice the Broad. TV Incentive Auction Closes; Reverse Auction and Forward Auction Results A</w:t>
      </w:r>
      <w:r>
        <w:rPr>
          <w:i/>
        </w:rPr>
        <w:t xml:space="preserve">nnounced; Final TV Band Channel </w:t>
      </w:r>
      <w:r w:rsidRPr="00DA646D">
        <w:rPr>
          <w:i/>
        </w:rPr>
        <w:t>Assignments Announced; Post-Auction Deadlines Announced</w:t>
      </w:r>
      <w:r w:rsidRPr="00DA646D">
        <w:t>, Public Notice, 32 FCC Rcd 2786,</w:t>
      </w:r>
      <w:r>
        <w:t xml:space="preserve"> 2816, para. </w:t>
      </w:r>
      <w:r w:rsidRPr="00F650CA">
        <w:t>90</w:t>
      </w:r>
      <w:r>
        <w:t xml:space="preserve"> </w:t>
      </w:r>
      <w:r w:rsidRPr="00DA646D">
        <w:t>(2017)</w:t>
      </w:r>
      <w:r>
        <w:t>.</w:t>
      </w:r>
    </w:p>
  </w:footnote>
  <w:footnote w:id="15">
    <w:p w:rsidR="00C627C6">
      <w:pPr>
        <w:pStyle w:val="FootnoteText"/>
      </w:pPr>
      <w:r>
        <w:rPr>
          <w:rStyle w:val="FootnoteReference"/>
        </w:rPr>
        <w:footnoteRef/>
      </w:r>
      <w:r>
        <w:t xml:space="preserve"> </w:t>
      </w:r>
      <w:r w:rsidRPr="00D52D86">
        <w:rPr>
          <w:szCs w:val="22"/>
        </w:rPr>
        <w:t>These tools include</w:t>
      </w:r>
      <w:r>
        <w:rPr>
          <w:szCs w:val="22"/>
        </w:rPr>
        <w:t xml:space="preserve"> t</w:t>
      </w:r>
      <w:r w:rsidRPr="00D52D86">
        <w:rPr>
          <w:szCs w:val="22"/>
        </w:rPr>
        <w:t>emporarily operating on the post-auction channel at variance with reduced power</w:t>
      </w:r>
      <w:r>
        <w:rPr>
          <w:szCs w:val="22"/>
        </w:rPr>
        <w:t>, t</w:t>
      </w:r>
      <w:r w:rsidRPr="00D52D86">
        <w:rPr>
          <w:szCs w:val="22"/>
        </w:rPr>
        <w:t>emporarily operating from an interim or an auxiliary facility</w:t>
      </w:r>
      <w:r>
        <w:rPr>
          <w:szCs w:val="22"/>
        </w:rPr>
        <w:t>, t</w:t>
      </w:r>
      <w:r w:rsidRPr="00D52D86">
        <w:rPr>
          <w:szCs w:val="22"/>
        </w:rPr>
        <w:t>emporarily operating on an alternate channel</w:t>
      </w:r>
      <w:r>
        <w:rPr>
          <w:szCs w:val="22"/>
        </w:rPr>
        <w:t>, t</w:t>
      </w:r>
      <w:r w:rsidRPr="00D52D86">
        <w:rPr>
          <w:szCs w:val="22"/>
        </w:rPr>
        <w:t>emporarily engaging in the joint use of another channel</w:t>
      </w:r>
      <w:r>
        <w:rPr>
          <w:szCs w:val="22"/>
        </w:rPr>
        <w:t>,</w:t>
      </w:r>
      <w:r w:rsidR="001750DD">
        <w:rPr>
          <w:szCs w:val="22"/>
        </w:rPr>
        <w:t xml:space="preserve"> or</w:t>
      </w:r>
      <w:r>
        <w:rPr>
          <w:szCs w:val="22"/>
        </w:rPr>
        <w:t xml:space="preserve"> o</w:t>
      </w:r>
      <w:r w:rsidRPr="00D52D86">
        <w:rPr>
          <w:szCs w:val="22"/>
        </w:rPr>
        <w:t>ther arrangements agreed upon by the other affected stations</w:t>
      </w:r>
      <w:r>
        <w:rPr>
          <w:szCs w:val="22"/>
        </w:rPr>
        <w:t xml:space="preserve">.  </w:t>
      </w:r>
      <w:r w:rsidRPr="005C5C60">
        <w:rPr>
          <w:i/>
          <w:szCs w:val="22"/>
        </w:rPr>
        <w:t>See Incentive Auction Task Force and Media Bureau Adopt a Post-Incentive Auction Transition Scheduling Plan</w:t>
      </w:r>
      <w:r w:rsidRPr="005C5C60">
        <w:rPr>
          <w:szCs w:val="22"/>
        </w:rPr>
        <w:t xml:space="preserve">, </w:t>
      </w:r>
      <w:r>
        <w:rPr>
          <w:szCs w:val="22"/>
        </w:rPr>
        <w:t>Public Notice, 32 FCC Rcd 890</w:t>
      </w:r>
      <w:r w:rsidRPr="005C5C60">
        <w:rPr>
          <w:szCs w:val="22"/>
        </w:rPr>
        <w:t xml:space="preserve"> (IATF/MB 2017</w:t>
      </w:r>
      <w:r>
        <w:rPr>
          <w:szCs w:val="22"/>
        </w:rPr>
        <w:t xml:space="preserve">); </w:t>
      </w:r>
      <w:r>
        <w:rPr>
          <w:i/>
          <w:szCs w:val="22"/>
        </w:rPr>
        <w:t xml:space="preserve">and </w:t>
      </w:r>
      <w:r w:rsidRPr="005C5C60">
        <w:rPr>
          <w:i/>
          <w:szCs w:val="22"/>
        </w:rPr>
        <w:t>Incentive Auction Task Force and Media Bureau Announce Procedures for the Post-Incentive Auction Broadcast Transition</w:t>
      </w:r>
      <w:r>
        <w:rPr>
          <w:szCs w:val="22"/>
        </w:rPr>
        <w:t>, Public Notice, 32 FCC Rcd 858</w:t>
      </w:r>
      <w:r w:rsidRPr="005C5C60">
        <w:rPr>
          <w:szCs w:val="22"/>
        </w:rPr>
        <w:t xml:space="preserve"> (IATF/MB 2017)</w:t>
      </w:r>
      <w:r>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810B6F">
    <w:pPr>
      <w:pStyle w:val="Header"/>
      <w:rPr>
        <w:b w:val="0"/>
      </w:rPr>
    </w:pPr>
    <w:r>
      <w:tab/>
      <w:t>Federal Communications Commission</w:t>
    </w:r>
    <w:r>
      <w:tab/>
      <w:t>DA 1</w:t>
    </w:r>
    <w:r w:rsidR="00336940">
      <w:t>8</w:t>
    </w:r>
    <w:r>
      <w:t>-</w:t>
    </w:r>
    <w:r w:rsidR="001E43D8">
      <w:t>223</w:t>
    </w:r>
  </w:p>
  <w:p w:rsidR="00C627C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627C6">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RPr="00BA6E7A" w:rsidP="00750150">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27C6" w:rsidP="00750150">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C627C6" w:rsidP="00750150" w14:paraId="0D1160ED"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1"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0936"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C627C6" w:rsidRPr="005068D8" w:rsidP="00750150">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27C6" w:rsidP="00750150">
                          <w:pPr>
                            <w:spacing w:before="40"/>
                            <w:jc w:val="right"/>
                          </w:pPr>
                          <w:r>
                            <w:rPr>
                              <w:rFonts w:ascii="Arial" w:hAnsi="Arial"/>
                              <w:b/>
                              <w:sz w:val="16"/>
                            </w:rPr>
                            <w:t>News Media Information: 202-418-0500</w:t>
                          </w:r>
                          <w:r>
                            <w:rPr>
                              <w:rFonts w:ascii="Arial" w:hAnsi="Arial"/>
                              <w:b/>
                              <w:sz w:val="16"/>
                            </w:rPr>
                            <w:br/>
                            <w:t xml:space="preserve">Internet: </w:t>
                          </w:r>
                          <w:r w:rsidRPr="00967716">
                            <w:rPr>
                              <w:rFonts w:ascii="Arial" w:hAnsi="Arial"/>
                              <w:b/>
                              <w:sz w:val="16"/>
                            </w:rPr>
                            <w:t>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627C6" w:rsidP="00750150" w14:paraId="5A10372D" w14:textId="267E128F">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v:textbox>
            </v:shape>
          </w:pict>
        </mc:Fallback>
      </mc:AlternateContent>
    </w:r>
  </w:p>
  <w:p w:rsidR="00C627C6" w:rsidRPr="00750150" w:rsidP="00750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E81BBD"/>
    <w:multiLevelType w:val="hybridMultilevel"/>
    <w:tmpl w:val="C50047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7E1152"/>
    <w:multiLevelType w:val="hybridMultilevel"/>
    <w:tmpl w:val="3D8EB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7CF2319"/>
    <w:multiLevelType w:val="hybridMultilevel"/>
    <w:tmpl w:val="3F0AC7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50"/>
    <w:rsid w:val="0001363F"/>
    <w:rsid w:val="00013F69"/>
    <w:rsid w:val="0002248F"/>
    <w:rsid w:val="000258BA"/>
    <w:rsid w:val="00030929"/>
    <w:rsid w:val="00036039"/>
    <w:rsid w:val="00037F90"/>
    <w:rsid w:val="00041E02"/>
    <w:rsid w:val="000420C7"/>
    <w:rsid w:val="00043204"/>
    <w:rsid w:val="00045290"/>
    <w:rsid w:val="00046A13"/>
    <w:rsid w:val="00055948"/>
    <w:rsid w:val="00062C17"/>
    <w:rsid w:val="00065CA5"/>
    <w:rsid w:val="000755F8"/>
    <w:rsid w:val="00077D78"/>
    <w:rsid w:val="00080252"/>
    <w:rsid w:val="00085F6B"/>
    <w:rsid w:val="000875BF"/>
    <w:rsid w:val="00090331"/>
    <w:rsid w:val="00090364"/>
    <w:rsid w:val="00091554"/>
    <w:rsid w:val="00093302"/>
    <w:rsid w:val="00093785"/>
    <w:rsid w:val="00096445"/>
    <w:rsid w:val="0009653D"/>
    <w:rsid w:val="00096D8C"/>
    <w:rsid w:val="000A3174"/>
    <w:rsid w:val="000A5B63"/>
    <w:rsid w:val="000A760A"/>
    <w:rsid w:val="000B3816"/>
    <w:rsid w:val="000B4856"/>
    <w:rsid w:val="000B5D98"/>
    <w:rsid w:val="000B5EED"/>
    <w:rsid w:val="000B74B7"/>
    <w:rsid w:val="000C0B65"/>
    <w:rsid w:val="000C3FEF"/>
    <w:rsid w:val="000C4E5C"/>
    <w:rsid w:val="000D5835"/>
    <w:rsid w:val="000E05FE"/>
    <w:rsid w:val="000E3D42"/>
    <w:rsid w:val="000E5E42"/>
    <w:rsid w:val="000F6696"/>
    <w:rsid w:val="0010442A"/>
    <w:rsid w:val="001065D7"/>
    <w:rsid w:val="00107B2F"/>
    <w:rsid w:val="00122BD5"/>
    <w:rsid w:val="001238FB"/>
    <w:rsid w:val="00124FA7"/>
    <w:rsid w:val="001311A6"/>
    <w:rsid w:val="0013358C"/>
    <w:rsid w:val="00133F79"/>
    <w:rsid w:val="00140B25"/>
    <w:rsid w:val="00143986"/>
    <w:rsid w:val="00146BAC"/>
    <w:rsid w:val="00147C1B"/>
    <w:rsid w:val="001516F3"/>
    <w:rsid w:val="00152948"/>
    <w:rsid w:val="001535F1"/>
    <w:rsid w:val="00163117"/>
    <w:rsid w:val="001647B0"/>
    <w:rsid w:val="00171758"/>
    <w:rsid w:val="001730CD"/>
    <w:rsid w:val="001750DD"/>
    <w:rsid w:val="00176E34"/>
    <w:rsid w:val="001806AE"/>
    <w:rsid w:val="0018267B"/>
    <w:rsid w:val="00182C4D"/>
    <w:rsid w:val="00187722"/>
    <w:rsid w:val="00187E6F"/>
    <w:rsid w:val="00191D00"/>
    <w:rsid w:val="00191F4F"/>
    <w:rsid w:val="00194A66"/>
    <w:rsid w:val="00194FA4"/>
    <w:rsid w:val="001952DE"/>
    <w:rsid w:val="0019642C"/>
    <w:rsid w:val="001A6701"/>
    <w:rsid w:val="001C623A"/>
    <w:rsid w:val="001C7BFE"/>
    <w:rsid w:val="001D4044"/>
    <w:rsid w:val="001D6BCF"/>
    <w:rsid w:val="001D7681"/>
    <w:rsid w:val="001E01CA"/>
    <w:rsid w:val="001E43D8"/>
    <w:rsid w:val="001E71DF"/>
    <w:rsid w:val="001F0513"/>
    <w:rsid w:val="001F4477"/>
    <w:rsid w:val="0020659D"/>
    <w:rsid w:val="002169A2"/>
    <w:rsid w:val="00217161"/>
    <w:rsid w:val="002240A2"/>
    <w:rsid w:val="00231349"/>
    <w:rsid w:val="00232C63"/>
    <w:rsid w:val="00237CEE"/>
    <w:rsid w:val="00241C4F"/>
    <w:rsid w:val="002477D5"/>
    <w:rsid w:val="00251824"/>
    <w:rsid w:val="00252487"/>
    <w:rsid w:val="002539AB"/>
    <w:rsid w:val="00254639"/>
    <w:rsid w:val="0025649D"/>
    <w:rsid w:val="00256A63"/>
    <w:rsid w:val="002611E6"/>
    <w:rsid w:val="00263D06"/>
    <w:rsid w:val="00265513"/>
    <w:rsid w:val="00270E39"/>
    <w:rsid w:val="00274560"/>
    <w:rsid w:val="00275CF5"/>
    <w:rsid w:val="00277A5B"/>
    <w:rsid w:val="0028301F"/>
    <w:rsid w:val="002843A1"/>
    <w:rsid w:val="00285017"/>
    <w:rsid w:val="002851B2"/>
    <w:rsid w:val="00292B97"/>
    <w:rsid w:val="00293D4F"/>
    <w:rsid w:val="00294D53"/>
    <w:rsid w:val="00294EB9"/>
    <w:rsid w:val="002964B7"/>
    <w:rsid w:val="002A2D2E"/>
    <w:rsid w:val="002A4892"/>
    <w:rsid w:val="002B0537"/>
    <w:rsid w:val="002B46B4"/>
    <w:rsid w:val="002B6FE0"/>
    <w:rsid w:val="002B7C81"/>
    <w:rsid w:val="002C00E8"/>
    <w:rsid w:val="002C13A1"/>
    <w:rsid w:val="002C23E1"/>
    <w:rsid w:val="002C2D9B"/>
    <w:rsid w:val="002C53F3"/>
    <w:rsid w:val="002D2C19"/>
    <w:rsid w:val="002D56B7"/>
    <w:rsid w:val="002D663A"/>
    <w:rsid w:val="002E14AD"/>
    <w:rsid w:val="002E1B41"/>
    <w:rsid w:val="002E488A"/>
    <w:rsid w:val="002E4952"/>
    <w:rsid w:val="002F2178"/>
    <w:rsid w:val="002F57A4"/>
    <w:rsid w:val="00300646"/>
    <w:rsid w:val="003035D3"/>
    <w:rsid w:val="00305FE3"/>
    <w:rsid w:val="00311EAE"/>
    <w:rsid w:val="003127E1"/>
    <w:rsid w:val="00317E91"/>
    <w:rsid w:val="0032040D"/>
    <w:rsid w:val="003208CD"/>
    <w:rsid w:val="00322769"/>
    <w:rsid w:val="00322EE9"/>
    <w:rsid w:val="00323BC5"/>
    <w:rsid w:val="00324FED"/>
    <w:rsid w:val="003327BC"/>
    <w:rsid w:val="00336940"/>
    <w:rsid w:val="00336C05"/>
    <w:rsid w:val="00340126"/>
    <w:rsid w:val="00341AC9"/>
    <w:rsid w:val="00343749"/>
    <w:rsid w:val="00344516"/>
    <w:rsid w:val="00353C2A"/>
    <w:rsid w:val="00353EEE"/>
    <w:rsid w:val="00356908"/>
    <w:rsid w:val="003611A1"/>
    <w:rsid w:val="003621FF"/>
    <w:rsid w:val="00363F80"/>
    <w:rsid w:val="0036489B"/>
    <w:rsid w:val="00365078"/>
    <w:rsid w:val="003660ED"/>
    <w:rsid w:val="00367EFD"/>
    <w:rsid w:val="00370D7C"/>
    <w:rsid w:val="0037211A"/>
    <w:rsid w:val="00376AC6"/>
    <w:rsid w:val="00380B5B"/>
    <w:rsid w:val="00380C3E"/>
    <w:rsid w:val="00381003"/>
    <w:rsid w:val="00383B89"/>
    <w:rsid w:val="00392F03"/>
    <w:rsid w:val="003946FB"/>
    <w:rsid w:val="003A031B"/>
    <w:rsid w:val="003A515D"/>
    <w:rsid w:val="003A7269"/>
    <w:rsid w:val="003A767A"/>
    <w:rsid w:val="003B0550"/>
    <w:rsid w:val="003B204D"/>
    <w:rsid w:val="003B694F"/>
    <w:rsid w:val="003C4D0B"/>
    <w:rsid w:val="003C4D7E"/>
    <w:rsid w:val="003D1A20"/>
    <w:rsid w:val="003D309A"/>
    <w:rsid w:val="003E37E2"/>
    <w:rsid w:val="003E3DB0"/>
    <w:rsid w:val="003F171C"/>
    <w:rsid w:val="003F1AB3"/>
    <w:rsid w:val="0040141E"/>
    <w:rsid w:val="004026BC"/>
    <w:rsid w:val="004035CB"/>
    <w:rsid w:val="004064B5"/>
    <w:rsid w:val="00406684"/>
    <w:rsid w:val="00412FC5"/>
    <w:rsid w:val="00417C23"/>
    <w:rsid w:val="00422276"/>
    <w:rsid w:val="004242F1"/>
    <w:rsid w:val="004261A9"/>
    <w:rsid w:val="004268DC"/>
    <w:rsid w:val="00434319"/>
    <w:rsid w:val="00437270"/>
    <w:rsid w:val="0043736B"/>
    <w:rsid w:val="00437944"/>
    <w:rsid w:val="00443729"/>
    <w:rsid w:val="00443AE0"/>
    <w:rsid w:val="004449DA"/>
    <w:rsid w:val="00445A00"/>
    <w:rsid w:val="00447BD2"/>
    <w:rsid w:val="00451B0F"/>
    <w:rsid w:val="00452DC3"/>
    <w:rsid w:val="00454188"/>
    <w:rsid w:val="00454513"/>
    <w:rsid w:val="0046164A"/>
    <w:rsid w:val="004625E7"/>
    <w:rsid w:val="00464F0C"/>
    <w:rsid w:val="00466037"/>
    <w:rsid w:val="004709FC"/>
    <w:rsid w:val="00473760"/>
    <w:rsid w:val="0048362E"/>
    <w:rsid w:val="0048454E"/>
    <w:rsid w:val="00487A6D"/>
    <w:rsid w:val="00490337"/>
    <w:rsid w:val="00493318"/>
    <w:rsid w:val="00496FEE"/>
    <w:rsid w:val="004A3FAB"/>
    <w:rsid w:val="004A494C"/>
    <w:rsid w:val="004A66C3"/>
    <w:rsid w:val="004A7046"/>
    <w:rsid w:val="004A7B09"/>
    <w:rsid w:val="004B0438"/>
    <w:rsid w:val="004B0DE5"/>
    <w:rsid w:val="004B281C"/>
    <w:rsid w:val="004B2A92"/>
    <w:rsid w:val="004C2EE3"/>
    <w:rsid w:val="004C36AD"/>
    <w:rsid w:val="004C78C4"/>
    <w:rsid w:val="004E2FF2"/>
    <w:rsid w:val="004E4A22"/>
    <w:rsid w:val="004E5F75"/>
    <w:rsid w:val="004F4BAF"/>
    <w:rsid w:val="004F5827"/>
    <w:rsid w:val="004F6AE4"/>
    <w:rsid w:val="004F740F"/>
    <w:rsid w:val="00501F11"/>
    <w:rsid w:val="00503B3A"/>
    <w:rsid w:val="005068D8"/>
    <w:rsid w:val="00507A79"/>
    <w:rsid w:val="00511968"/>
    <w:rsid w:val="00511EFA"/>
    <w:rsid w:val="0051249A"/>
    <w:rsid w:val="00512AB5"/>
    <w:rsid w:val="00513895"/>
    <w:rsid w:val="00513AC9"/>
    <w:rsid w:val="00514460"/>
    <w:rsid w:val="00523BFF"/>
    <w:rsid w:val="00527B04"/>
    <w:rsid w:val="00527FC2"/>
    <w:rsid w:val="00537D03"/>
    <w:rsid w:val="00545A24"/>
    <w:rsid w:val="0055614C"/>
    <w:rsid w:val="00557315"/>
    <w:rsid w:val="00561EE8"/>
    <w:rsid w:val="005641CE"/>
    <w:rsid w:val="005678A2"/>
    <w:rsid w:val="00572F71"/>
    <w:rsid w:val="00573CFF"/>
    <w:rsid w:val="0057529C"/>
    <w:rsid w:val="00577A4A"/>
    <w:rsid w:val="005842FC"/>
    <w:rsid w:val="00585993"/>
    <w:rsid w:val="005874FD"/>
    <w:rsid w:val="0059355C"/>
    <w:rsid w:val="005A4512"/>
    <w:rsid w:val="005A6CC3"/>
    <w:rsid w:val="005B10FF"/>
    <w:rsid w:val="005B39D1"/>
    <w:rsid w:val="005C16E8"/>
    <w:rsid w:val="005C529F"/>
    <w:rsid w:val="005C5C60"/>
    <w:rsid w:val="005D032C"/>
    <w:rsid w:val="005D0EC2"/>
    <w:rsid w:val="005D1064"/>
    <w:rsid w:val="005D1582"/>
    <w:rsid w:val="005D50DA"/>
    <w:rsid w:val="005D6FFC"/>
    <w:rsid w:val="005D7BD8"/>
    <w:rsid w:val="005E14C2"/>
    <w:rsid w:val="005E2E90"/>
    <w:rsid w:val="005F2C96"/>
    <w:rsid w:val="00604761"/>
    <w:rsid w:val="0060582D"/>
    <w:rsid w:val="0060675B"/>
    <w:rsid w:val="0060694B"/>
    <w:rsid w:val="00607BA5"/>
    <w:rsid w:val="00607F47"/>
    <w:rsid w:val="0061002C"/>
    <w:rsid w:val="00610DF8"/>
    <w:rsid w:val="0061180A"/>
    <w:rsid w:val="00612445"/>
    <w:rsid w:val="00615870"/>
    <w:rsid w:val="00621892"/>
    <w:rsid w:val="00622D65"/>
    <w:rsid w:val="00624B90"/>
    <w:rsid w:val="00625219"/>
    <w:rsid w:val="00625CC0"/>
    <w:rsid w:val="00626385"/>
    <w:rsid w:val="00626EB6"/>
    <w:rsid w:val="00626F28"/>
    <w:rsid w:val="00633341"/>
    <w:rsid w:val="00634245"/>
    <w:rsid w:val="00640398"/>
    <w:rsid w:val="00643883"/>
    <w:rsid w:val="0064627E"/>
    <w:rsid w:val="0064686C"/>
    <w:rsid w:val="0065069D"/>
    <w:rsid w:val="00654457"/>
    <w:rsid w:val="00655D03"/>
    <w:rsid w:val="006567A9"/>
    <w:rsid w:val="00665098"/>
    <w:rsid w:val="00665301"/>
    <w:rsid w:val="0066557D"/>
    <w:rsid w:val="006704A5"/>
    <w:rsid w:val="006757EC"/>
    <w:rsid w:val="006803AD"/>
    <w:rsid w:val="00682B65"/>
    <w:rsid w:val="00683388"/>
    <w:rsid w:val="00683F84"/>
    <w:rsid w:val="006852AD"/>
    <w:rsid w:val="00686CD3"/>
    <w:rsid w:val="0069132A"/>
    <w:rsid w:val="006914BC"/>
    <w:rsid w:val="006974B7"/>
    <w:rsid w:val="006A0217"/>
    <w:rsid w:val="006A29B6"/>
    <w:rsid w:val="006A3D2A"/>
    <w:rsid w:val="006A4D74"/>
    <w:rsid w:val="006A6A81"/>
    <w:rsid w:val="006A714B"/>
    <w:rsid w:val="006B4966"/>
    <w:rsid w:val="006B61FF"/>
    <w:rsid w:val="006B6254"/>
    <w:rsid w:val="006C1594"/>
    <w:rsid w:val="006C23ED"/>
    <w:rsid w:val="006C26FB"/>
    <w:rsid w:val="006C3721"/>
    <w:rsid w:val="006D1988"/>
    <w:rsid w:val="006E61B2"/>
    <w:rsid w:val="006E7CE1"/>
    <w:rsid w:val="006F6F38"/>
    <w:rsid w:val="006F7126"/>
    <w:rsid w:val="006F7393"/>
    <w:rsid w:val="0070224F"/>
    <w:rsid w:val="00705BC9"/>
    <w:rsid w:val="007115F7"/>
    <w:rsid w:val="00714DCD"/>
    <w:rsid w:val="00715CBA"/>
    <w:rsid w:val="0071712A"/>
    <w:rsid w:val="00723B12"/>
    <w:rsid w:val="0072542F"/>
    <w:rsid w:val="00726480"/>
    <w:rsid w:val="00730C33"/>
    <w:rsid w:val="00734322"/>
    <w:rsid w:val="00736234"/>
    <w:rsid w:val="007421B4"/>
    <w:rsid w:val="00743A95"/>
    <w:rsid w:val="00743BA8"/>
    <w:rsid w:val="00744200"/>
    <w:rsid w:val="0074661C"/>
    <w:rsid w:val="007474BF"/>
    <w:rsid w:val="00750150"/>
    <w:rsid w:val="007502FF"/>
    <w:rsid w:val="00750A66"/>
    <w:rsid w:val="0075394B"/>
    <w:rsid w:val="0075716A"/>
    <w:rsid w:val="007624B8"/>
    <w:rsid w:val="00773E43"/>
    <w:rsid w:val="007750A3"/>
    <w:rsid w:val="00781C2C"/>
    <w:rsid w:val="00781CA1"/>
    <w:rsid w:val="00785689"/>
    <w:rsid w:val="00786109"/>
    <w:rsid w:val="00786B6C"/>
    <w:rsid w:val="00790455"/>
    <w:rsid w:val="0079127A"/>
    <w:rsid w:val="00791FDD"/>
    <w:rsid w:val="00793C19"/>
    <w:rsid w:val="0079754B"/>
    <w:rsid w:val="007A0A87"/>
    <w:rsid w:val="007A1E6D"/>
    <w:rsid w:val="007A21B5"/>
    <w:rsid w:val="007A49B7"/>
    <w:rsid w:val="007B0EB2"/>
    <w:rsid w:val="007B524C"/>
    <w:rsid w:val="007B7DAF"/>
    <w:rsid w:val="007B7E6E"/>
    <w:rsid w:val="007C0F31"/>
    <w:rsid w:val="007C13B8"/>
    <w:rsid w:val="007C45DC"/>
    <w:rsid w:val="007C63A3"/>
    <w:rsid w:val="007C6D07"/>
    <w:rsid w:val="007D306E"/>
    <w:rsid w:val="007D549F"/>
    <w:rsid w:val="007D54D9"/>
    <w:rsid w:val="007D56AF"/>
    <w:rsid w:val="007D5872"/>
    <w:rsid w:val="007E1CCF"/>
    <w:rsid w:val="007E2C39"/>
    <w:rsid w:val="007E323C"/>
    <w:rsid w:val="007F24AA"/>
    <w:rsid w:val="007F3C8C"/>
    <w:rsid w:val="007F413A"/>
    <w:rsid w:val="007F6DA2"/>
    <w:rsid w:val="007F7072"/>
    <w:rsid w:val="0080135F"/>
    <w:rsid w:val="00802E45"/>
    <w:rsid w:val="008031CE"/>
    <w:rsid w:val="00804993"/>
    <w:rsid w:val="00810B6F"/>
    <w:rsid w:val="00815DF6"/>
    <w:rsid w:val="008217EE"/>
    <w:rsid w:val="00822CE0"/>
    <w:rsid w:val="0082397A"/>
    <w:rsid w:val="0082436E"/>
    <w:rsid w:val="00841498"/>
    <w:rsid w:val="00841AB1"/>
    <w:rsid w:val="008431E4"/>
    <w:rsid w:val="00850D55"/>
    <w:rsid w:val="008528F5"/>
    <w:rsid w:val="008552CB"/>
    <w:rsid w:val="00856B81"/>
    <w:rsid w:val="00872D47"/>
    <w:rsid w:val="00875A4B"/>
    <w:rsid w:val="00876DAD"/>
    <w:rsid w:val="0087757F"/>
    <w:rsid w:val="008810C4"/>
    <w:rsid w:val="00883817"/>
    <w:rsid w:val="00883CB4"/>
    <w:rsid w:val="008911F2"/>
    <w:rsid w:val="008963DD"/>
    <w:rsid w:val="00897666"/>
    <w:rsid w:val="008A0B3F"/>
    <w:rsid w:val="008A0DE1"/>
    <w:rsid w:val="008A4BEB"/>
    <w:rsid w:val="008A5374"/>
    <w:rsid w:val="008A765E"/>
    <w:rsid w:val="008B0CDF"/>
    <w:rsid w:val="008B6CB8"/>
    <w:rsid w:val="008C615D"/>
    <w:rsid w:val="008C68F1"/>
    <w:rsid w:val="008D0E87"/>
    <w:rsid w:val="008D1EFF"/>
    <w:rsid w:val="008D3201"/>
    <w:rsid w:val="008D3D8D"/>
    <w:rsid w:val="008D5AC5"/>
    <w:rsid w:val="008D5BBC"/>
    <w:rsid w:val="008D650B"/>
    <w:rsid w:val="008E0747"/>
    <w:rsid w:val="008F0CD2"/>
    <w:rsid w:val="008F1F02"/>
    <w:rsid w:val="008F5C72"/>
    <w:rsid w:val="00903D4F"/>
    <w:rsid w:val="009067CE"/>
    <w:rsid w:val="0090761C"/>
    <w:rsid w:val="00914D9E"/>
    <w:rsid w:val="00916F2F"/>
    <w:rsid w:val="00921803"/>
    <w:rsid w:val="009244C1"/>
    <w:rsid w:val="00924A72"/>
    <w:rsid w:val="00926503"/>
    <w:rsid w:val="0092786C"/>
    <w:rsid w:val="00930210"/>
    <w:rsid w:val="00931E7E"/>
    <w:rsid w:val="009320C1"/>
    <w:rsid w:val="009333C7"/>
    <w:rsid w:val="00935E92"/>
    <w:rsid w:val="00935F6C"/>
    <w:rsid w:val="009370AA"/>
    <w:rsid w:val="00942166"/>
    <w:rsid w:val="00946D0D"/>
    <w:rsid w:val="00947ED8"/>
    <w:rsid w:val="009562E0"/>
    <w:rsid w:val="009614B0"/>
    <w:rsid w:val="0096159C"/>
    <w:rsid w:val="00962833"/>
    <w:rsid w:val="00967716"/>
    <w:rsid w:val="00967C36"/>
    <w:rsid w:val="00971953"/>
    <w:rsid w:val="009726D8"/>
    <w:rsid w:val="0097288C"/>
    <w:rsid w:val="00974E5E"/>
    <w:rsid w:val="009756DE"/>
    <w:rsid w:val="00975AD9"/>
    <w:rsid w:val="0097710C"/>
    <w:rsid w:val="00985690"/>
    <w:rsid w:val="00987457"/>
    <w:rsid w:val="009951EE"/>
    <w:rsid w:val="00995C56"/>
    <w:rsid w:val="009A12E0"/>
    <w:rsid w:val="009A459F"/>
    <w:rsid w:val="009B13F3"/>
    <w:rsid w:val="009B6B6D"/>
    <w:rsid w:val="009C0984"/>
    <w:rsid w:val="009C6D02"/>
    <w:rsid w:val="009D01FA"/>
    <w:rsid w:val="009D071A"/>
    <w:rsid w:val="009D185D"/>
    <w:rsid w:val="009D3673"/>
    <w:rsid w:val="009E1DD1"/>
    <w:rsid w:val="009E4FE5"/>
    <w:rsid w:val="009E5739"/>
    <w:rsid w:val="009F29BC"/>
    <w:rsid w:val="009F365D"/>
    <w:rsid w:val="009F76DB"/>
    <w:rsid w:val="00A0387F"/>
    <w:rsid w:val="00A03AF1"/>
    <w:rsid w:val="00A043A3"/>
    <w:rsid w:val="00A04B61"/>
    <w:rsid w:val="00A06556"/>
    <w:rsid w:val="00A0735C"/>
    <w:rsid w:val="00A14D89"/>
    <w:rsid w:val="00A200A4"/>
    <w:rsid w:val="00A2188D"/>
    <w:rsid w:val="00A23298"/>
    <w:rsid w:val="00A2423F"/>
    <w:rsid w:val="00A2506F"/>
    <w:rsid w:val="00A25BAA"/>
    <w:rsid w:val="00A2722E"/>
    <w:rsid w:val="00A2736E"/>
    <w:rsid w:val="00A304F9"/>
    <w:rsid w:val="00A306CC"/>
    <w:rsid w:val="00A32C3B"/>
    <w:rsid w:val="00A374BB"/>
    <w:rsid w:val="00A44837"/>
    <w:rsid w:val="00A45F4F"/>
    <w:rsid w:val="00A46731"/>
    <w:rsid w:val="00A47A30"/>
    <w:rsid w:val="00A55700"/>
    <w:rsid w:val="00A600A9"/>
    <w:rsid w:val="00A6556E"/>
    <w:rsid w:val="00A66FB7"/>
    <w:rsid w:val="00A74A92"/>
    <w:rsid w:val="00A83839"/>
    <w:rsid w:val="00A90A53"/>
    <w:rsid w:val="00A92110"/>
    <w:rsid w:val="00A94531"/>
    <w:rsid w:val="00A94E07"/>
    <w:rsid w:val="00A961E2"/>
    <w:rsid w:val="00AA2786"/>
    <w:rsid w:val="00AA55B7"/>
    <w:rsid w:val="00AA5B9E"/>
    <w:rsid w:val="00AB13F9"/>
    <w:rsid w:val="00AB2407"/>
    <w:rsid w:val="00AB2442"/>
    <w:rsid w:val="00AB34A9"/>
    <w:rsid w:val="00AB53DF"/>
    <w:rsid w:val="00AB62BD"/>
    <w:rsid w:val="00AC07C2"/>
    <w:rsid w:val="00AD259D"/>
    <w:rsid w:val="00AD6271"/>
    <w:rsid w:val="00AD6960"/>
    <w:rsid w:val="00AE28BA"/>
    <w:rsid w:val="00AE30D0"/>
    <w:rsid w:val="00AE7786"/>
    <w:rsid w:val="00AE7E5C"/>
    <w:rsid w:val="00AF24FE"/>
    <w:rsid w:val="00AF4A29"/>
    <w:rsid w:val="00AF7817"/>
    <w:rsid w:val="00B001D7"/>
    <w:rsid w:val="00B00FAF"/>
    <w:rsid w:val="00B019D4"/>
    <w:rsid w:val="00B01AFF"/>
    <w:rsid w:val="00B079EF"/>
    <w:rsid w:val="00B07B42"/>
    <w:rsid w:val="00B07E5C"/>
    <w:rsid w:val="00B105D3"/>
    <w:rsid w:val="00B1163F"/>
    <w:rsid w:val="00B16B22"/>
    <w:rsid w:val="00B16EFD"/>
    <w:rsid w:val="00B17973"/>
    <w:rsid w:val="00B17F9D"/>
    <w:rsid w:val="00B210AC"/>
    <w:rsid w:val="00B30FBC"/>
    <w:rsid w:val="00B315D5"/>
    <w:rsid w:val="00B32042"/>
    <w:rsid w:val="00B3262A"/>
    <w:rsid w:val="00B328A4"/>
    <w:rsid w:val="00B33D93"/>
    <w:rsid w:val="00B35DFA"/>
    <w:rsid w:val="00B36329"/>
    <w:rsid w:val="00B41A0F"/>
    <w:rsid w:val="00B43A39"/>
    <w:rsid w:val="00B50E50"/>
    <w:rsid w:val="00B573D5"/>
    <w:rsid w:val="00B5789C"/>
    <w:rsid w:val="00B62C55"/>
    <w:rsid w:val="00B72011"/>
    <w:rsid w:val="00B75C01"/>
    <w:rsid w:val="00B811F7"/>
    <w:rsid w:val="00B86087"/>
    <w:rsid w:val="00B971FA"/>
    <w:rsid w:val="00B975D8"/>
    <w:rsid w:val="00BA1B87"/>
    <w:rsid w:val="00BA25DC"/>
    <w:rsid w:val="00BA2C15"/>
    <w:rsid w:val="00BA5DC6"/>
    <w:rsid w:val="00BA6196"/>
    <w:rsid w:val="00BA6E7A"/>
    <w:rsid w:val="00BB1351"/>
    <w:rsid w:val="00BB25F8"/>
    <w:rsid w:val="00BB340C"/>
    <w:rsid w:val="00BB6A01"/>
    <w:rsid w:val="00BC0799"/>
    <w:rsid w:val="00BC34E1"/>
    <w:rsid w:val="00BC5626"/>
    <w:rsid w:val="00BC5E66"/>
    <w:rsid w:val="00BC6D8C"/>
    <w:rsid w:val="00BD6156"/>
    <w:rsid w:val="00BD6600"/>
    <w:rsid w:val="00BE584C"/>
    <w:rsid w:val="00BE68D9"/>
    <w:rsid w:val="00BE6CD8"/>
    <w:rsid w:val="00BE7D85"/>
    <w:rsid w:val="00BF0731"/>
    <w:rsid w:val="00BF0D31"/>
    <w:rsid w:val="00BF220E"/>
    <w:rsid w:val="00BF2625"/>
    <w:rsid w:val="00BF48C9"/>
    <w:rsid w:val="00BF5A9F"/>
    <w:rsid w:val="00C04DC7"/>
    <w:rsid w:val="00C063F3"/>
    <w:rsid w:val="00C14231"/>
    <w:rsid w:val="00C165B5"/>
    <w:rsid w:val="00C172E6"/>
    <w:rsid w:val="00C22A49"/>
    <w:rsid w:val="00C234E0"/>
    <w:rsid w:val="00C23B5C"/>
    <w:rsid w:val="00C23C6C"/>
    <w:rsid w:val="00C25DDB"/>
    <w:rsid w:val="00C34006"/>
    <w:rsid w:val="00C3469F"/>
    <w:rsid w:val="00C362FF"/>
    <w:rsid w:val="00C36994"/>
    <w:rsid w:val="00C426B1"/>
    <w:rsid w:val="00C43983"/>
    <w:rsid w:val="00C51725"/>
    <w:rsid w:val="00C57667"/>
    <w:rsid w:val="00C627C6"/>
    <w:rsid w:val="00C66160"/>
    <w:rsid w:val="00C66DD9"/>
    <w:rsid w:val="00C70226"/>
    <w:rsid w:val="00C7091D"/>
    <w:rsid w:val="00C721AC"/>
    <w:rsid w:val="00C76B1B"/>
    <w:rsid w:val="00C809EA"/>
    <w:rsid w:val="00C8443B"/>
    <w:rsid w:val="00C86C27"/>
    <w:rsid w:val="00C90D6A"/>
    <w:rsid w:val="00C935DC"/>
    <w:rsid w:val="00C97CC6"/>
    <w:rsid w:val="00CA247E"/>
    <w:rsid w:val="00CA3E78"/>
    <w:rsid w:val="00CA7D52"/>
    <w:rsid w:val="00CB1CC8"/>
    <w:rsid w:val="00CB39CD"/>
    <w:rsid w:val="00CB4E69"/>
    <w:rsid w:val="00CC144D"/>
    <w:rsid w:val="00CC27BF"/>
    <w:rsid w:val="00CC3F1B"/>
    <w:rsid w:val="00CC6F90"/>
    <w:rsid w:val="00CC72B6"/>
    <w:rsid w:val="00CD0E5B"/>
    <w:rsid w:val="00CD2180"/>
    <w:rsid w:val="00CD223E"/>
    <w:rsid w:val="00CD3423"/>
    <w:rsid w:val="00CD5A6A"/>
    <w:rsid w:val="00CE089B"/>
    <w:rsid w:val="00CE12CB"/>
    <w:rsid w:val="00CE3B25"/>
    <w:rsid w:val="00CE63C3"/>
    <w:rsid w:val="00CF07C4"/>
    <w:rsid w:val="00CF2A18"/>
    <w:rsid w:val="00CF6BF1"/>
    <w:rsid w:val="00D0218D"/>
    <w:rsid w:val="00D02AF2"/>
    <w:rsid w:val="00D04282"/>
    <w:rsid w:val="00D04A6B"/>
    <w:rsid w:val="00D122A2"/>
    <w:rsid w:val="00D12B92"/>
    <w:rsid w:val="00D17D44"/>
    <w:rsid w:val="00D25FB5"/>
    <w:rsid w:val="00D26A1F"/>
    <w:rsid w:val="00D26FA3"/>
    <w:rsid w:val="00D362BE"/>
    <w:rsid w:val="00D3749B"/>
    <w:rsid w:val="00D37B25"/>
    <w:rsid w:val="00D401B0"/>
    <w:rsid w:val="00D41228"/>
    <w:rsid w:val="00D435B4"/>
    <w:rsid w:val="00D44223"/>
    <w:rsid w:val="00D44C93"/>
    <w:rsid w:val="00D528FE"/>
    <w:rsid w:val="00D52D86"/>
    <w:rsid w:val="00D54F32"/>
    <w:rsid w:val="00D61891"/>
    <w:rsid w:val="00D63E39"/>
    <w:rsid w:val="00D64FB9"/>
    <w:rsid w:val="00D66C6B"/>
    <w:rsid w:val="00D670F7"/>
    <w:rsid w:val="00D6762B"/>
    <w:rsid w:val="00D75423"/>
    <w:rsid w:val="00D830C7"/>
    <w:rsid w:val="00D85629"/>
    <w:rsid w:val="00D96725"/>
    <w:rsid w:val="00DA0424"/>
    <w:rsid w:val="00DA0483"/>
    <w:rsid w:val="00DA1C5D"/>
    <w:rsid w:val="00DA2529"/>
    <w:rsid w:val="00DA646D"/>
    <w:rsid w:val="00DA69A8"/>
    <w:rsid w:val="00DA6A0E"/>
    <w:rsid w:val="00DB130A"/>
    <w:rsid w:val="00DB2EBB"/>
    <w:rsid w:val="00DB70A9"/>
    <w:rsid w:val="00DC10A1"/>
    <w:rsid w:val="00DC655F"/>
    <w:rsid w:val="00DD0B59"/>
    <w:rsid w:val="00DD3E3C"/>
    <w:rsid w:val="00DD7EBD"/>
    <w:rsid w:val="00DE638C"/>
    <w:rsid w:val="00DF25A8"/>
    <w:rsid w:val="00DF2AB9"/>
    <w:rsid w:val="00DF3D4C"/>
    <w:rsid w:val="00DF52A2"/>
    <w:rsid w:val="00DF62B6"/>
    <w:rsid w:val="00E00B67"/>
    <w:rsid w:val="00E018D5"/>
    <w:rsid w:val="00E034A3"/>
    <w:rsid w:val="00E07225"/>
    <w:rsid w:val="00E0730C"/>
    <w:rsid w:val="00E1791F"/>
    <w:rsid w:val="00E24310"/>
    <w:rsid w:val="00E255AA"/>
    <w:rsid w:val="00E303A1"/>
    <w:rsid w:val="00E3513F"/>
    <w:rsid w:val="00E4054D"/>
    <w:rsid w:val="00E434BC"/>
    <w:rsid w:val="00E50D32"/>
    <w:rsid w:val="00E5409F"/>
    <w:rsid w:val="00E55D8C"/>
    <w:rsid w:val="00E56EDD"/>
    <w:rsid w:val="00E5703B"/>
    <w:rsid w:val="00E601F4"/>
    <w:rsid w:val="00E60CA6"/>
    <w:rsid w:val="00E67BC3"/>
    <w:rsid w:val="00E72CAB"/>
    <w:rsid w:val="00E77685"/>
    <w:rsid w:val="00E8191B"/>
    <w:rsid w:val="00E85715"/>
    <w:rsid w:val="00E90B7C"/>
    <w:rsid w:val="00E927C4"/>
    <w:rsid w:val="00E94C6A"/>
    <w:rsid w:val="00EA0876"/>
    <w:rsid w:val="00EA7470"/>
    <w:rsid w:val="00EA7BFB"/>
    <w:rsid w:val="00EB1031"/>
    <w:rsid w:val="00EB2A42"/>
    <w:rsid w:val="00EB3183"/>
    <w:rsid w:val="00EB4376"/>
    <w:rsid w:val="00EB6346"/>
    <w:rsid w:val="00EC1B08"/>
    <w:rsid w:val="00EC2102"/>
    <w:rsid w:val="00EC7CE2"/>
    <w:rsid w:val="00ED2E5B"/>
    <w:rsid w:val="00ED717C"/>
    <w:rsid w:val="00EE0036"/>
    <w:rsid w:val="00EE6488"/>
    <w:rsid w:val="00EF1FA6"/>
    <w:rsid w:val="00EF3752"/>
    <w:rsid w:val="00EF394E"/>
    <w:rsid w:val="00EF4476"/>
    <w:rsid w:val="00EF7683"/>
    <w:rsid w:val="00EF7AFB"/>
    <w:rsid w:val="00F021FA"/>
    <w:rsid w:val="00F053CC"/>
    <w:rsid w:val="00F05BB4"/>
    <w:rsid w:val="00F065F7"/>
    <w:rsid w:val="00F06C1E"/>
    <w:rsid w:val="00F162FE"/>
    <w:rsid w:val="00F2037F"/>
    <w:rsid w:val="00F211DB"/>
    <w:rsid w:val="00F23750"/>
    <w:rsid w:val="00F273F1"/>
    <w:rsid w:val="00F3180E"/>
    <w:rsid w:val="00F41547"/>
    <w:rsid w:val="00F44090"/>
    <w:rsid w:val="00F50285"/>
    <w:rsid w:val="00F54EA2"/>
    <w:rsid w:val="00F62E97"/>
    <w:rsid w:val="00F63928"/>
    <w:rsid w:val="00F64209"/>
    <w:rsid w:val="00F650CA"/>
    <w:rsid w:val="00F66D64"/>
    <w:rsid w:val="00F81AC7"/>
    <w:rsid w:val="00F93BF5"/>
    <w:rsid w:val="00F93E30"/>
    <w:rsid w:val="00F94788"/>
    <w:rsid w:val="00FA0000"/>
    <w:rsid w:val="00FA2832"/>
    <w:rsid w:val="00FA393C"/>
    <w:rsid w:val="00FB008C"/>
    <w:rsid w:val="00FC0206"/>
    <w:rsid w:val="00FC4C07"/>
    <w:rsid w:val="00FD0EA0"/>
    <w:rsid w:val="00FD3F71"/>
    <w:rsid w:val="00FD621E"/>
    <w:rsid w:val="00FD78D3"/>
    <w:rsid w:val="00FE0C3E"/>
    <w:rsid w:val="00FE3EC8"/>
    <w:rsid w:val="00FE6B0C"/>
    <w:rsid w:val="00FF55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Footnote Text Char2 Char,Footnote Text Char2 Char Char Char,Footnote Text Char3 Char Char,fn"/>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rsid w:val="00C362FF"/>
    <w:rPr>
      <w:sz w:val="16"/>
      <w:szCs w:val="16"/>
    </w:rPr>
  </w:style>
  <w:style w:type="paragraph" w:styleId="CommentText">
    <w:name w:val="annotation text"/>
    <w:basedOn w:val="Normal"/>
    <w:link w:val="CommentTextChar"/>
    <w:uiPriority w:val="99"/>
    <w:rsid w:val="00C362FF"/>
    <w:rPr>
      <w:sz w:val="20"/>
    </w:rPr>
  </w:style>
  <w:style w:type="character" w:customStyle="1" w:styleId="CommentTextChar">
    <w:name w:val="Comment Text Char"/>
    <w:basedOn w:val="DefaultParagraphFont"/>
    <w:link w:val="CommentText"/>
    <w:uiPriority w:val="99"/>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hAnsi="Calibri" w:eastAsiaTheme="minorHAnsi" w:cs="Calibri"/>
      <w:snapToGrid/>
      <w:kern w:val="0"/>
      <w:szCs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1,Footnote Text Char3 Char Char Char"/>
    <w:link w:val="FootnoteText"/>
    <w:locked/>
    <w:rsid w:val="008552CB"/>
  </w:style>
  <w:style w:type="character" w:customStyle="1" w:styleId="Mention1">
    <w:name w:val="Mention1"/>
    <w:basedOn w:val="DefaultParagraphFont"/>
    <w:uiPriority w:val="99"/>
    <w:semiHidden/>
    <w:unhideWhenUsed/>
    <w:rsid w:val="00B30FBC"/>
    <w:rPr>
      <w:color w:val="2B579A"/>
      <w:shd w:val="clear" w:color="auto" w:fill="E6E6E6"/>
    </w:rPr>
  </w:style>
  <w:style w:type="character" w:customStyle="1" w:styleId="UnresolvedMention1">
    <w:name w:val="Unresolved Mention1"/>
    <w:basedOn w:val="DefaultParagraphFont"/>
    <w:uiPriority w:val="99"/>
    <w:semiHidden/>
    <w:unhideWhenUsed/>
    <w:rsid w:val="00A66FB7"/>
    <w:rPr>
      <w:color w:val="808080"/>
      <w:shd w:val="clear" w:color="auto" w:fill="E6E6E6"/>
    </w:rPr>
  </w:style>
  <w:style w:type="paragraph" w:styleId="Revision">
    <w:name w:val="Revision"/>
    <w:hidden/>
    <w:uiPriority w:val="99"/>
    <w:semiHidden/>
    <w:rsid w:val="00947ED8"/>
    <w:rPr>
      <w:snapToGrid w:val="0"/>
      <w:kern w:val="28"/>
      <w:sz w:val="22"/>
    </w:rPr>
  </w:style>
  <w:style w:type="paragraph" w:styleId="PlainText">
    <w:name w:val="Plain Text"/>
    <w:basedOn w:val="Normal"/>
    <w:link w:val="PlainTextChar"/>
    <w:uiPriority w:val="99"/>
    <w:semiHidden/>
    <w:unhideWhenUsed/>
    <w:rsid w:val="00B07B42"/>
    <w:pPr>
      <w:widowControl/>
    </w:pPr>
    <w:rPr>
      <w:rFonts w:ascii="Calibri" w:hAnsi="Calibri" w:eastAsiaTheme="minorHAnsi" w:cstheme="minorBidi"/>
      <w:snapToGrid/>
      <w:kern w:val="0"/>
      <w:szCs w:val="21"/>
    </w:rPr>
  </w:style>
  <w:style w:type="character" w:customStyle="1" w:styleId="PlainTextChar">
    <w:name w:val="Plain Text Char"/>
    <w:basedOn w:val="DefaultParagraphFont"/>
    <w:link w:val="PlainText"/>
    <w:uiPriority w:val="99"/>
    <w:semiHidden/>
    <w:rsid w:val="00B07B42"/>
    <w:rPr>
      <w:rFonts w:ascii="Calibri" w:hAnsi="Calibri"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4CF0-A386-45A3-B6D6-E0C23D0E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2018-03-08T17:25:50Z</dcterms:created>
  <dcterms:modified xsi:type="dcterms:W3CDTF">2018-03-08T17:25:50Z</dcterms:modified>
</cp:coreProperties>
</file>