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RPr="004416F8" w:rsidP="00585024" w14:paraId="21097CEF" w14:textId="4EBD09A2">
      <w:pPr>
        <w:widowControl/>
        <w:jc w:val="center"/>
        <w:rPr>
          <w:b/>
          <w:szCs w:val="22"/>
        </w:rPr>
      </w:pPr>
      <w:bookmarkStart w:id="0" w:name="_GoBack"/>
      <w:bookmarkEnd w:id="0"/>
      <w:r w:rsidRPr="004416F8">
        <w:rPr>
          <w:b/>
          <w:kern w:val="0"/>
          <w:szCs w:val="22"/>
        </w:rPr>
        <w:t>Before</w:t>
      </w:r>
      <w:r w:rsidRPr="004416F8">
        <w:rPr>
          <w:b/>
          <w:szCs w:val="22"/>
        </w:rPr>
        <w:t xml:space="preserve"> the</w:t>
      </w:r>
    </w:p>
    <w:p w:rsidR="00921803" w:rsidRPr="004416F8" w:rsidP="00585024" w14:paraId="040AB206" w14:textId="77777777">
      <w:pPr>
        <w:pStyle w:val="StyleBoldCentered"/>
        <w:widowControl/>
        <w:rPr>
          <w:rFonts w:ascii="Times New Roman" w:hAnsi="Times New Roman"/>
        </w:rPr>
      </w:pPr>
      <w:r w:rsidRPr="004416F8">
        <w:rPr>
          <w:rFonts w:ascii="Times New Roman" w:hAnsi="Times New Roman"/>
        </w:rPr>
        <w:t>F</w:t>
      </w:r>
      <w:r w:rsidRPr="004416F8">
        <w:rPr>
          <w:rFonts w:ascii="Times New Roman" w:hAnsi="Times New Roman"/>
          <w:caps w:val="0"/>
        </w:rPr>
        <w:t>ederal Communications Commission</w:t>
      </w:r>
    </w:p>
    <w:p w:rsidR="004C2EE3" w:rsidRPr="004416F8" w:rsidP="00585024" w14:paraId="295C3173" w14:textId="77777777">
      <w:pPr>
        <w:pStyle w:val="StyleBoldCentered"/>
        <w:widowControl/>
        <w:rPr>
          <w:rFonts w:ascii="Times New Roman" w:hAnsi="Times New Roman"/>
        </w:rPr>
      </w:pPr>
      <w:r w:rsidRPr="004416F8">
        <w:rPr>
          <w:rFonts w:ascii="Times New Roman" w:hAnsi="Times New Roman"/>
          <w:caps w:val="0"/>
        </w:rPr>
        <w:t>Washington, D.C. 20554</w:t>
      </w:r>
    </w:p>
    <w:p w:rsidR="004C2EE3" w:rsidRPr="004416F8" w:rsidP="00585024" w14:paraId="50E1D521" w14:textId="77777777">
      <w:pPr>
        <w:widowControl/>
        <w:rPr>
          <w:szCs w:val="22"/>
        </w:rPr>
      </w:pPr>
    </w:p>
    <w:p w:rsidR="004C2EE3" w:rsidRPr="004416F8" w:rsidP="00585024" w14:paraId="02BA305A" w14:textId="77777777">
      <w:pPr>
        <w:widowControl/>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0FBA4261"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rsidRPr="004416F8" w:rsidP="00585024" w14:paraId="3BDDAC9C" w14:textId="66BAD685">
            <w:pPr>
              <w:widowControl/>
              <w:tabs>
                <w:tab w:val="center" w:pos="4680"/>
              </w:tabs>
              <w:suppressAutoHyphens/>
              <w:rPr>
                <w:rStyle w:val="DefaultParagraphFont"/>
                <w:snapToGrid w:val="0"/>
                <w:spacing w:val="-2"/>
                <w:kern w:val="28"/>
                <w:sz w:val="22"/>
                <w:szCs w:val="22"/>
                <w:lang w:val="en-US" w:eastAsia="en-US" w:bidi="ar-SA"/>
              </w:rPr>
            </w:pPr>
            <w:r w:rsidRPr="004416F8">
              <w:rPr>
                <w:snapToGrid w:val="0"/>
                <w:spacing w:val="-2"/>
                <w:kern w:val="28"/>
                <w:sz w:val="22"/>
                <w:szCs w:val="22"/>
                <w:lang w:val="en-US" w:eastAsia="en-US" w:bidi="ar-SA"/>
              </w:rPr>
              <w:t>In the Matter of</w:t>
            </w:r>
          </w:p>
          <w:p w:rsidR="004C2EE3" w:rsidRPr="004416F8" w:rsidP="00585024" w14:paraId="4233B431" w14:textId="77777777">
            <w:pPr>
              <w:widowControl/>
              <w:tabs>
                <w:tab w:val="center" w:pos="4680"/>
              </w:tabs>
              <w:suppressAutoHyphens/>
              <w:rPr>
                <w:rStyle w:val="DefaultParagraphFont"/>
                <w:snapToGrid w:val="0"/>
                <w:spacing w:val="-2"/>
                <w:kern w:val="28"/>
                <w:sz w:val="22"/>
                <w:szCs w:val="22"/>
                <w:lang w:val="en-US" w:eastAsia="en-US" w:bidi="ar-SA"/>
              </w:rPr>
            </w:pPr>
          </w:p>
          <w:p w:rsidR="00A56089" w:rsidRPr="004416F8" w:rsidP="00585024" w14:paraId="5C9B8982" w14:textId="77777777">
            <w:pPr>
              <w:widowControl/>
              <w:tabs>
                <w:tab w:val="center" w:pos="4680"/>
              </w:tabs>
              <w:suppressAutoHyphens/>
              <w:rPr>
                <w:rStyle w:val="DefaultParagraphFont"/>
                <w:snapToGrid w:val="0"/>
                <w:spacing w:val="-2"/>
                <w:kern w:val="28"/>
                <w:sz w:val="22"/>
                <w:szCs w:val="22"/>
                <w:lang w:val="en-US" w:eastAsia="en-US" w:bidi="ar-SA"/>
              </w:rPr>
            </w:pPr>
            <w:r w:rsidRPr="004416F8">
              <w:rPr>
                <w:snapToGrid w:val="0"/>
                <w:spacing w:val="-2"/>
                <w:kern w:val="28"/>
                <w:sz w:val="22"/>
                <w:szCs w:val="22"/>
                <w:lang w:val="en-US" w:eastAsia="en-US" w:bidi="ar-SA"/>
              </w:rPr>
              <w:t>PI Telecom Infrastructure, LLC and</w:t>
            </w:r>
          </w:p>
          <w:p w:rsidR="00A56089" w:rsidRPr="004416F8" w:rsidP="00585024" w14:paraId="6A60E6BF" w14:textId="780B70F5">
            <w:pPr>
              <w:widowControl/>
              <w:tabs>
                <w:tab w:val="center" w:pos="4680"/>
              </w:tabs>
              <w:suppressAutoHyphens/>
              <w:rPr>
                <w:rStyle w:val="DefaultParagraphFont"/>
                <w:snapToGrid w:val="0"/>
                <w:spacing w:val="-2"/>
                <w:kern w:val="28"/>
                <w:sz w:val="22"/>
                <w:szCs w:val="22"/>
                <w:lang w:val="en-US" w:eastAsia="en-US" w:bidi="ar-SA"/>
              </w:rPr>
            </w:pPr>
            <w:r w:rsidRPr="004416F8">
              <w:rPr>
                <w:snapToGrid w:val="0"/>
                <w:spacing w:val="-2"/>
                <w:kern w:val="28"/>
                <w:sz w:val="22"/>
                <w:szCs w:val="22"/>
                <w:lang w:val="en-US" w:eastAsia="en-US" w:bidi="ar-SA"/>
              </w:rPr>
              <w:t>Metropolitan Transportation Authority</w:t>
            </w:r>
          </w:p>
          <w:p w:rsidR="00A56089" w:rsidRPr="004416F8" w:rsidP="00585024" w14:paraId="55AFD296" w14:textId="71FBF7DE">
            <w:pPr>
              <w:widowControl/>
              <w:tabs>
                <w:tab w:val="center" w:pos="4680"/>
              </w:tabs>
              <w:suppressAutoHyphens/>
              <w:rPr>
                <w:rStyle w:val="DefaultParagraphFont"/>
                <w:snapToGrid w:val="0"/>
                <w:spacing w:val="-2"/>
                <w:kern w:val="28"/>
                <w:sz w:val="22"/>
                <w:szCs w:val="22"/>
                <w:lang w:val="en-US" w:eastAsia="en-US" w:bidi="ar-SA"/>
              </w:rPr>
            </w:pPr>
            <w:r w:rsidRPr="004416F8">
              <w:rPr>
                <w:snapToGrid w:val="0"/>
                <w:spacing w:val="-2"/>
                <w:kern w:val="28"/>
                <w:sz w:val="22"/>
                <w:szCs w:val="22"/>
                <w:lang w:val="en-US" w:eastAsia="en-US" w:bidi="ar-SA"/>
              </w:rPr>
              <w:t xml:space="preserve"> </w:t>
            </w:r>
          </w:p>
          <w:p w:rsidR="00A56089" w:rsidRPr="004416F8" w:rsidP="00585024" w14:paraId="506E5021" w14:textId="77777777">
            <w:pPr>
              <w:widowControl/>
              <w:tabs>
                <w:tab w:val="center" w:pos="4680"/>
              </w:tabs>
              <w:suppressAutoHyphens/>
              <w:rPr>
                <w:rStyle w:val="DefaultParagraphFont"/>
                <w:snapToGrid w:val="0"/>
                <w:spacing w:val="-2"/>
                <w:kern w:val="28"/>
                <w:sz w:val="22"/>
                <w:szCs w:val="22"/>
                <w:lang w:val="en-US" w:eastAsia="en-US" w:bidi="ar-SA"/>
              </w:rPr>
            </w:pPr>
            <w:r w:rsidRPr="004416F8">
              <w:rPr>
                <w:snapToGrid w:val="0"/>
                <w:spacing w:val="-2"/>
                <w:kern w:val="28"/>
                <w:sz w:val="22"/>
                <w:szCs w:val="22"/>
                <w:lang w:val="en-US" w:eastAsia="en-US" w:bidi="ar-SA"/>
              </w:rPr>
              <w:t>Proposed Monopole Tower in</w:t>
            </w:r>
          </w:p>
          <w:p w:rsidR="00E2579E" w:rsidRPr="004416F8" w:rsidP="00585024" w14:paraId="1FCE4C8B" w14:textId="6926E6D3">
            <w:pPr>
              <w:widowControl/>
              <w:tabs>
                <w:tab w:val="center" w:pos="4680"/>
              </w:tabs>
              <w:suppressAutoHyphens/>
              <w:rPr>
                <w:rStyle w:val="DefaultParagraphFont"/>
                <w:snapToGrid w:val="0"/>
                <w:spacing w:val="-2"/>
                <w:kern w:val="28"/>
                <w:sz w:val="22"/>
                <w:szCs w:val="22"/>
                <w:lang w:val="en-US" w:eastAsia="en-US" w:bidi="ar-SA"/>
              </w:rPr>
            </w:pPr>
            <w:r w:rsidRPr="004416F8">
              <w:rPr>
                <w:snapToGrid w:val="0"/>
                <w:spacing w:val="-2"/>
                <w:kern w:val="28"/>
                <w:sz w:val="22"/>
                <w:szCs w:val="22"/>
                <w:lang w:val="en-US" w:eastAsia="en-US" w:bidi="ar-SA"/>
              </w:rPr>
              <w:t>Tarrytown, New York</w:t>
            </w:r>
          </w:p>
        </w:tc>
        <w:tc>
          <w:tcPr>
            <w:tcW w:w="630" w:type="dxa"/>
          </w:tcPr>
          <w:p w:rsidR="004C2EE3" w:rsidRPr="004416F8" w:rsidP="00585024" w14:paraId="485B2279" w14:textId="77777777">
            <w:pPr>
              <w:widowControl/>
              <w:tabs>
                <w:tab w:val="center" w:pos="4680"/>
              </w:tabs>
              <w:suppressAutoHyphens/>
              <w:rPr>
                <w:rStyle w:val="DefaultParagraphFont"/>
                <w:b/>
                <w:snapToGrid w:val="0"/>
                <w:spacing w:val="-2"/>
                <w:kern w:val="28"/>
                <w:sz w:val="22"/>
                <w:szCs w:val="22"/>
                <w:lang w:val="en-US" w:eastAsia="en-US" w:bidi="ar-SA"/>
              </w:rPr>
            </w:pPr>
            <w:r w:rsidRPr="004416F8">
              <w:rPr>
                <w:b/>
                <w:snapToGrid w:val="0"/>
                <w:spacing w:val="-2"/>
                <w:kern w:val="28"/>
                <w:sz w:val="22"/>
                <w:szCs w:val="22"/>
                <w:lang w:val="en-US" w:eastAsia="en-US" w:bidi="ar-SA"/>
              </w:rPr>
              <w:t>)</w:t>
            </w:r>
          </w:p>
          <w:p w:rsidR="004C2EE3" w:rsidRPr="004416F8" w:rsidP="00585024" w14:paraId="6B465BB7" w14:textId="77777777">
            <w:pPr>
              <w:widowControl/>
              <w:tabs>
                <w:tab w:val="center" w:pos="4680"/>
              </w:tabs>
              <w:suppressAutoHyphens/>
              <w:rPr>
                <w:rStyle w:val="DefaultParagraphFont"/>
                <w:b/>
                <w:snapToGrid w:val="0"/>
                <w:spacing w:val="-2"/>
                <w:kern w:val="28"/>
                <w:sz w:val="22"/>
                <w:szCs w:val="22"/>
                <w:lang w:val="en-US" w:eastAsia="en-US" w:bidi="ar-SA"/>
              </w:rPr>
            </w:pPr>
            <w:r w:rsidRPr="004416F8">
              <w:rPr>
                <w:b/>
                <w:snapToGrid w:val="0"/>
                <w:spacing w:val="-2"/>
                <w:kern w:val="28"/>
                <w:sz w:val="22"/>
                <w:szCs w:val="22"/>
                <w:lang w:val="en-US" w:eastAsia="en-US" w:bidi="ar-SA"/>
              </w:rPr>
              <w:t>)</w:t>
            </w:r>
          </w:p>
          <w:p w:rsidR="00A56089" w:rsidRPr="004416F8" w:rsidP="00585024" w14:paraId="7030724E" w14:textId="77777777">
            <w:pPr>
              <w:widowControl/>
              <w:tabs>
                <w:tab w:val="center" w:pos="4680"/>
              </w:tabs>
              <w:suppressAutoHyphens/>
              <w:rPr>
                <w:rStyle w:val="DefaultParagraphFont"/>
                <w:b/>
                <w:snapToGrid w:val="0"/>
                <w:spacing w:val="-2"/>
                <w:kern w:val="28"/>
                <w:sz w:val="22"/>
                <w:szCs w:val="22"/>
                <w:lang w:val="en-US" w:eastAsia="en-US" w:bidi="ar-SA"/>
              </w:rPr>
            </w:pPr>
            <w:r w:rsidRPr="004416F8">
              <w:rPr>
                <w:b/>
                <w:snapToGrid w:val="0"/>
                <w:spacing w:val="-2"/>
                <w:kern w:val="28"/>
                <w:sz w:val="22"/>
                <w:szCs w:val="22"/>
                <w:lang w:val="en-US" w:eastAsia="en-US" w:bidi="ar-SA"/>
              </w:rPr>
              <w:t>)</w:t>
            </w:r>
          </w:p>
          <w:p w:rsidR="004C2EE3" w:rsidRPr="004416F8" w:rsidP="00585024" w14:paraId="2D47E87A" w14:textId="43961856">
            <w:pPr>
              <w:widowControl/>
              <w:tabs>
                <w:tab w:val="center" w:pos="4680"/>
              </w:tabs>
              <w:suppressAutoHyphens/>
              <w:rPr>
                <w:rStyle w:val="DefaultParagraphFont"/>
                <w:b/>
                <w:snapToGrid w:val="0"/>
                <w:spacing w:val="-2"/>
                <w:kern w:val="28"/>
                <w:sz w:val="22"/>
                <w:szCs w:val="22"/>
                <w:lang w:val="en-US" w:eastAsia="en-US" w:bidi="ar-SA"/>
              </w:rPr>
            </w:pPr>
            <w:r w:rsidRPr="004416F8">
              <w:rPr>
                <w:b/>
                <w:snapToGrid w:val="0"/>
                <w:spacing w:val="-2"/>
                <w:kern w:val="28"/>
                <w:sz w:val="22"/>
                <w:szCs w:val="22"/>
                <w:lang w:val="en-US" w:eastAsia="en-US" w:bidi="ar-SA"/>
              </w:rPr>
              <w:t>)</w:t>
            </w:r>
          </w:p>
          <w:p w:rsidR="004C2EE3" w:rsidRPr="004416F8" w:rsidP="00585024" w14:paraId="3AAE4E49" w14:textId="77777777">
            <w:pPr>
              <w:widowControl/>
              <w:tabs>
                <w:tab w:val="center" w:pos="4680"/>
              </w:tabs>
              <w:suppressAutoHyphens/>
              <w:rPr>
                <w:rStyle w:val="DefaultParagraphFont"/>
                <w:b/>
                <w:snapToGrid w:val="0"/>
                <w:spacing w:val="-2"/>
                <w:kern w:val="28"/>
                <w:sz w:val="22"/>
                <w:szCs w:val="22"/>
                <w:lang w:val="en-US" w:eastAsia="en-US" w:bidi="ar-SA"/>
              </w:rPr>
            </w:pPr>
            <w:r w:rsidRPr="004416F8">
              <w:rPr>
                <w:b/>
                <w:snapToGrid w:val="0"/>
                <w:spacing w:val="-2"/>
                <w:kern w:val="28"/>
                <w:sz w:val="22"/>
                <w:szCs w:val="22"/>
                <w:lang w:val="en-US" w:eastAsia="en-US" w:bidi="ar-SA"/>
              </w:rPr>
              <w:t>)</w:t>
            </w:r>
          </w:p>
          <w:p w:rsidR="004C2EE3" w:rsidRPr="004416F8" w:rsidP="00585024" w14:paraId="4BFE28AD" w14:textId="77777777">
            <w:pPr>
              <w:widowControl/>
              <w:tabs>
                <w:tab w:val="center" w:pos="4680"/>
              </w:tabs>
              <w:suppressAutoHyphens/>
              <w:rPr>
                <w:rStyle w:val="DefaultParagraphFont"/>
                <w:b/>
                <w:snapToGrid w:val="0"/>
                <w:spacing w:val="-2"/>
                <w:kern w:val="28"/>
                <w:sz w:val="22"/>
                <w:szCs w:val="22"/>
                <w:lang w:val="en-US" w:eastAsia="en-US" w:bidi="ar-SA"/>
              </w:rPr>
            </w:pPr>
            <w:r w:rsidRPr="004416F8">
              <w:rPr>
                <w:b/>
                <w:snapToGrid w:val="0"/>
                <w:spacing w:val="-2"/>
                <w:kern w:val="28"/>
                <w:sz w:val="22"/>
                <w:szCs w:val="22"/>
                <w:lang w:val="en-US" w:eastAsia="en-US" w:bidi="ar-SA"/>
              </w:rPr>
              <w:t>)</w:t>
            </w:r>
          </w:p>
          <w:p w:rsidR="004C2EE3" w:rsidRPr="004416F8" w:rsidP="00585024" w14:paraId="706B4CBC" w14:textId="77777777">
            <w:pPr>
              <w:widowControl/>
              <w:tabs>
                <w:tab w:val="center" w:pos="4680"/>
              </w:tabs>
              <w:suppressAutoHyphens/>
              <w:rPr>
                <w:rStyle w:val="DefaultParagraphFont"/>
                <w:b/>
                <w:snapToGrid w:val="0"/>
                <w:spacing w:val="-2"/>
                <w:kern w:val="28"/>
                <w:sz w:val="22"/>
                <w:szCs w:val="22"/>
                <w:lang w:val="en-US" w:eastAsia="en-US" w:bidi="ar-SA"/>
              </w:rPr>
            </w:pPr>
            <w:r w:rsidRPr="004416F8">
              <w:rPr>
                <w:b/>
                <w:snapToGrid w:val="0"/>
                <w:spacing w:val="-2"/>
                <w:kern w:val="28"/>
                <w:sz w:val="22"/>
                <w:szCs w:val="22"/>
                <w:lang w:val="en-US" w:eastAsia="en-US" w:bidi="ar-SA"/>
              </w:rPr>
              <w:t>)</w:t>
            </w:r>
          </w:p>
          <w:p w:rsidR="004C2EE3" w:rsidRPr="004416F8" w:rsidP="00585024" w14:paraId="5F6BCAF8" w14:textId="77777777">
            <w:pPr>
              <w:widowControl/>
              <w:tabs>
                <w:tab w:val="center" w:pos="4680"/>
              </w:tabs>
              <w:suppressAutoHyphens/>
              <w:rPr>
                <w:rStyle w:val="DefaultParagraphFont"/>
                <w:snapToGrid w:val="0"/>
                <w:spacing w:val="-2"/>
                <w:kern w:val="28"/>
                <w:sz w:val="22"/>
                <w:szCs w:val="22"/>
                <w:lang w:val="en-US" w:eastAsia="en-US" w:bidi="ar-SA"/>
              </w:rPr>
            </w:pPr>
            <w:r w:rsidRPr="004416F8">
              <w:rPr>
                <w:b/>
                <w:snapToGrid w:val="0"/>
                <w:spacing w:val="-2"/>
                <w:kern w:val="28"/>
                <w:sz w:val="22"/>
                <w:szCs w:val="22"/>
                <w:lang w:val="en-US" w:eastAsia="en-US" w:bidi="ar-SA"/>
              </w:rPr>
              <w:t>)</w:t>
            </w:r>
          </w:p>
        </w:tc>
        <w:tc>
          <w:tcPr>
            <w:tcW w:w="4248" w:type="dxa"/>
          </w:tcPr>
          <w:p w:rsidR="004C2EE3" w:rsidRPr="004416F8" w:rsidP="00585024" w14:paraId="455683E7" w14:textId="77777777">
            <w:pPr>
              <w:widowControl/>
              <w:tabs>
                <w:tab w:val="center" w:pos="4680"/>
              </w:tabs>
              <w:suppressAutoHyphens/>
              <w:rPr>
                <w:rStyle w:val="DefaultParagraphFont"/>
                <w:snapToGrid w:val="0"/>
                <w:spacing w:val="-2"/>
                <w:kern w:val="28"/>
                <w:sz w:val="22"/>
                <w:szCs w:val="22"/>
                <w:lang w:val="en-US" w:eastAsia="en-US" w:bidi="ar-SA"/>
              </w:rPr>
            </w:pPr>
          </w:p>
          <w:p w:rsidR="004C2EE3" w:rsidRPr="004416F8" w:rsidP="00585024" w14:paraId="230F1FC5" w14:textId="77777777">
            <w:pPr>
              <w:pStyle w:val="TOAHeading"/>
              <w:widowControl/>
              <w:tabs>
                <w:tab w:val="center" w:pos="4680"/>
                <w:tab w:val="clear" w:pos="9360"/>
              </w:tabs>
              <w:suppressAutoHyphens/>
              <w:rPr>
                <w:rStyle w:val="DefaultParagraphFont"/>
                <w:snapToGrid w:val="0"/>
                <w:spacing w:val="-2"/>
                <w:kern w:val="28"/>
                <w:sz w:val="22"/>
                <w:szCs w:val="22"/>
                <w:lang w:val="en-US" w:eastAsia="en-US" w:bidi="ar-SA"/>
              </w:rPr>
            </w:pPr>
          </w:p>
          <w:p w:rsidR="004C2EE3" w:rsidRPr="004416F8" w:rsidP="00585024" w14:paraId="16427CCB" w14:textId="3F431899">
            <w:pPr>
              <w:widowControl/>
              <w:tabs>
                <w:tab w:val="center" w:pos="4680"/>
              </w:tabs>
              <w:suppressAutoHyphens/>
              <w:rPr>
                <w:rStyle w:val="DefaultParagraphFont"/>
                <w:snapToGrid w:val="0"/>
                <w:spacing w:val="-2"/>
                <w:kern w:val="28"/>
                <w:sz w:val="22"/>
                <w:szCs w:val="22"/>
                <w:lang w:val="en-US" w:eastAsia="en-US" w:bidi="ar-SA"/>
              </w:rPr>
            </w:pPr>
            <w:r w:rsidRPr="004416F8">
              <w:rPr>
                <w:snapToGrid w:val="0"/>
                <w:spacing w:val="-2"/>
                <w:kern w:val="28"/>
                <w:sz w:val="22"/>
                <w:szCs w:val="22"/>
                <w:lang w:val="en-US" w:eastAsia="en-US" w:bidi="ar-SA"/>
              </w:rPr>
              <w:t>New Tower File No. 0006907145</w:t>
            </w:r>
          </w:p>
        </w:tc>
      </w:tr>
    </w:tbl>
    <w:p w:rsidR="004C2EE3" w:rsidP="00585024" w14:paraId="7791336A" w14:textId="47E41F49">
      <w:pPr>
        <w:widowControl/>
        <w:rPr>
          <w:szCs w:val="22"/>
        </w:rPr>
      </w:pPr>
    </w:p>
    <w:p w:rsidR="000D20BE" w:rsidRPr="004416F8" w:rsidP="00585024" w14:paraId="15910E30" w14:textId="77777777">
      <w:pPr>
        <w:widowControl/>
        <w:rPr>
          <w:szCs w:val="22"/>
        </w:rPr>
      </w:pPr>
    </w:p>
    <w:p w:rsidR="00841AB1" w:rsidRPr="004416F8" w:rsidP="00585024" w14:paraId="186E61D8" w14:textId="572AF3F7">
      <w:pPr>
        <w:pStyle w:val="StyleBoldCentered"/>
        <w:widowControl/>
        <w:rPr>
          <w:rFonts w:ascii="Times New Roman" w:hAnsi="Times New Roman"/>
        </w:rPr>
      </w:pPr>
      <w:r w:rsidRPr="004416F8">
        <w:rPr>
          <w:rFonts w:ascii="Times New Roman" w:hAnsi="Times New Roman"/>
        </w:rPr>
        <w:t>ORDER</w:t>
      </w:r>
    </w:p>
    <w:p w:rsidR="004C2EE3" w:rsidRPr="004416F8" w:rsidP="00585024" w14:paraId="5DAC6A84" w14:textId="77777777">
      <w:pPr>
        <w:widowControl/>
        <w:tabs>
          <w:tab w:val="left" w:pos="-720"/>
        </w:tabs>
        <w:suppressAutoHyphens/>
        <w:spacing w:line="227" w:lineRule="auto"/>
        <w:rPr>
          <w:spacing w:val="-2"/>
          <w:szCs w:val="22"/>
        </w:rPr>
      </w:pPr>
    </w:p>
    <w:p w:rsidR="004C2EE3" w:rsidRPr="004416F8" w:rsidP="00585024" w14:paraId="3A7F3BFF" w14:textId="6EFB3DA9">
      <w:pPr>
        <w:widowControl/>
        <w:tabs>
          <w:tab w:val="left" w:pos="720"/>
          <w:tab w:val="right" w:pos="9360"/>
        </w:tabs>
        <w:suppressAutoHyphens/>
        <w:spacing w:line="227" w:lineRule="auto"/>
        <w:rPr>
          <w:spacing w:val="-2"/>
          <w:szCs w:val="22"/>
        </w:rPr>
      </w:pPr>
      <w:r w:rsidRPr="004416F8">
        <w:rPr>
          <w:b/>
          <w:spacing w:val="-2"/>
          <w:szCs w:val="22"/>
        </w:rPr>
        <w:t xml:space="preserve">Adopted: </w:t>
      </w:r>
      <w:r w:rsidRPr="004416F8" w:rsidR="00E74F04">
        <w:rPr>
          <w:b/>
          <w:spacing w:val="-2"/>
          <w:szCs w:val="22"/>
        </w:rPr>
        <w:t xml:space="preserve"> </w:t>
      </w:r>
      <w:r w:rsidR="000D20BE">
        <w:rPr>
          <w:b/>
          <w:spacing w:val="-2"/>
          <w:szCs w:val="22"/>
        </w:rPr>
        <w:t xml:space="preserve">March 9, </w:t>
      </w:r>
      <w:r w:rsidRPr="004416F8" w:rsidR="00E74F04">
        <w:rPr>
          <w:b/>
          <w:szCs w:val="22"/>
        </w:rPr>
        <w:t>201</w:t>
      </w:r>
      <w:r w:rsidR="00864ED6">
        <w:rPr>
          <w:b/>
          <w:szCs w:val="22"/>
        </w:rPr>
        <w:t>8</w:t>
      </w:r>
      <w:r w:rsidRPr="004416F8">
        <w:rPr>
          <w:b/>
          <w:spacing w:val="-2"/>
          <w:szCs w:val="22"/>
        </w:rPr>
        <w:tab/>
      </w:r>
      <w:r w:rsidRPr="004416F8" w:rsidR="00822CE0">
        <w:rPr>
          <w:b/>
          <w:spacing w:val="-2"/>
          <w:szCs w:val="22"/>
        </w:rPr>
        <w:t>Released</w:t>
      </w:r>
      <w:r w:rsidRPr="004416F8">
        <w:rPr>
          <w:b/>
          <w:spacing w:val="-2"/>
          <w:szCs w:val="22"/>
        </w:rPr>
        <w:t>:</w:t>
      </w:r>
      <w:r w:rsidRPr="004416F8" w:rsidR="00822CE0">
        <w:rPr>
          <w:b/>
          <w:spacing w:val="-2"/>
          <w:szCs w:val="22"/>
        </w:rPr>
        <w:t xml:space="preserve"> </w:t>
      </w:r>
      <w:r w:rsidRPr="004416F8">
        <w:rPr>
          <w:b/>
          <w:spacing w:val="-2"/>
          <w:szCs w:val="22"/>
        </w:rPr>
        <w:t xml:space="preserve"> </w:t>
      </w:r>
      <w:r w:rsidR="000D20BE">
        <w:rPr>
          <w:b/>
          <w:spacing w:val="-2"/>
          <w:szCs w:val="22"/>
        </w:rPr>
        <w:t xml:space="preserve">March 9, </w:t>
      </w:r>
      <w:r w:rsidRPr="004416F8" w:rsidR="00E74F04">
        <w:rPr>
          <w:b/>
          <w:spacing w:val="-2"/>
          <w:szCs w:val="22"/>
        </w:rPr>
        <w:t>201</w:t>
      </w:r>
      <w:r w:rsidR="00864ED6">
        <w:rPr>
          <w:b/>
          <w:spacing w:val="-2"/>
          <w:szCs w:val="22"/>
        </w:rPr>
        <w:t>8</w:t>
      </w:r>
    </w:p>
    <w:p w:rsidR="00822CE0" w:rsidRPr="004416F8" w:rsidP="00585024" w14:paraId="3E2D6AA5" w14:textId="77777777">
      <w:pPr>
        <w:widowControl/>
        <w:rPr>
          <w:szCs w:val="22"/>
        </w:rPr>
      </w:pPr>
    </w:p>
    <w:p w:rsidR="004C2EE3" w:rsidRPr="004416F8" w:rsidP="00585024" w14:paraId="6F6120F1" w14:textId="63FE3E6E">
      <w:pPr>
        <w:widowControl/>
        <w:rPr>
          <w:spacing w:val="-2"/>
          <w:szCs w:val="22"/>
        </w:rPr>
      </w:pPr>
      <w:r w:rsidRPr="004416F8">
        <w:rPr>
          <w:szCs w:val="22"/>
        </w:rPr>
        <w:t xml:space="preserve">By </w:t>
      </w:r>
      <w:r w:rsidRPr="004416F8" w:rsidR="004E4A22">
        <w:rPr>
          <w:szCs w:val="22"/>
        </w:rPr>
        <w:t>the</w:t>
      </w:r>
      <w:r w:rsidRPr="004416F8" w:rsidR="002A2D2E">
        <w:rPr>
          <w:szCs w:val="22"/>
        </w:rPr>
        <w:t xml:space="preserve"> </w:t>
      </w:r>
      <w:r w:rsidRPr="004416F8" w:rsidR="00C52495">
        <w:rPr>
          <w:szCs w:val="22"/>
        </w:rPr>
        <w:t>Deputy Chief, Competition and Infrastructure Policy Division</w:t>
      </w:r>
      <w:r w:rsidRPr="004416F8">
        <w:rPr>
          <w:spacing w:val="-2"/>
          <w:szCs w:val="22"/>
        </w:rPr>
        <w:t>:</w:t>
      </w:r>
    </w:p>
    <w:p w:rsidR="00822CE0" w:rsidRPr="004416F8" w:rsidP="00585024" w14:paraId="7C39B80E" w14:textId="77777777">
      <w:pPr>
        <w:widowControl/>
        <w:rPr>
          <w:spacing w:val="-2"/>
          <w:szCs w:val="22"/>
        </w:rPr>
      </w:pPr>
    </w:p>
    <w:p w:rsidR="001C68C5" w:rsidRPr="004416F8" w:rsidP="00511EFD" w14:paraId="469F06FC" w14:textId="54B1CA64">
      <w:pPr>
        <w:pStyle w:val="ParaNum"/>
        <w:rPr>
          <w:szCs w:val="22"/>
        </w:rPr>
      </w:pPr>
      <w:r w:rsidRPr="004416F8">
        <w:rPr>
          <w:szCs w:val="22"/>
        </w:rPr>
        <w:t xml:space="preserve">PI Telecom Infrastructure LLC (Parallel), acting on behalf of the </w:t>
      </w:r>
      <w:r w:rsidR="00F110E3">
        <w:rPr>
          <w:szCs w:val="22"/>
        </w:rPr>
        <w:t xml:space="preserve">New York </w:t>
      </w:r>
      <w:r w:rsidRPr="004416F8">
        <w:rPr>
          <w:szCs w:val="22"/>
        </w:rPr>
        <w:t xml:space="preserve">Metropolitan Transit Authority (MTA), proposes to build a </w:t>
      </w:r>
      <w:r w:rsidRPr="004416F8" w:rsidR="00896A76">
        <w:rPr>
          <w:szCs w:val="22"/>
        </w:rPr>
        <w:t xml:space="preserve">communications </w:t>
      </w:r>
      <w:r w:rsidRPr="004416F8">
        <w:rPr>
          <w:szCs w:val="22"/>
        </w:rPr>
        <w:t>tower in Tarrytown, New York</w:t>
      </w:r>
      <w:r w:rsidRPr="004416F8" w:rsidR="00BA2579">
        <w:rPr>
          <w:szCs w:val="22"/>
        </w:rPr>
        <w:t>, for the provision of public safety communications services</w:t>
      </w:r>
      <w:r w:rsidRPr="004416F8">
        <w:rPr>
          <w:szCs w:val="22"/>
        </w:rPr>
        <w:t>.</w:t>
      </w:r>
      <w:r>
        <w:rPr>
          <w:rStyle w:val="FootnoteReference"/>
          <w:szCs w:val="22"/>
        </w:rPr>
        <w:footnoteReference w:id="3"/>
      </w:r>
      <w:r w:rsidRPr="004416F8">
        <w:rPr>
          <w:szCs w:val="22"/>
        </w:rPr>
        <w:t xml:space="preserve">  </w:t>
      </w:r>
      <w:r w:rsidRPr="004416F8" w:rsidR="00575687">
        <w:rPr>
          <w:szCs w:val="22"/>
        </w:rPr>
        <w:t>T</w:t>
      </w:r>
      <w:r w:rsidRPr="004416F8" w:rsidR="005F0FDE">
        <w:rPr>
          <w:szCs w:val="22"/>
        </w:rPr>
        <w:t xml:space="preserve">wo parties – the Village of Tarrytown (Village) and a resident of the village, Leonard Cardillo – </w:t>
      </w:r>
      <w:r w:rsidRPr="004416F8" w:rsidR="00575687">
        <w:rPr>
          <w:szCs w:val="22"/>
        </w:rPr>
        <w:t>raised concerns about the proposed tower’s potential</w:t>
      </w:r>
      <w:r w:rsidR="00864ED6">
        <w:rPr>
          <w:szCs w:val="22"/>
        </w:rPr>
        <w:t xml:space="preserve"> visual</w:t>
      </w:r>
      <w:r w:rsidRPr="004416F8" w:rsidR="00575687">
        <w:rPr>
          <w:szCs w:val="22"/>
        </w:rPr>
        <w:t xml:space="preserve"> effects</w:t>
      </w:r>
      <w:r w:rsidR="00864ED6">
        <w:rPr>
          <w:szCs w:val="22"/>
        </w:rPr>
        <w:t xml:space="preserve"> on nearby historic properties and the surrounding landscape</w:t>
      </w:r>
      <w:r w:rsidRPr="004416F8" w:rsidR="00476D2B">
        <w:rPr>
          <w:szCs w:val="22"/>
        </w:rPr>
        <w:t xml:space="preserve">.  </w:t>
      </w:r>
      <w:r w:rsidR="002E3214">
        <w:rPr>
          <w:szCs w:val="22"/>
        </w:rPr>
        <w:t xml:space="preserve">As discussed below, we find </w:t>
      </w:r>
      <w:r w:rsidRPr="004416F8" w:rsidR="002719C3">
        <w:rPr>
          <w:szCs w:val="22"/>
        </w:rPr>
        <w:t>that the</w:t>
      </w:r>
      <w:r w:rsidRPr="004416F8" w:rsidR="00476D2B">
        <w:rPr>
          <w:szCs w:val="22"/>
        </w:rPr>
        <w:t xml:space="preserve"> issues raised by these parties</w:t>
      </w:r>
      <w:r w:rsidRPr="004416F8" w:rsidR="002719C3">
        <w:rPr>
          <w:szCs w:val="22"/>
        </w:rPr>
        <w:t xml:space="preserve"> </w:t>
      </w:r>
      <w:r w:rsidRPr="004416F8" w:rsidR="005F0FDE">
        <w:rPr>
          <w:szCs w:val="22"/>
        </w:rPr>
        <w:t xml:space="preserve">do not </w:t>
      </w:r>
      <w:r w:rsidRPr="004416F8" w:rsidR="00BA2579">
        <w:rPr>
          <w:szCs w:val="22"/>
        </w:rPr>
        <w:t xml:space="preserve">provide a sufficient basis for us to reopen the historic preservation </w:t>
      </w:r>
      <w:r w:rsidRPr="004416F8" w:rsidR="005F0FDE">
        <w:rPr>
          <w:szCs w:val="22"/>
        </w:rPr>
        <w:t xml:space="preserve">review </w:t>
      </w:r>
      <w:r w:rsidRPr="004416F8" w:rsidR="00BA2579">
        <w:rPr>
          <w:szCs w:val="22"/>
        </w:rPr>
        <w:t>process, which</w:t>
      </w:r>
      <w:r w:rsidRPr="004416F8" w:rsidR="005F0FDE">
        <w:rPr>
          <w:szCs w:val="22"/>
        </w:rPr>
        <w:t>,</w:t>
      </w:r>
      <w:r w:rsidRPr="004416F8" w:rsidR="00BA2579">
        <w:rPr>
          <w:szCs w:val="22"/>
        </w:rPr>
        <w:t xml:space="preserve"> by the terms of </w:t>
      </w:r>
      <w:r w:rsidRPr="004416F8" w:rsidR="00B3053B">
        <w:rPr>
          <w:szCs w:val="22"/>
        </w:rPr>
        <w:t xml:space="preserve">the Nationwide </w:t>
      </w:r>
      <w:r w:rsidRPr="004416F8" w:rsidR="00FC6896">
        <w:rPr>
          <w:szCs w:val="22"/>
        </w:rPr>
        <w:t>Programmatic Agreemen</w:t>
      </w:r>
      <w:r w:rsidRPr="004416F8" w:rsidR="007B18DC">
        <w:rPr>
          <w:szCs w:val="22"/>
        </w:rPr>
        <w:t>t Regarding the Section 106 Nation</w:t>
      </w:r>
      <w:r w:rsidRPr="004416F8" w:rsidR="00FC6896">
        <w:rPr>
          <w:szCs w:val="22"/>
        </w:rPr>
        <w:t>al Historic Preservation Act Review Process (</w:t>
      </w:r>
      <w:r w:rsidR="00444871">
        <w:rPr>
          <w:i/>
          <w:szCs w:val="22"/>
        </w:rPr>
        <w:t xml:space="preserve">Wireless Facilities </w:t>
      </w:r>
      <w:r w:rsidRPr="004416F8" w:rsidR="00FC6896">
        <w:rPr>
          <w:i/>
          <w:szCs w:val="22"/>
        </w:rPr>
        <w:t>NPA</w:t>
      </w:r>
      <w:r w:rsidRPr="004416F8" w:rsidR="00FC6896">
        <w:rPr>
          <w:szCs w:val="22"/>
        </w:rPr>
        <w:t>)</w:t>
      </w:r>
      <w:r w:rsidRPr="004416F8" w:rsidR="005F0FDE">
        <w:rPr>
          <w:szCs w:val="22"/>
        </w:rPr>
        <w:t>, is now complete</w:t>
      </w:r>
      <w:r w:rsidRPr="004416F8" w:rsidR="00BA2579">
        <w:rPr>
          <w:szCs w:val="22"/>
        </w:rPr>
        <w:t>.</w:t>
      </w:r>
      <w:r>
        <w:rPr>
          <w:rStyle w:val="FootnoteReference"/>
          <w:sz w:val="22"/>
          <w:szCs w:val="22"/>
        </w:rPr>
        <w:footnoteReference w:id="4"/>
      </w:r>
      <w:r w:rsidRPr="004416F8" w:rsidR="00BA2579">
        <w:rPr>
          <w:szCs w:val="22"/>
        </w:rPr>
        <w:t xml:space="preserve">  </w:t>
      </w:r>
      <w:r w:rsidRPr="004416F8" w:rsidR="005F0FDE">
        <w:rPr>
          <w:szCs w:val="22"/>
        </w:rPr>
        <w:t xml:space="preserve">Moreover, based on a </w:t>
      </w:r>
      <w:r w:rsidRPr="004416F8" w:rsidR="005F0FDE">
        <w:rPr>
          <w:i/>
          <w:szCs w:val="22"/>
        </w:rPr>
        <w:t xml:space="preserve">sua sponte </w:t>
      </w:r>
      <w:r w:rsidRPr="004416F8" w:rsidR="005F0FDE">
        <w:rPr>
          <w:szCs w:val="22"/>
        </w:rPr>
        <w:t>review</w:t>
      </w:r>
      <w:r w:rsidRPr="004416F8" w:rsidR="00476D2B">
        <w:rPr>
          <w:szCs w:val="22"/>
        </w:rPr>
        <w:t>,</w:t>
      </w:r>
      <w:r w:rsidRPr="004416F8" w:rsidR="005F0FDE">
        <w:rPr>
          <w:szCs w:val="22"/>
        </w:rPr>
        <w:t xml:space="preserve"> </w:t>
      </w:r>
      <w:r w:rsidRPr="004416F8" w:rsidR="00476D2B">
        <w:rPr>
          <w:szCs w:val="22"/>
        </w:rPr>
        <w:t xml:space="preserve">we </w:t>
      </w:r>
      <w:r w:rsidR="00511EFD">
        <w:rPr>
          <w:szCs w:val="22"/>
        </w:rPr>
        <w:t xml:space="preserve">find </w:t>
      </w:r>
      <w:r w:rsidRPr="004416F8" w:rsidR="00476D2B">
        <w:rPr>
          <w:szCs w:val="22"/>
        </w:rPr>
        <w:t xml:space="preserve">that the </w:t>
      </w:r>
      <w:r w:rsidRPr="004416F8" w:rsidR="005F0FDE">
        <w:rPr>
          <w:szCs w:val="22"/>
        </w:rPr>
        <w:t xml:space="preserve">potential environmental impact of </w:t>
      </w:r>
      <w:r w:rsidRPr="004416F8" w:rsidR="00D70937">
        <w:rPr>
          <w:szCs w:val="22"/>
        </w:rPr>
        <w:t>the proposed tower</w:t>
      </w:r>
      <w:r w:rsidRPr="004416F8" w:rsidR="00476D2B">
        <w:rPr>
          <w:szCs w:val="22"/>
        </w:rPr>
        <w:t xml:space="preserve"> is</w:t>
      </w:r>
      <w:r w:rsidR="002E0A14">
        <w:rPr>
          <w:szCs w:val="22"/>
        </w:rPr>
        <w:t xml:space="preserve"> negligible</w:t>
      </w:r>
      <w:r w:rsidR="00511EFD">
        <w:rPr>
          <w:szCs w:val="22"/>
        </w:rPr>
        <w:t>,</w:t>
      </w:r>
      <w:r w:rsidR="00247F9B">
        <w:rPr>
          <w:szCs w:val="22"/>
        </w:rPr>
        <w:t xml:space="preserve"> and </w:t>
      </w:r>
      <w:r w:rsidR="00511EFD">
        <w:rPr>
          <w:szCs w:val="22"/>
        </w:rPr>
        <w:t>accordingly, pursuant to Section 1.1307(d) of the Commission’s rules, we decline to require Parallel and MTA to submit an Environmental Assessment (EA).</w:t>
      </w:r>
      <w:r>
        <w:rPr>
          <w:rStyle w:val="FootnoteReference"/>
          <w:sz w:val="22"/>
          <w:szCs w:val="22"/>
        </w:rPr>
        <w:footnoteReference w:id="5"/>
      </w:r>
      <w:r w:rsidRPr="004416F8" w:rsidR="005F0FDE">
        <w:rPr>
          <w:szCs w:val="22"/>
        </w:rPr>
        <w:t xml:space="preserve"> </w:t>
      </w:r>
      <w:r w:rsidRPr="004416F8" w:rsidR="007B18DC">
        <w:rPr>
          <w:szCs w:val="22"/>
        </w:rPr>
        <w:t xml:space="preserve"> </w:t>
      </w:r>
      <w:r w:rsidRPr="004416F8" w:rsidR="005F0FDE">
        <w:rPr>
          <w:szCs w:val="22"/>
        </w:rPr>
        <w:t>Thu</w:t>
      </w:r>
      <w:r w:rsidRPr="004416F8" w:rsidR="007B18DC">
        <w:rPr>
          <w:szCs w:val="22"/>
        </w:rPr>
        <w:t>s</w:t>
      </w:r>
      <w:r w:rsidRPr="004416F8" w:rsidR="005F0FDE">
        <w:rPr>
          <w:szCs w:val="22"/>
        </w:rPr>
        <w:t xml:space="preserve">, </w:t>
      </w:r>
      <w:r w:rsidRPr="004416F8" w:rsidR="007B18DC">
        <w:rPr>
          <w:szCs w:val="22"/>
        </w:rPr>
        <w:t>Parallel</w:t>
      </w:r>
      <w:r w:rsidRPr="004416F8" w:rsidR="00476D2B">
        <w:rPr>
          <w:szCs w:val="22"/>
        </w:rPr>
        <w:t xml:space="preserve"> and MTA</w:t>
      </w:r>
      <w:r w:rsidRPr="004416F8" w:rsidR="007B18DC">
        <w:rPr>
          <w:szCs w:val="22"/>
        </w:rPr>
        <w:t xml:space="preserve"> may proceed with construction and operation of the proposed </w:t>
      </w:r>
      <w:r w:rsidRPr="004416F8" w:rsidR="005F0FDE">
        <w:rPr>
          <w:szCs w:val="22"/>
        </w:rPr>
        <w:t>tower</w:t>
      </w:r>
      <w:r w:rsidRPr="004416F8" w:rsidR="007B18DC">
        <w:rPr>
          <w:szCs w:val="22"/>
        </w:rPr>
        <w:t>.</w:t>
      </w:r>
      <w:r w:rsidRPr="004416F8">
        <w:rPr>
          <w:szCs w:val="22"/>
        </w:rPr>
        <w:t xml:space="preserve">  </w:t>
      </w:r>
    </w:p>
    <w:p w:rsidR="00907F4C" w:rsidRPr="004416F8" w:rsidP="00E60BC3" w14:paraId="5ED0AEC9" w14:textId="01455AB5">
      <w:pPr>
        <w:keepNext/>
        <w:widowControl/>
        <w:rPr>
          <w:b/>
          <w:szCs w:val="22"/>
        </w:rPr>
      </w:pPr>
      <w:r w:rsidRPr="004416F8">
        <w:rPr>
          <w:b/>
          <w:szCs w:val="22"/>
        </w:rPr>
        <w:t>I.</w:t>
      </w:r>
      <w:r w:rsidRPr="004416F8">
        <w:rPr>
          <w:b/>
          <w:szCs w:val="22"/>
        </w:rPr>
        <w:tab/>
        <w:t>BACKGROUND AND PROCEDURAL HISTORY</w:t>
      </w:r>
    </w:p>
    <w:p w:rsidR="00907F4C" w:rsidRPr="004416F8" w:rsidP="00E60BC3" w14:paraId="1FCD900A" w14:textId="77777777">
      <w:pPr>
        <w:keepNext/>
        <w:widowControl/>
        <w:rPr>
          <w:szCs w:val="22"/>
        </w:rPr>
      </w:pPr>
    </w:p>
    <w:p w:rsidR="00FD3628" w:rsidRPr="004416F8" w:rsidP="00585024" w14:paraId="1FEF904D" w14:textId="39DBF33B">
      <w:pPr>
        <w:pStyle w:val="ParaNum"/>
        <w:widowControl/>
        <w:rPr>
          <w:szCs w:val="22"/>
        </w:rPr>
      </w:pPr>
      <w:r w:rsidRPr="004416F8">
        <w:rPr>
          <w:szCs w:val="22"/>
        </w:rPr>
        <w:t>Parallel</w:t>
      </w:r>
      <w:r w:rsidR="002E3214">
        <w:rPr>
          <w:szCs w:val="22"/>
        </w:rPr>
        <w:t>, on behalf of MTA,</w:t>
      </w:r>
      <w:r w:rsidRPr="004416F8">
        <w:rPr>
          <w:szCs w:val="22"/>
        </w:rPr>
        <w:t xml:space="preserve"> proposes to build a </w:t>
      </w:r>
      <w:r w:rsidRPr="004416F8" w:rsidR="00837875">
        <w:rPr>
          <w:szCs w:val="22"/>
        </w:rPr>
        <w:t xml:space="preserve">180-foot </w:t>
      </w:r>
      <w:r w:rsidR="002E3214">
        <w:rPr>
          <w:szCs w:val="22"/>
        </w:rPr>
        <w:t xml:space="preserve">structure, consisting of a 150-foot </w:t>
      </w:r>
      <w:r w:rsidRPr="004416F8">
        <w:rPr>
          <w:szCs w:val="22"/>
        </w:rPr>
        <w:t>monopole tower</w:t>
      </w:r>
      <w:r w:rsidR="002E3214">
        <w:rPr>
          <w:szCs w:val="22"/>
        </w:rPr>
        <w:t xml:space="preserve"> with a lightning rod and whip antenna on top, </w:t>
      </w:r>
      <w:r w:rsidRPr="004416F8">
        <w:rPr>
          <w:szCs w:val="22"/>
        </w:rPr>
        <w:t xml:space="preserve">on </w:t>
      </w:r>
      <w:r w:rsidR="002E3214">
        <w:rPr>
          <w:szCs w:val="22"/>
        </w:rPr>
        <w:t xml:space="preserve">a site </w:t>
      </w:r>
      <w:r w:rsidRPr="004416F8">
        <w:rPr>
          <w:szCs w:val="22"/>
        </w:rPr>
        <w:t xml:space="preserve">owned by MTA adjacent to </w:t>
      </w:r>
      <w:r w:rsidR="002E3214">
        <w:rPr>
          <w:szCs w:val="22"/>
        </w:rPr>
        <w:t xml:space="preserve">an electric substation on the east side of </w:t>
      </w:r>
      <w:r w:rsidRPr="004416F8">
        <w:rPr>
          <w:szCs w:val="22"/>
        </w:rPr>
        <w:t xml:space="preserve">the </w:t>
      </w:r>
      <w:r w:rsidRPr="004416F8">
        <w:rPr>
          <w:szCs w:val="22"/>
        </w:rPr>
        <w:t>Metro-</w:t>
      </w:r>
      <w:r w:rsidRPr="004416F8">
        <w:rPr>
          <w:szCs w:val="22"/>
        </w:rPr>
        <w:t xml:space="preserve">North </w:t>
      </w:r>
      <w:r w:rsidRPr="004416F8">
        <w:rPr>
          <w:szCs w:val="22"/>
        </w:rPr>
        <w:t xml:space="preserve">Railroad </w:t>
      </w:r>
      <w:r w:rsidR="00D80A02">
        <w:rPr>
          <w:szCs w:val="22"/>
        </w:rPr>
        <w:t>(MNR</w:t>
      </w:r>
      <w:r w:rsidRPr="004416F8" w:rsidR="00D17081">
        <w:rPr>
          <w:szCs w:val="22"/>
        </w:rPr>
        <w:t xml:space="preserve">) </w:t>
      </w:r>
      <w:r w:rsidRPr="004416F8">
        <w:rPr>
          <w:szCs w:val="22"/>
        </w:rPr>
        <w:t xml:space="preserve">station </w:t>
      </w:r>
      <w:r w:rsidRPr="004416F8" w:rsidR="00001C5A">
        <w:rPr>
          <w:szCs w:val="22"/>
        </w:rPr>
        <w:t xml:space="preserve">in Tarrytown.  </w:t>
      </w:r>
      <w:r w:rsidRPr="004416F8" w:rsidR="00575687">
        <w:rPr>
          <w:szCs w:val="22"/>
        </w:rPr>
        <w:t>MTA plans to use t</w:t>
      </w:r>
      <w:r w:rsidRPr="004416F8" w:rsidR="00001C5A">
        <w:rPr>
          <w:szCs w:val="22"/>
        </w:rPr>
        <w:t xml:space="preserve">he </w:t>
      </w:r>
      <w:r w:rsidR="002E3214">
        <w:rPr>
          <w:szCs w:val="22"/>
        </w:rPr>
        <w:t xml:space="preserve">structure </w:t>
      </w:r>
      <w:r w:rsidRPr="004416F8">
        <w:rPr>
          <w:szCs w:val="22"/>
        </w:rPr>
        <w:t xml:space="preserve">as part of </w:t>
      </w:r>
      <w:r w:rsidRPr="004416F8" w:rsidR="00575687">
        <w:rPr>
          <w:szCs w:val="22"/>
        </w:rPr>
        <w:t xml:space="preserve">its Police Department’s </w:t>
      </w:r>
      <w:r w:rsidRPr="004416F8">
        <w:rPr>
          <w:szCs w:val="22"/>
        </w:rPr>
        <w:t>Metropolitan Regional Radio System (MRRS), a</w:t>
      </w:r>
      <w:r w:rsidRPr="004416F8" w:rsidR="007C64A6">
        <w:rPr>
          <w:szCs w:val="22"/>
        </w:rPr>
        <w:t>n</w:t>
      </w:r>
      <w:r w:rsidRPr="004416F8">
        <w:rPr>
          <w:szCs w:val="22"/>
        </w:rPr>
        <w:t xml:space="preserve"> </w:t>
      </w:r>
      <w:r w:rsidRPr="004416F8" w:rsidR="007C64A6">
        <w:rPr>
          <w:szCs w:val="22"/>
        </w:rPr>
        <w:t xml:space="preserve">interoperable </w:t>
      </w:r>
      <w:r w:rsidRPr="004416F8">
        <w:rPr>
          <w:szCs w:val="22"/>
        </w:rPr>
        <w:t xml:space="preserve">public safety communications system </w:t>
      </w:r>
      <w:r w:rsidRPr="004416F8" w:rsidR="007C64A6">
        <w:rPr>
          <w:szCs w:val="22"/>
        </w:rPr>
        <w:t xml:space="preserve">designed to provide the necessary coverage for uninterrupted service across all MTA rail stations, facilities, and roadways in the greater New York City metropolitan area.  </w:t>
      </w:r>
      <w:r w:rsidRPr="004416F8" w:rsidR="00575687">
        <w:rPr>
          <w:szCs w:val="22"/>
        </w:rPr>
        <w:t>According to MTA, t</w:t>
      </w:r>
      <w:r w:rsidRPr="004416F8" w:rsidR="007C64A6">
        <w:rPr>
          <w:szCs w:val="22"/>
        </w:rPr>
        <w:t xml:space="preserve">he MRRS facilities, including the proposed Tarrytown monopole, will </w:t>
      </w:r>
      <w:r w:rsidRPr="004416F8" w:rsidR="00527109">
        <w:rPr>
          <w:szCs w:val="22"/>
        </w:rPr>
        <w:t xml:space="preserve">improve access to emergency services (including E911) and will </w:t>
      </w:r>
      <w:r w:rsidRPr="004416F8" w:rsidR="007C64A6">
        <w:rPr>
          <w:szCs w:val="22"/>
        </w:rPr>
        <w:t>enable the MTA Police to offer interoperable communications to the New York State Police</w:t>
      </w:r>
      <w:r w:rsidRPr="004416F8">
        <w:rPr>
          <w:szCs w:val="22"/>
        </w:rPr>
        <w:t xml:space="preserve"> and other </w:t>
      </w:r>
      <w:r w:rsidRPr="004416F8" w:rsidR="007C64A6">
        <w:rPr>
          <w:szCs w:val="22"/>
        </w:rPr>
        <w:t xml:space="preserve">federal, </w:t>
      </w:r>
      <w:r w:rsidRPr="004416F8">
        <w:rPr>
          <w:szCs w:val="22"/>
        </w:rPr>
        <w:t xml:space="preserve">state, county, and municipal public safety and </w:t>
      </w:r>
      <w:r w:rsidRPr="004416F8" w:rsidR="007C64A6">
        <w:rPr>
          <w:szCs w:val="22"/>
        </w:rPr>
        <w:t xml:space="preserve">first responder </w:t>
      </w:r>
      <w:r w:rsidRPr="004416F8">
        <w:rPr>
          <w:szCs w:val="22"/>
        </w:rPr>
        <w:t>agencies</w:t>
      </w:r>
      <w:r w:rsidRPr="004416F8" w:rsidR="007C64A6">
        <w:rPr>
          <w:szCs w:val="22"/>
        </w:rPr>
        <w:t xml:space="preserve">, which MTA asserts will be particularly critical </w:t>
      </w:r>
      <w:r w:rsidRPr="004416F8">
        <w:rPr>
          <w:szCs w:val="22"/>
        </w:rPr>
        <w:t>during emergency operations and natural disasters.</w:t>
      </w:r>
      <w:r>
        <w:rPr>
          <w:rStyle w:val="FootnoteReference"/>
          <w:sz w:val="22"/>
          <w:szCs w:val="22"/>
        </w:rPr>
        <w:footnoteReference w:id="6"/>
      </w:r>
    </w:p>
    <w:p w:rsidR="00FD3628" w:rsidRPr="00B74BA3" w:rsidP="003C5086" w14:paraId="6D08FEF2" w14:textId="5FE5202A">
      <w:pPr>
        <w:pStyle w:val="ParaNum"/>
        <w:widowControl/>
        <w:rPr>
          <w:szCs w:val="22"/>
        </w:rPr>
      </w:pPr>
      <w:r w:rsidRPr="005E3977">
        <w:rPr>
          <w:szCs w:val="22"/>
        </w:rPr>
        <w:t>O</w:t>
      </w:r>
      <w:r w:rsidRPr="005E3977" w:rsidR="00061E88">
        <w:rPr>
          <w:szCs w:val="22"/>
        </w:rPr>
        <w:t xml:space="preserve">n July 24, 2015, Parallel </w:t>
      </w:r>
      <w:r w:rsidRPr="005E3977" w:rsidR="00D14CD7">
        <w:rPr>
          <w:szCs w:val="22"/>
        </w:rPr>
        <w:t xml:space="preserve">published </w:t>
      </w:r>
      <w:r w:rsidRPr="005E3977" w:rsidR="00061E88">
        <w:rPr>
          <w:szCs w:val="22"/>
        </w:rPr>
        <w:t xml:space="preserve">a notice in the classified section </w:t>
      </w:r>
      <w:r w:rsidRPr="005E3977" w:rsidR="00DE3CB6">
        <w:rPr>
          <w:szCs w:val="22"/>
        </w:rPr>
        <w:t xml:space="preserve">of </w:t>
      </w:r>
      <w:r w:rsidRPr="005E3977">
        <w:rPr>
          <w:szCs w:val="22"/>
        </w:rPr>
        <w:t xml:space="preserve">a local newspaper </w:t>
      </w:r>
      <w:r w:rsidRPr="005E3977" w:rsidR="00061E88">
        <w:rPr>
          <w:szCs w:val="22"/>
        </w:rPr>
        <w:t xml:space="preserve">inviting </w:t>
      </w:r>
      <w:r w:rsidRPr="005E3977" w:rsidR="00DE3CB6">
        <w:rPr>
          <w:szCs w:val="22"/>
        </w:rPr>
        <w:t xml:space="preserve">public </w:t>
      </w:r>
      <w:r w:rsidRPr="005E3977" w:rsidR="00061E88">
        <w:rPr>
          <w:szCs w:val="22"/>
        </w:rPr>
        <w:t>comments on the proposed tower’s potential effects on historic properties.</w:t>
      </w:r>
      <w:r>
        <w:rPr>
          <w:rStyle w:val="FootnoteReference"/>
          <w:sz w:val="22"/>
          <w:szCs w:val="22"/>
        </w:rPr>
        <w:footnoteReference w:id="7"/>
      </w:r>
      <w:r w:rsidRPr="005E3977" w:rsidR="00061E88">
        <w:rPr>
          <w:szCs w:val="22"/>
        </w:rPr>
        <w:t xml:space="preserve">  </w:t>
      </w:r>
      <w:r w:rsidRPr="005E3977" w:rsidR="00D14CD7">
        <w:rPr>
          <w:szCs w:val="22"/>
        </w:rPr>
        <w:t xml:space="preserve">On </w:t>
      </w:r>
      <w:r w:rsidRPr="005E3977" w:rsidR="00061E88">
        <w:rPr>
          <w:szCs w:val="22"/>
        </w:rPr>
        <w:t>August 6, 2015</w:t>
      </w:r>
      <w:r w:rsidRPr="005E3977" w:rsidR="00D14CD7">
        <w:rPr>
          <w:szCs w:val="22"/>
        </w:rPr>
        <w:t xml:space="preserve">, </w:t>
      </w:r>
      <w:r w:rsidRPr="005E3977" w:rsidR="00061E88">
        <w:rPr>
          <w:szCs w:val="22"/>
        </w:rPr>
        <w:t>Parallel sent letters to the Village’s planning and zoning offices, as well as the local Historical Society, requesting their comments on the proposed tower.</w:t>
      </w:r>
      <w:r>
        <w:rPr>
          <w:rStyle w:val="FootnoteReference"/>
          <w:sz w:val="22"/>
          <w:szCs w:val="22"/>
        </w:rPr>
        <w:footnoteReference w:id="8"/>
      </w:r>
      <w:r w:rsidRPr="005E3977">
        <w:rPr>
          <w:szCs w:val="22"/>
        </w:rPr>
        <w:t xml:space="preserve">  </w:t>
      </w:r>
      <w:r w:rsidRPr="00B74BA3" w:rsidR="00292807">
        <w:rPr>
          <w:szCs w:val="22"/>
        </w:rPr>
        <w:t xml:space="preserve">Parallel submitted its Section 106 information packet </w:t>
      </w:r>
      <w:r w:rsidRPr="00B74BA3" w:rsidR="00C74355">
        <w:rPr>
          <w:szCs w:val="22"/>
        </w:rPr>
        <w:t>(</w:t>
      </w:r>
      <w:r w:rsidR="00864ED6">
        <w:rPr>
          <w:szCs w:val="22"/>
        </w:rPr>
        <w:t xml:space="preserve">FCC </w:t>
      </w:r>
      <w:r w:rsidRPr="00B74BA3" w:rsidR="00C74355">
        <w:rPr>
          <w:szCs w:val="22"/>
        </w:rPr>
        <w:t xml:space="preserve">Form 620) </w:t>
      </w:r>
      <w:r w:rsidRPr="00B74BA3" w:rsidR="00292807">
        <w:rPr>
          <w:szCs w:val="22"/>
        </w:rPr>
        <w:t xml:space="preserve">to the </w:t>
      </w:r>
      <w:r>
        <w:rPr>
          <w:szCs w:val="22"/>
        </w:rPr>
        <w:t>New York State Historic Preservation Office (</w:t>
      </w:r>
      <w:r w:rsidRPr="00B74BA3" w:rsidR="00292807">
        <w:rPr>
          <w:szCs w:val="22"/>
        </w:rPr>
        <w:t>NYSHPO</w:t>
      </w:r>
      <w:r>
        <w:rPr>
          <w:szCs w:val="22"/>
        </w:rPr>
        <w:t>)</w:t>
      </w:r>
      <w:r w:rsidRPr="00B74BA3" w:rsidR="00292807">
        <w:rPr>
          <w:szCs w:val="22"/>
        </w:rPr>
        <w:t xml:space="preserve"> on August</w:t>
      </w:r>
      <w:r w:rsidR="00334C3E">
        <w:rPr>
          <w:szCs w:val="22"/>
        </w:rPr>
        <w:t> </w:t>
      </w:r>
      <w:r w:rsidRPr="00B74BA3" w:rsidR="00292807">
        <w:rPr>
          <w:szCs w:val="22"/>
        </w:rPr>
        <w:t>10, 2015</w:t>
      </w:r>
      <w:r w:rsidR="009D5A9C">
        <w:rPr>
          <w:szCs w:val="22"/>
        </w:rPr>
        <w:t xml:space="preserve">, requesting </w:t>
      </w:r>
      <w:r w:rsidRPr="00B74BA3" w:rsidR="004416F8">
        <w:rPr>
          <w:szCs w:val="22"/>
        </w:rPr>
        <w:t xml:space="preserve">the </w:t>
      </w:r>
      <w:r w:rsidRPr="00B74BA3" w:rsidR="00E440B1">
        <w:rPr>
          <w:szCs w:val="22"/>
        </w:rPr>
        <w:t xml:space="preserve">NYSHPO’s concurrence with </w:t>
      </w:r>
      <w:r w:rsidRPr="00B74BA3" w:rsidR="00D14CD7">
        <w:rPr>
          <w:szCs w:val="22"/>
        </w:rPr>
        <w:t xml:space="preserve">findings that the </w:t>
      </w:r>
      <w:r w:rsidRPr="00B74BA3" w:rsidR="00E440B1">
        <w:rPr>
          <w:szCs w:val="22"/>
        </w:rPr>
        <w:t xml:space="preserve">proposed </w:t>
      </w:r>
      <w:r w:rsidRPr="00B74BA3" w:rsidR="00D14CD7">
        <w:rPr>
          <w:szCs w:val="22"/>
        </w:rPr>
        <w:t xml:space="preserve">tower would have </w:t>
      </w:r>
      <w:r w:rsidRPr="00B74BA3" w:rsidR="00292807">
        <w:rPr>
          <w:szCs w:val="22"/>
        </w:rPr>
        <w:t xml:space="preserve">no effect </w:t>
      </w:r>
      <w:r w:rsidRPr="00B74BA3" w:rsidR="00533EFF">
        <w:rPr>
          <w:szCs w:val="22"/>
        </w:rPr>
        <w:t xml:space="preserve">on </w:t>
      </w:r>
      <w:r w:rsidRPr="00B74BA3" w:rsidR="009E5774">
        <w:rPr>
          <w:szCs w:val="22"/>
        </w:rPr>
        <w:t>several</w:t>
      </w:r>
      <w:r w:rsidRPr="00B74BA3" w:rsidR="00533EFF">
        <w:rPr>
          <w:szCs w:val="22"/>
        </w:rPr>
        <w:t xml:space="preserve"> historic properties within one-half mile of the proposed tower site.</w:t>
      </w:r>
      <w:r>
        <w:rPr>
          <w:rStyle w:val="FootnoteReference"/>
          <w:sz w:val="22"/>
          <w:szCs w:val="22"/>
        </w:rPr>
        <w:footnoteReference w:id="9"/>
      </w:r>
      <w:r w:rsidRPr="00B74BA3" w:rsidR="00292807">
        <w:rPr>
          <w:szCs w:val="22"/>
        </w:rPr>
        <w:t xml:space="preserve">  </w:t>
      </w:r>
      <w:r w:rsidRPr="00B74BA3" w:rsidR="00533EFF">
        <w:rPr>
          <w:szCs w:val="22"/>
        </w:rPr>
        <w:t xml:space="preserve">Parallel </w:t>
      </w:r>
      <w:r w:rsidR="005E3977">
        <w:rPr>
          <w:szCs w:val="22"/>
        </w:rPr>
        <w:t xml:space="preserve">identified </w:t>
      </w:r>
      <w:r w:rsidRPr="00B74BA3" w:rsidR="00211F99">
        <w:rPr>
          <w:szCs w:val="22"/>
        </w:rPr>
        <w:t>a number of historic properties it had taken into consideration</w:t>
      </w:r>
      <w:r w:rsidR="005D1185">
        <w:rPr>
          <w:szCs w:val="22"/>
        </w:rPr>
        <w:t>,</w:t>
      </w:r>
      <w:r w:rsidRPr="00B74BA3" w:rsidR="00533EFF">
        <w:rPr>
          <w:szCs w:val="22"/>
        </w:rPr>
        <w:t xml:space="preserve"> but did not include </w:t>
      </w:r>
      <w:r w:rsidRPr="00B74BA3" w:rsidR="00211F99">
        <w:rPr>
          <w:szCs w:val="22"/>
        </w:rPr>
        <w:t xml:space="preserve">the </w:t>
      </w:r>
      <w:r w:rsidR="005D1185">
        <w:rPr>
          <w:szCs w:val="22"/>
        </w:rPr>
        <w:t>depot building</w:t>
      </w:r>
      <w:r w:rsidRPr="004416F8" w:rsidR="005D1185">
        <w:rPr>
          <w:szCs w:val="22"/>
        </w:rPr>
        <w:t xml:space="preserve"> </w:t>
      </w:r>
      <w:r w:rsidR="005D1185">
        <w:rPr>
          <w:szCs w:val="22"/>
        </w:rPr>
        <w:t xml:space="preserve">at the </w:t>
      </w:r>
      <w:r w:rsidRPr="004416F8" w:rsidR="005D1185">
        <w:rPr>
          <w:szCs w:val="22"/>
        </w:rPr>
        <w:t xml:space="preserve">Metro-North </w:t>
      </w:r>
      <w:r w:rsidR="005D1185">
        <w:rPr>
          <w:szCs w:val="22"/>
        </w:rPr>
        <w:t xml:space="preserve">Tarrytown </w:t>
      </w:r>
      <w:r w:rsidRPr="004416F8" w:rsidR="005D1185">
        <w:rPr>
          <w:szCs w:val="22"/>
        </w:rPr>
        <w:t>station</w:t>
      </w:r>
      <w:r w:rsidR="005D1185">
        <w:rPr>
          <w:szCs w:val="22"/>
        </w:rPr>
        <w:t xml:space="preserve"> (</w:t>
      </w:r>
      <w:r w:rsidRPr="00B74BA3" w:rsidR="008A6408">
        <w:rPr>
          <w:szCs w:val="22"/>
        </w:rPr>
        <w:t>Tarrytown S</w:t>
      </w:r>
      <w:r w:rsidRPr="00B74BA3" w:rsidR="00211F99">
        <w:rPr>
          <w:szCs w:val="22"/>
        </w:rPr>
        <w:t>tation</w:t>
      </w:r>
      <w:r w:rsidR="005D1185">
        <w:rPr>
          <w:szCs w:val="22"/>
        </w:rPr>
        <w:t>)</w:t>
      </w:r>
      <w:r w:rsidR="005E3977">
        <w:rPr>
          <w:szCs w:val="22"/>
        </w:rPr>
        <w:t xml:space="preserve"> in its discussion</w:t>
      </w:r>
      <w:r w:rsidRPr="00B74BA3" w:rsidR="00211F99">
        <w:rPr>
          <w:szCs w:val="22"/>
        </w:rPr>
        <w:t>.</w:t>
      </w:r>
      <w:r>
        <w:rPr>
          <w:rStyle w:val="FootnoteReference"/>
          <w:sz w:val="22"/>
          <w:szCs w:val="22"/>
        </w:rPr>
        <w:footnoteReference w:id="10"/>
      </w:r>
      <w:r w:rsidR="00864ED6">
        <w:rPr>
          <w:szCs w:val="22"/>
        </w:rPr>
        <w:t xml:space="preserve">  The</w:t>
      </w:r>
      <w:r w:rsidRPr="00B74BA3" w:rsidR="00773732">
        <w:rPr>
          <w:szCs w:val="22"/>
        </w:rPr>
        <w:t xml:space="preserve"> </w:t>
      </w:r>
      <w:r w:rsidRPr="00B74BA3" w:rsidR="00D616B8">
        <w:rPr>
          <w:szCs w:val="22"/>
        </w:rPr>
        <w:t xml:space="preserve">NYSHPO issued </w:t>
      </w:r>
      <w:r w:rsidR="00C34C0E">
        <w:rPr>
          <w:szCs w:val="22"/>
        </w:rPr>
        <w:t xml:space="preserve">a </w:t>
      </w:r>
      <w:r w:rsidRPr="00B74BA3" w:rsidR="00773732">
        <w:rPr>
          <w:szCs w:val="22"/>
        </w:rPr>
        <w:t xml:space="preserve">written </w:t>
      </w:r>
      <w:r w:rsidRPr="00B74BA3" w:rsidR="00D616B8">
        <w:rPr>
          <w:szCs w:val="22"/>
        </w:rPr>
        <w:t xml:space="preserve">concurrence </w:t>
      </w:r>
      <w:r w:rsidRPr="00B74BA3" w:rsidR="00773732">
        <w:rPr>
          <w:szCs w:val="22"/>
        </w:rPr>
        <w:t xml:space="preserve">with Parallel’s proposed finding </w:t>
      </w:r>
      <w:r w:rsidRPr="00B74BA3" w:rsidR="00D616B8">
        <w:rPr>
          <w:szCs w:val="22"/>
        </w:rPr>
        <w:t>eleven days later, on August 21, 2015.</w:t>
      </w:r>
      <w:r>
        <w:rPr>
          <w:rStyle w:val="FootnoteReference"/>
          <w:sz w:val="22"/>
          <w:szCs w:val="22"/>
        </w:rPr>
        <w:footnoteReference w:id="11"/>
      </w:r>
    </w:p>
    <w:p w:rsidR="004416F8" w:rsidRPr="00C34C0E" w:rsidP="003C5086" w14:paraId="38D5B9D2" w14:textId="482B51A8">
      <w:pPr>
        <w:pStyle w:val="ParaNum"/>
        <w:widowControl/>
        <w:rPr>
          <w:szCs w:val="22"/>
        </w:rPr>
      </w:pPr>
      <w:r w:rsidRPr="00C34C0E">
        <w:rPr>
          <w:szCs w:val="22"/>
        </w:rPr>
        <w:t>O</w:t>
      </w:r>
      <w:r w:rsidRPr="00C34C0E" w:rsidR="004055BC">
        <w:rPr>
          <w:szCs w:val="22"/>
        </w:rPr>
        <w:t xml:space="preserve">n September 4, 2015, </w:t>
      </w:r>
      <w:r w:rsidRPr="00C34C0E">
        <w:rPr>
          <w:szCs w:val="22"/>
        </w:rPr>
        <w:t xml:space="preserve">the Village </w:t>
      </w:r>
      <w:r w:rsidRPr="00C34C0E" w:rsidR="00B37505">
        <w:rPr>
          <w:szCs w:val="22"/>
        </w:rPr>
        <w:t>sent Parallel a letter listing hist</w:t>
      </w:r>
      <w:r w:rsidRPr="00C34C0E">
        <w:rPr>
          <w:szCs w:val="22"/>
        </w:rPr>
        <w:t>oric properties in the Village</w:t>
      </w:r>
      <w:r w:rsidRPr="00C34C0E" w:rsidR="00B22669">
        <w:rPr>
          <w:szCs w:val="22"/>
        </w:rPr>
        <w:t> – including the Tarrytown Station – that are</w:t>
      </w:r>
      <w:r w:rsidRPr="00C34C0E">
        <w:rPr>
          <w:szCs w:val="22"/>
        </w:rPr>
        <w:t xml:space="preserve"> </w:t>
      </w:r>
      <w:r w:rsidRPr="00C34C0E" w:rsidR="00B37505">
        <w:rPr>
          <w:szCs w:val="22"/>
        </w:rPr>
        <w:t>within one-half mile of the proposed monopole</w:t>
      </w:r>
      <w:r w:rsidRPr="00C34C0E" w:rsidR="00C34C0E">
        <w:rPr>
          <w:szCs w:val="22"/>
        </w:rPr>
        <w:t xml:space="preserve"> site</w:t>
      </w:r>
      <w:r w:rsidRPr="00C34C0E" w:rsidR="00722B31">
        <w:rPr>
          <w:szCs w:val="22"/>
        </w:rPr>
        <w:t xml:space="preserve"> and from whi</w:t>
      </w:r>
      <w:r w:rsidRPr="00C34C0E">
        <w:rPr>
          <w:szCs w:val="22"/>
        </w:rPr>
        <w:t xml:space="preserve">ch the proposed monopole </w:t>
      </w:r>
      <w:r w:rsidRPr="00C34C0E" w:rsidR="00C34C0E">
        <w:rPr>
          <w:szCs w:val="22"/>
        </w:rPr>
        <w:t xml:space="preserve">would </w:t>
      </w:r>
      <w:r w:rsidRPr="00C34C0E" w:rsidR="00722B31">
        <w:rPr>
          <w:szCs w:val="22"/>
        </w:rPr>
        <w:t>be visible</w:t>
      </w:r>
      <w:r w:rsidRPr="00C34C0E" w:rsidR="00C34C0E">
        <w:rPr>
          <w:szCs w:val="22"/>
        </w:rPr>
        <w:t xml:space="preserve">, but </w:t>
      </w:r>
      <w:r w:rsidRPr="00C34C0E" w:rsidR="00D93EDF">
        <w:rPr>
          <w:szCs w:val="22"/>
        </w:rPr>
        <w:t>did not comment</w:t>
      </w:r>
      <w:r w:rsidRPr="00C34C0E" w:rsidR="00722B31">
        <w:rPr>
          <w:szCs w:val="22"/>
        </w:rPr>
        <w:t xml:space="preserve"> positively or negatively</w:t>
      </w:r>
      <w:r w:rsidRPr="00C34C0E" w:rsidR="00D93EDF">
        <w:rPr>
          <w:szCs w:val="22"/>
        </w:rPr>
        <w:t xml:space="preserve"> on the effects the</w:t>
      </w:r>
      <w:r w:rsidR="00864ED6">
        <w:rPr>
          <w:szCs w:val="22"/>
        </w:rPr>
        <w:t xml:space="preserve"> proposed</w:t>
      </w:r>
      <w:r w:rsidRPr="00C34C0E" w:rsidR="00D93EDF">
        <w:rPr>
          <w:szCs w:val="22"/>
        </w:rPr>
        <w:t xml:space="preserve"> tower </w:t>
      </w:r>
      <w:r w:rsidR="00864ED6">
        <w:rPr>
          <w:szCs w:val="22"/>
        </w:rPr>
        <w:t>would have</w:t>
      </w:r>
      <w:r w:rsidRPr="00C34C0E" w:rsidR="00D93EDF">
        <w:rPr>
          <w:szCs w:val="22"/>
        </w:rPr>
        <w:t xml:space="preserve"> on </w:t>
      </w:r>
      <w:r w:rsidR="005E3977">
        <w:rPr>
          <w:szCs w:val="22"/>
        </w:rPr>
        <w:t xml:space="preserve">any of </w:t>
      </w:r>
      <w:r w:rsidRPr="00C34C0E" w:rsidR="00D93EDF">
        <w:rPr>
          <w:szCs w:val="22"/>
        </w:rPr>
        <w:t xml:space="preserve">the properties </w:t>
      </w:r>
      <w:r w:rsidR="005E3977">
        <w:rPr>
          <w:szCs w:val="22"/>
        </w:rPr>
        <w:t xml:space="preserve">it </w:t>
      </w:r>
      <w:r w:rsidRPr="00C34C0E" w:rsidR="00D93EDF">
        <w:rPr>
          <w:szCs w:val="22"/>
        </w:rPr>
        <w:t>identified.</w:t>
      </w:r>
      <w:r>
        <w:rPr>
          <w:rStyle w:val="FootnoteReference"/>
          <w:sz w:val="22"/>
          <w:szCs w:val="22"/>
        </w:rPr>
        <w:footnoteReference w:id="12"/>
      </w:r>
      <w:r w:rsidRPr="00C34C0E" w:rsidR="00C34C0E">
        <w:rPr>
          <w:szCs w:val="22"/>
        </w:rPr>
        <w:t xml:space="preserve">  </w:t>
      </w:r>
      <w:r w:rsidRPr="00C34C0E" w:rsidR="00773732">
        <w:rPr>
          <w:szCs w:val="22"/>
        </w:rPr>
        <w:t xml:space="preserve">On September 8, </w:t>
      </w:r>
      <w:r w:rsidRPr="00C34C0E" w:rsidR="00D93EDF">
        <w:rPr>
          <w:szCs w:val="22"/>
        </w:rPr>
        <w:t>Mr. Cardillo</w:t>
      </w:r>
      <w:r w:rsidRPr="00C34C0E" w:rsidR="00773732">
        <w:rPr>
          <w:szCs w:val="22"/>
        </w:rPr>
        <w:t xml:space="preserve"> </w:t>
      </w:r>
      <w:r w:rsidRPr="00C34C0E" w:rsidR="00D93EDF">
        <w:rPr>
          <w:szCs w:val="22"/>
        </w:rPr>
        <w:t xml:space="preserve">sent an email to </w:t>
      </w:r>
      <w:r w:rsidRPr="00C34C0E" w:rsidR="00773732">
        <w:rPr>
          <w:szCs w:val="22"/>
        </w:rPr>
        <w:t xml:space="preserve">Parallel’s consultant </w:t>
      </w:r>
      <w:r w:rsidRPr="00C34C0E" w:rsidR="00722B31">
        <w:rPr>
          <w:szCs w:val="22"/>
        </w:rPr>
        <w:t>express</w:t>
      </w:r>
      <w:r w:rsidRPr="00C34C0E" w:rsidR="00773732">
        <w:rPr>
          <w:szCs w:val="22"/>
        </w:rPr>
        <w:t>ing</w:t>
      </w:r>
      <w:r w:rsidRPr="00C34C0E" w:rsidR="00722B31">
        <w:rPr>
          <w:szCs w:val="22"/>
        </w:rPr>
        <w:t xml:space="preserve"> </w:t>
      </w:r>
      <w:r w:rsidRPr="00C34C0E" w:rsidR="00D93EDF">
        <w:rPr>
          <w:szCs w:val="22"/>
        </w:rPr>
        <w:t>concern about the proposed tower</w:t>
      </w:r>
      <w:r w:rsidRPr="00C34C0E" w:rsidR="00320AEF">
        <w:rPr>
          <w:szCs w:val="22"/>
        </w:rPr>
        <w:t xml:space="preserve">, in part </w:t>
      </w:r>
      <w:r w:rsidRPr="00C34C0E" w:rsidR="00320AEF">
        <w:rPr>
          <w:szCs w:val="22"/>
        </w:rPr>
        <w:t xml:space="preserve">on the basis of </w:t>
      </w:r>
      <w:r w:rsidRPr="00C34C0E" w:rsidR="00D93EDF">
        <w:rPr>
          <w:szCs w:val="22"/>
        </w:rPr>
        <w:t xml:space="preserve">preliminary analysis by Village historians indicating several </w:t>
      </w:r>
      <w:r w:rsidR="00864ED6">
        <w:rPr>
          <w:szCs w:val="22"/>
        </w:rPr>
        <w:t>historic properties</w:t>
      </w:r>
      <w:r w:rsidRPr="00C34C0E" w:rsidR="00D93EDF">
        <w:rPr>
          <w:szCs w:val="22"/>
        </w:rPr>
        <w:t xml:space="preserve"> “that would be impacted by the tower</w:t>
      </w:r>
      <w:r w:rsidRPr="00C34C0E" w:rsidR="004815F3">
        <w:rPr>
          <w:szCs w:val="22"/>
        </w:rPr>
        <w:t>,</w:t>
      </w:r>
      <w:r w:rsidRPr="00C34C0E" w:rsidR="00D93EDF">
        <w:rPr>
          <w:szCs w:val="22"/>
        </w:rPr>
        <w:t>”</w:t>
      </w:r>
      <w:r w:rsidRPr="00C34C0E" w:rsidR="004815F3">
        <w:rPr>
          <w:szCs w:val="22"/>
        </w:rPr>
        <w:t xml:space="preserve"> and further stat</w:t>
      </w:r>
      <w:r w:rsidR="00864ED6">
        <w:rPr>
          <w:szCs w:val="22"/>
        </w:rPr>
        <w:t>ing</w:t>
      </w:r>
      <w:r w:rsidRPr="00C34C0E" w:rsidR="004815F3">
        <w:rPr>
          <w:szCs w:val="22"/>
        </w:rPr>
        <w:t xml:space="preserve"> that “the tower would surely dominate the viewscape and be an eyesore for scenic and historic Hudson River districts, and would possibly violate sections of the National </w:t>
      </w:r>
      <w:r w:rsidRPr="00C34C0E" w:rsidR="00773732">
        <w:rPr>
          <w:szCs w:val="22"/>
        </w:rPr>
        <w:t>[</w:t>
      </w:r>
      <w:r w:rsidRPr="00C34C0E" w:rsidR="004815F3">
        <w:rPr>
          <w:szCs w:val="22"/>
        </w:rPr>
        <w:t>Historic] Preservation Act.”</w:t>
      </w:r>
      <w:r>
        <w:rPr>
          <w:rStyle w:val="FootnoteReference"/>
          <w:sz w:val="22"/>
          <w:szCs w:val="22"/>
        </w:rPr>
        <w:footnoteReference w:id="13"/>
      </w:r>
      <w:r w:rsidRPr="00C34C0E" w:rsidR="00773732">
        <w:rPr>
          <w:szCs w:val="22"/>
        </w:rPr>
        <w:t xml:space="preserve">  </w:t>
      </w:r>
      <w:r w:rsidR="005E3977">
        <w:rPr>
          <w:szCs w:val="22"/>
        </w:rPr>
        <w:t xml:space="preserve">Both the Village’s letter and </w:t>
      </w:r>
      <w:r w:rsidRPr="00C34C0E" w:rsidR="004815F3">
        <w:rPr>
          <w:szCs w:val="22"/>
        </w:rPr>
        <w:t>Mr.</w:t>
      </w:r>
      <w:r w:rsidR="005E3977">
        <w:rPr>
          <w:szCs w:val="22"/>
        </w:rPr>
        <w:t> </w:t>
      </w:r>
      <w:r w:rsidRPr="00C34C0E" w:rsidR="004815F3">
        <w:rPr>
          <w:szCs w:val="22"/>
        </w:rPr>
        <w:t>Cardillo</w:t>
      </w:r>
      <w:r w:rsidRPr="00C34C0E" w:rsidR="00320AEF">
        <w:rPr>
          <w:szCs w:val="22"/>
        </w:rPr>
        <w:t>’s email w</w:t>
      </w:r>
      <w:r w:rsidR="005E3977">
        <w:rPr>
          <w:szCs w:val="22"/>
        </w:rPr>
        <w:t>ere</w:t>
      </w:r>
      <w:r w:rsidRPr="00C34C0E" w:rsidR="004815F3">
        <w:rPr>
          <w:szCs w:val="22"/>
        </w:rPr>
        <w:t xml:space="preserve"> forwarded </w:t>
      </w:r>
      <w:r w:rsidRPr="00C34C0E" w:rsidR="00320AEF">
        <w:rPr>
          <w:szCs w:val="22"/>
        </w:rPr>
        <w:t xml:space="preserve">to </w:t>
      </w:r>
      <w:r w:rsidRPr="00C34C0E">
        <w:rPr>
          <w:szCs w:val="22"/>
        </w:rPr>
        <w:t>the Commission</w:t>
      </w:r>
      <w:r w:rsidRPr="00C34C0E" w:rsidR="00773732">
        <w:rPr>
          <w:szCs w:val="22"/>
        </w:rPr>
        <w:t>’s Wireless Telecommunications Bureau</w:t>
      </w:r>
      <w:r w:rsidRPr="00C34C0E">
        <w:rPr>
          <w:szCs w:val="22"/>
        </w:rPr>
        <w:t xml:space="preserve"> </w:t>
      </w:r>
      <w:r w:rsidR="00D2523D">
        <w:rPr>
          <w:szCs w:val="22"/>
        </w:rPr>
        <w:t xml:space="preserve">(Bureau) </w:t>
      </w:r>
      <w:r w:rsidRPr="00C34C0E">
        <w:rPr>
          <w:szCs w:val="22"/>
        </w:rPr>
        <w:t>staff</w:t>
      </w:r>
      <w:r w:rsidRPr="00C34C0E" w:rsidR="00320AEF">
        <w:rPr>
          <w:szCs w:val="22"/>
        </w:rPr>
        <w:t xml:space="preserve">, which subsequently directed </w:t>
      </w:r>
      <w:r w:rsidRPr="00C34C0E" w:rsidR="00C218C0">
        <w:rPr>
          <w:szCs w:val="22"/>
        </w:rPr>
        <w:t>Parallel</w:t>
      </w:r>
      <w:r w:rsidRPr="00C34C0E" w:rsidR="00320AEF">
        <w:rPr>
          <w:szCs w:val="22"/>
        </w:rPr>
        <w:t xml:space="preserve"> </w:t>
      </w:r>
      <w:r w:rsidRPr="00C34C0E" w:rsidR="003D613D">
        <w:rPr>
          <w:szCs w:val="22"/>
        </w:rPr>
        <w:t xml:space="preserve">to respond to </w:t>
      </w:r>
      <w:r w:rsidR="005E3977">
        <w:rPr>
          <w:szCs w:val="22"/>
        </w:rPr>
        <w:t xml:space="preserve">both submissions </w:t>
      </w:r>
      <w:r w:rsidRPr="00C34C0E" w:rsidR="003D613D">
        <w:rPr>
          <w:szCs w:val="22"/>
        </w:rPr>
        <w:t>by October 28, 2015.</w:t>
      </w:r>
      <w:r>
        <w:rPr>
          <w:rStyle w:val="FootnoteReference"/>
          <w:sz w:val="22"/>
          <w:szCs w:val="22"/>
        </w:rPr>
        <w:footnoteReference w:id="14"/>
      </w:r>
      <w:r w:rsidRPr="00C34C0E" w:rsidR="003D613D">
        <w:rPr>
          <w:szCs w:val="22"/>
        </w:rPr>
        <w:t xml:space="preserve"> </w:t>
      </w:r>
      <w:r w:rsidRPr="00C34C0E" w:rsidR="00CC0026">
        <w:rPr>
          <w:szCs w:val="22"/>
        </w:rPr>
        <w:t xml:space="preserve"> </w:t>
      </w:r>
    </w:p>
    <w:p w:rsidR="00325010" w:rsidP="00585024" w14:paraId="5A88A4EF" w14:textId="7EF5847A">
      <w:pPr>
        <w:pStyle w:val="ParaNum"/>
        <w:widowControl/>
        <w:rPr>
          <w:szCs w:val="22"/>
        </w:rPr>
      </w:pPr>
      <w:r w:rsidRPr="004416F8">
        <w:rPr>
          <w:szCs w:val="22"/>
        </w:rPr>
        <w:t xml:space="preserve">Parallel </w:t>
      </w:r>
      <w:r w:rsidRPr="004416F8" w:rsidR="003D613D">
        <w:rPr>
          <w:szCs w:val="22"/>
        </w:rPr>
        <w:t xml:space="preserve">submitted its </w:t>
      </w:r>
      <w:r w:rsidRPr="004416F8" w:rsidR="00C218C0">
        <w:rPr>
          <w:szCs w:val="22"/>
        </w:rPr>
        <w:t>Consolidated R</w:t>
      </w:r>
      <w:r w:rsidRPr="004416F8" w:rsidR="003D613D">
        <w:rPr>
          <w:szCs w:val="22"/>
        </w:rPr>
        <w:t>esponse</w:t>
      </w:r>
      <w:r w:rsidRPr="004416F8" w:rsidR="00C218C0">
        <w:rPr>
          <w:szCs w:val="22"/>
        </w:rPr>
        <w:t xml:space="preserve"> </w:t>
      </w:r>
      <w:r w:rsidRPr="004416F8" w:rsidR="004E31E2">
        <w:rPr>
          <w:szCs w:val="22"/>
        </w:rPr>
        <w:t xml:space="preserve">on </w:t>
      </w:r>
      <w:r w:rsidRPr="004416F8">
        <w:rPr>
          <w:szCs w:val="22"/>
        </w:rPr>
        <w:t xml:space="preserve">October </w:t>
      </w:r>
      <w:r w:rsidRPr="004416F8" w:rsidR="0005790F">
        <w:rPr>
          <w:szCs w:val="22"/>
        </w:rPr>
        <w:t>27, 2015</w:t>
      </w:r>
      <w:r w:rsidR="005E3977">
        <w:rPr>
          <w:szCs w:val="22"/>
        </w:rPr>
        <w:t xml:space="preserve">.  Parallel </w:t>
      </w:r>
      <w:r w:rsidR="00B22669">
        <w:rPr>
          <w:szCs w:val="22"/>
        </w:rPr>
        <w:t xml:space="preserve">identified </w:t>
      </w:r>
      <w:r w:rsidR="00C34C0E">
        <w:rPr>
          <w:szCs w:val="22"/>
        </w:rPr>
        <w:t xml:space="preserve">18 historic properties </w:t>
      </w:r>
      <w:r w:rsidR="00B22669">
        <w:rPr>
          <w:szCs w:val="22"/>
        </w:rPr>
        <w:t xml:space="preserve">within </w:t>
      </w:r>
      <w:r w:rsidR="00B427A3">
        <w:rPr>
          <w:szCs w:val="22"/>
        </w:rPr>
        <w:t xml:space="preserve">the </w:t>
      </w:r>
      <w:r w:rsidR="00B22669">
        <w:rPr>
          <w:szCs w:val="22"/>
        </w:rPr>
        <w:t xml:space="preserve">one-half mile </w:t>
      </w:r>
      <w:r w:rsidR="00B427A3">
        <w:rPr>
          <w:szCs w:val="22"/>
        </w:rPr>
        <w:t xml:space="preserve">area of potential effects (APE) </w:t>
      </w:r>
      <w:r w:rsidR="00B22669">
        <w:rPr>
          <w:szCs w:val="22"/>
        </w:rPr>
        <w:t xml:space="preserve">of the proposed tower </w:t>
      </w:r>
      <w:r w:rsidR="00C34C0E">
        <w:rPr>
          <w:szCs w:val="22"/>
        </w:rPr>
        <w:t>site</w:t>
      </w:r>
      <w:r w:rsidR="005E3977">
        <w:rPr>
          <w:szCs w:val="22"/>
        </w:rPr>
        <w:t xml:space="preserve">, asserted </w:t>
      </w:r>
      <w:r w:rsidR="00657CE5">
        <w:rPr>
          <w:szCs w:val="22"/>
        </w:rPr>
        <w:t xml:space="preserve">that none of them “has visual setting or visual elements as a character-defining feature of National Register eligibility,” and </w:t>
      </w:r>
      <w:r w:rsidR="005E3977">
        <w:rPr>
          <w:szCs w:val="22"/>
        </w:rPr>
        <w:t>contended</w:t>
      </w:r>
      <w:r w:rsidR="00D2523D">
        <w:rPr>
          <w:szCs w:val="22"/>
        </w:rPr>
        <w:t>, on that basis,</w:t>
      </w:r>
      <w:r w:rsidR="005E3977">
        <w:rPr>
          <w:szCs w:val="22"/>
        </w:rPr>
        <w:t xml:space="preserve"> that </w:t>
      </w:r>
      <w:r w:rsidR="00657CE5">
        <w:rPr>
          <w:szCs w:val="22"/>
        </w:rPr>
        <w:t xml:space="preserve"> “none of these Historic Properties will be impacted or adversely effected [</w:t>
      </w:r>
      <w:r w:rsidR="00657CE5">
        <w:rPr>
          <w:i/>
          <w:szCs w:val="22"/>
        </w:rPr>
        <w:t>sic</w:t>
      </w:r>
      <w:r w:rsidR="00657CE5">
        <w:rPr>
          <w:szCs w:val="22"/>
        </w:rPr>
        <w:t>] by the proposed tower.”</w:t>
      </w:r>
      <w:r>
        <w:rPr>
          <w:rStyle w:val="FootnoteReference"/>
          <w:szCs w:val="22"/>
        </w:rPr>
        <w:footnoteReference w:id="15"/>
      </w:r>
      <w:r w:rsidR="00657CE5">
        <w:rPr>
          <w:szCs w:val="22"/>
        </w:rPr>
        <w:t xml:space="preserve">  Parallel included the Tarrytown Station in its discussion </w:t>
      </w:r>
      <w:r w:rsidR="005D1185">
        <w:rPr>
          <w:szCs w:val="22"/>
        </w:rPr>
        <w:t xml:space="preserve">and </w:t>
      </w:r>
      <w:r w:rsidR="00B22669">
        <w:rPr>
          <w:szCs w:val="22"/>
        </w:rPr>
        <w:t>acknowledged that its submission to the NYSHPO</w:t>
      </w:r>
      <w:r w:rsidR="005D1185">
        <w:rPr>
          <w:szCs w:val="22"/>
        </w:rPr>
        <w:t xml:space="preserve"> had omitted that historic property</w:t>
      </w:r>
      <w:r w:rsidR="00C34C0E">
        <w:rPr>
          <w:szCs w:val="22"/>
        </w:rPr>
        <w:t>.</w:t>
      </w:r>
      <w:r>
        <w:rPr>
          <w:rStyle w:val="FootnoteReference"/>
          <w:sz w:val="22"/>
          <w:szCs w:val="22"/>
        </w:rPr>
        <w:footnoteReference w:id="16"/>
      </w:r>
      <w:r>
        <w:rPr>
          <w:szCs w:val="22"/>
        </w:rPr>
        <w:t xml:space="preserve">  </w:t>
      </w:r>
    </w:p>
    <w:p w:rsidR="003F5559" w:rsidRPr="004416F8" w:rsidP="00585024" w14:paraId="09C0BEC0" w14:textId="7CC8345C">
      <w:pPr>
        <w:pStyle w:val="ParaNum"/>
        <w:widowControl/>
      </w:pPr>
      <w:r>
        <w:t xml:space="preserve">The Village and </w:t>
      </w:r>
      <w:r w:rsidRPr="004416F8" w:rsidR="00C218C0">
        <w:t xml:space="preserve">Mr. Cardillo </w:t>
      </w:r>
      <w:r w:rsidR="00EA71F1">
        <w:t xml:space="preserve">filed </w:t>
      </w:r>
      <w:r>
        <w:t xml:space="preserve">responses </w:t>
      </w:r>
      <w:r w:rsidRPr="004416F8" w:rsidR="00A04FC3">
        <w:t>to Para</w:t>
      </w:r>
      <w:r w:rsidRPr="004416F8" w:rsidR="00C218C0">
        <w:t>ll</w:t>
      </w:r>
      <w:r w:rsidRPr="004416F8" w:rsidR="00A04FC3">
        <w:t>el’s</w:t>
      </w:r>
      <w:r w:rsidRPr="004416F8" w:rsidR="00C218C0">
        <w:t xml:space="preserve"> </w:t>
      </w:r>
      <w:r w:rsidRPr="004416F8" w:rsidR="0005790F">
        <w:t>Consolidated Response</w:t>
      </w:r>
      <w:r w:rsidRPr="004416F8" w:rsidR="00CC0026">
        <w:t xml:space="preserve"> on November </w:t>
      </w:r>
      <w:r w:rsidR="00BB3E9D">
        <w:t xml:space="preserve">6 and 7, respectively.  Both the Village and </w:t>
      </w:r>
      <w:r w:rsidR="009C13B2">
        <w:t xml:space="preserve">Mr. Cardillo asserted that the proposed tower </w:t>
      </w:r>
      <w:r w:rsidR="00D80A02">
        <w:t>would be visible from numerous h</w:t>
      </w:r>
      <w:r w:rsidR="009C13B2">
        <w:t xml:space="preserve">istoric </w:t>
      </w:r>
      <w:r w:rsidR="00D80A02">
        <w:t>p</w:t>
      </w:r>
      <w:r w:rsidR="009C13B2">
        <w:t>roperties within the APE</w:t>
      </w:r>
      <w:r w:rsidR="00EA71F1">
        <w:t>,</w:t>
      </w:r>
      <w:r w:rsidR="008A0163">
        <w:t xml:space="preserve"> but </w:t>
      </w:r>
      <w:r w:rsidR="00D2523D">
        <w:t xml:space="preserve">neither of them </w:t>
      </w:r>
      <w:r w:rsidR="002C3E26">
        <w:t>focus</w:t>
      </w:r>
      <w:r w:rsidR="00D2523D">
        <w:t>ed</w:t>
      </w:r>
      <w:r w:rsidR="002C3E26">
        <w:t xml:space="preserve"> on </w:t>
      </w:r>
      <w:r w:rsidR="008A0163">
        <w:t xml:space="preserve">the </w:t>
      </w:r>
      <w:r w:rsidR="00624975">
        <w:rPr>
          <w:szCs w:val="22"/>
        </w:rPr>
        <w:t>Tarrytown Station</w:t>
      </w:r>
      <w:r w:rsidR="00624975">
        <w:t xml:space="preserve"> </w:t>
      </w:r>
      <w:r w:rsidR="008A0163">
        <w:t>in particular</w:t>
      </w:r>
      <w:r w:rsidR="009C13B2">
        <w:t>.</w:t>
      </w:r>
      <w:r>
        <w:rPr>
          <w:rStyle w:val="FootnoteReference"/>
          <w:sz w:val="22"/>
          <w:szCs w:val="22"/>
        </w:rPr>
        <w:footnoteReference w:id="17"/>
      </w:r>
      <w:r w:rsidR="009C13B2">
        <w:t xml:space="preserve"> </w:t>
      </w:r>
      <w:r w:rsidR="008A0163">
        <w:t xml:space="preserve"> </w:t>
      </w:r>
      <w:r w:rsidR="002C3E26">
        <w:t xml:space="preserve">Both </w:t>
      </w:r>
      <w:r w:rsidR="00D2523D">
        <w:t xml:space="preserve">the Village and Mr. Cardillo </w:t>
      </w:r>
      <w:r w:rsidR="002C3E26">
        <w:t xml:space="preserve">contended that the visual impact of the proposed tower would inevitably have an adverse effect on the </w:t>
      </w:r>
      <w:r w:rsidR="0044787A">
        <w:t>“</w:t>
      </w:r>
      <w:r w:rsidR="002C3E26">
        <w:t>historic sites</w:t>
      </w:r>
      <w:r w:rsidR="0044787A">
        <w:t>”</w:t>
      </w:r>
      <w:r w:rsidR="002C3E26">
        <w:t xml:space="preserve"> from which it would be visible.</w:t>
      </w:r>
      <w:r>
        <w:rPr>
          <w:rStyle w:val="FootnoteReference"/>
        </w:rPr>
        <w:footnoteReference w:id="18"/>
      </w:r>
      <w:r w:rsidR="002C3E26">
        <w:t xml:space="preserve"> </w:t>
      </w:r>
      <w:r w:rsidR="00320AEF">
        <w:t xml:space="preserve"> Mr. Cardillo </w:t>
      </w:r>
      <w:r w:rsidR="008A0163">
        <w:t>also submitted copies of over 20 identical form letters signed by Tarrytown residents expressing opposition to the proposed tower, in part on grounds that it would “negatively impact the value we residents place on views of the Hudson, most significantly views from Historic Sites close to the proposed tower.”</w:t>
      </w:r>
      <w:r>
        <w:rPr>
          <w:rStyle w:val="FootnoteReference"/>
          <w:sz w:val="22"/>
          <w:szCs w:val="22"/>
        </w:rPr>
        <w:footnoteReference w:id="19"/>
      </w:r>
      <w:r w:rsidR="0044787A">
        <w:t xml:space="preserve"> </w:t>
      </w:r>
    </w:p>
    <w:p w:rsidR="00D75ED7" w:rsidP="00260799" w14:paraId="72AF61EA" w14:textId="619211A0">
      <w:pPr>
        <w:pStyle w:val="ParaNum"/>
      </w:pPr>
      <w:r>
        <w:t xml:space="preserve">On July 10, 2017, </w:t>
      </w:r>
      <w:r w:rsidR="00B427A3">
        <w:t xml:space="preserve">the </w:t>
      </w:r>
      <w:r w:rsidR="00D2523D">
        <w:t>Bureau staff sent an email to MTA, Paralle</w:t>
      </w:r>
      <w:r>
        <w:t xml:space="preserve">l, </w:t>
      </w:r>
      <w:r w:rsidR="00260799">
        <w:t xml:space="preserve">and the other parties, </w:t>
      </w:r>
      <w:r>
        <w:t xml:space="preserve">stating that it is undisputed that the </w:t>
      </w:r>
      <w:r w:rsidRPr="004416F8" w:rsidR="00CC0026">
        <w:t>Tarrytown Station</w:t>
      </w:r>
      <w:r>
        <w:t xml:space="preserve"> qualifies as a </w:t>
      </w:r>
      <w:r w:rsidRPr="004416F8" w:rsidR="00CC0026">
        <w:t>historic property within the half-mile APE</w:t>
      </w:r>
      <w:r>
        <w:t xml:space="preserve"> of the </w:t>
      </w:r>
      <w:r>
        <w:t>site</w:t>
      </w:r>
      <w:r w:rsidR="00260799">
        <w:t>,</w:t>
      </w:r>
      <w:r>
        <w:t xml:space="preserve"> </w:t>
      </w:r>
      <w:r w:rsidR="00260799">
        <w:t xml:space="preserve">and </w:t>
      </w:r>
      <w:r>
        <w:t>that Parallel</w:t>
      </w:r>
      <w:r w:rsidR="00260799">
        <w:t xml:space="preserve"> had not assessed the potential effects of the proposed tower on that property in its</w:t>
      </w:r>
      <w:r>
        <w:t xml:space="preserve"> August 10, 2015 submission to the NYSHPO</w:t>
      </w:r>
      <w:r w:rsidR="00260799">
        <w:t>.</w:t>
      </w:r>
      <w:r>
        <w:rPr>
          <w:rStyle w:val="FootnoteReference"/>
        </w:rPr>
        <w:footnoteReference w:id="20"/>
      </w:r>
      <w:r w:rsidRPr="00260799" w:rsidR="00260799">
        <w:rPr>
          <w:szCs w:val="22"/>
        </w:rPr>
        <w:t xml:space="preserve"> </w:t>
      </w:r>
      <w:r>
        <w:t xml:space="preserve">  The </w:t>
      </w:r>
      <w:r w:rsidR="00260799">
        <w:t xml:space="preserve">email further </w:t>
      </w:r>
      <w:r>
        <w:t>stated:</w:t>
      </w:r>
    </w:p>
    <w:p w:rsidR="00D75ED7" w:rsidP="00260799" w14:paraId="1FC432B3" w14:textId="5764195C">
      <w:pPr>
        <w:pStyle w:val="ParaNum"/>
        <w:numPr>
          <w:ilvl w:val="0"/>
          <w:numId w:val="0"/>
        </w:numPr>
        <w:ind w:left="720"/>
        <w:rPr>
          <w:szCs w:val="22"/>
        </w:rPr>
      </w:pPr>
      <w:r>
        <w:rPr>
          <w:szCs w:val="22"/>
        </w:rPr>
        <w:t>The staff</w:t>
      </w:r>
      <w:r w:rsidR="002A1A8A">
        <w:rPr>
          <w:szCs w:val="22"/>
        </w:rPr>
        <w:t>..</w:t>
      </w:r>
      <w:r>
        <w:rPr>
          <w:szCs w:val="22"/>
        </w:rPr>
        <w:t xml:space="preserve">. </w:t>
      </w:r>
      <w:r w:rsidRPr="00260799">
        <w:rPr>
          <w:szCs w:val="22"/>
        </w:rPr>
        <w:t xml:space="preserve">encourage MTA and/or Parallel to submit to the </w:t>
      </w:r>
      <w:r>
        <w:rPr>
          <w:szCs w:val="22"/>
        </w:rPr>
        <w:t xml:space="preserve">[NYSHPO] </w:t>
      </w:r>
      <w:r w:rsidRPr="00260799">
        <w:rPr>
          <w:szCs w:val="22"/>
        </w:rPr>
        <w:t>a new Form 620 and accompanying information packet with a complete assessment of the proposed tower’s potential for direct and visual effects on the Tarrytown Metro-North Railroad Station</w:t>
      </w:r>
      <w:r>
        <w:rPr>
          <w:szCs w:val="22"/>
        </w:rPr>
        <w:t xml:space="preserve">. . . .  </w:t>
      </w:r>
      <w:r w:rsidRPr="00D75ED7">
        <w:rPr>
          <w:szCs w:val="22"/>
        </w:rPr>
        <w:t>Commission precedent establishes that an applicant’s failure to identify or assess a historic property in its Form 620 submission to a SHPO may be considered a “material omission,”</w:t>
      </w:r>
      <w:r w:rsidR="005539A6">
        <w:rPr>
          <w:szCs w:val="22"/>
        </w:rPr>
        <w:t> . . .</w:t>
      </w:r>
      <w:r w:rsidRPr="00D75ED7">
        <w:rPr>
          <w:szCs w:val="22"/>
        </w:rPr>
        <w:t xml:space="preserve"> and makes clear that a new or revised submission may be necessary to give the SHPO and consulting parties a full opportunity to understand and evaluate the effects of the proposed tower on the omitted historic property. </w:t>
      </w:r>
      <w:r w:rsidR="005539A6">
        <w:rPr>
          <w:szCs w:val="22"/>
        </w:rPr>
        <w:t xml:space="preserve"> </w:t>
      </w:r>
      <w:r w:rsidRPr="00D75ED7">
        <w:rPr>
          <w:szCs w:val="22"/>
        </w:rPr>
        <w:t>That submission, however, would not compromise the finality of the SHPO’s findings regarding effects on historic properties that the applicant properly identified and assessed in its original submission.</w:t>
      </w:r>
      <w:r>
        <w:rPr>
          <w:rStyle w:val="FootnoteReference"/>
          <w:szCs w:val="22"/>
        </w:rPr>
        <w:footnoteReference w:id="21"/>
      </w:r>
      <w:r w:rsidRPr="00D75ED7">
        <w:rPr>
          <w:szCs w:val="22"/>
        </w:rPr>
        <w:t xml:space="preserve"> </w:t>
      </w:r>
    </w:p>
    <w:p w:rsidR="003B7EFA" w:rsidRPr="007626B1" w:rsidP="004146C6" w14:paraId="15D752AE" w14:textId="780EEA21">
      <w:pPr>
        <w:pStyle w:val="ParaNum"/>
      </w:pPr>
      <w:r w:rsidRPr="007626B1">
        <w:t xml:space="preserve">On July 19, 2017, Parallel submitted what it characterized as an “update” to its Form 620 information packet, including an assessment of the proposed tower’s potential for direct and visual effects on the Tarrytown Station </w:t>
      </w:r>
      <w:r w:rsidRPr="007626B1" w:rsidR="00CC0026">
        <w:t>and</w:t>
      </w:r>
      <w:r w:rsidR="009C3FEF">
        <w:t xml:space="preserve"> a</w:t>
      </w:r>
      <w:r w:rsidRPr="007626B1" w:rsidR="00CC0026">
        <w:t xml:space="preserve"> </w:t>
      </w:r>
      <w:r w:rsidRPr="007626B1" w:rsidR="002E7758">
        <w:t>propos</w:t>
      </w:r>
      <w:r w:rsidR="009C3FEF">
        <w:t>ed</w:t>
      </w:r>
      <w:r w:rsidRPr="007626B1" w:rsidR="002E7758">
        <w:t xml:space="preserve"> finding of no adverse effect.</w:t>
      </w:r>
      <w:r>
        <w:rPr>
          <w:rStyle w:val="FootnoteReference"/>
          <w:szCs w:val="22"/>
        </w:rPr>
        <w:footnoteReference w:id="22"/>
      </w:r>
      <w:r w:rsidRPr="007626B1" w:rsidR="002E7758">
        <w:t xml:space="preserve">  </w:t>
      </w:r>
      <w:r w:rsidRPr="007626B1">
        <w:t>On August 25, 2017, t</w:t>
      </w:r>
      <w:r w:rsidRPr="007626B1" w:rsidR="002E7758">
        <w:t xml:space="preserve">he NYSHPO </w:t>
      </w:r>
      <w:r w:rsidRPr="007626B1">
        <w:t xml:space="preserve">responded </w:t>
      </w:r>
      <w:r>
        <w:t xml:space="preserve">with </w:t>
      </w:r>
      <w:r w:rsidRPr="007626B1">
        <w:t>a letter stating, “Based on our review of the additional material, our concurrence from August 21, 2015 remains unchanged.</w:t>
      </w:r>
      <w:r>
        <w:t>”</w:t>
      </w:r>
      <w:r>
        <w:rPr>
          <w:rStyle w:val="FootnoteReference"/>
          <w:sz w:val="22"/>
          <w:szCs w:val="22"/>
        </w:rPr>
        <w:footnoteReference w:id="23"/>
      </w:r>
      <w:r>
        <w:t xml:space="preserve">  The letter further “</w:t>
      </w:r>
      <w:r w:rsidRPr="007626B1">
        <w:t>request</w:t>
      </w:r>
      <w:r>
        <w:t>[ed]</w:t>
      </w:r>
      <w:r w:rsidRPr="007626B1">
        <w:t xml:space="preserve"> that the structure and all appurtenances be painted to minimi</w:t>
      </w:r>
      <w:r>
        <w:t>ze any potential visual impacts</w:t>
      </w:r>
      <w:r w:rsidRPr="007626B1" w:rsidR="002E7758">
        <w:t>.</w:t>
      </w:r>
      <w:r w:rsidR="004A6F8B">
        <w:t>”</w:t>
      </w:r>
      <w:r>
        <w:rPr>
          <w:rStyle w:val="FootnoteReference"/>
          <w:sz w:val="22"/>
          <w:szCs w:val="22"/>
        </w:rPr>
        <w:footnoteReference w:id="24"/>
      </w:r>
      <w:r w:rsidR="008B521D">
        <w:t xml:space="preserve">  </w:t>
      </w:r>
      <w:r w:rsidR="00B427A3">
        <w:t xml:space="preserve">In response, </w:t>
      </w:r>
      <w:r w:rsidR="0002624B">
        <w:t xml:space="preserve">applicants’ counsel sent an email to </w:t>
      </w:r>
      <w:r w:rsidR="00B427A3">
        <w:t xml:space="preserve">the Bureau </w:t>
      </w:r>
      <w:r w:rsidR="0002624B">
        <w:t>staff</w:t>
      </w:r>
      <w:r w:rsidR="00B427A3">
        <w:t>,</w:t>
      </w:r>
      <w:r w:rsidR="0002624B">
        <w:t xml:space="preserve"> stating, “</w:t>
      </w:r>
      <w:r w:rsidRPr="004146C6" w:rsidR="0002624B">
        <w:rPr>
          <w:szCs w:val="22"/>
        </w:rPr>
        <w:t>The MTA and Parallel confirm that they will honor that request, and will paint the structure and all appurtenances.</w:t>
      </w:r>
      <w:r w:rsidR="0002624B">
        <w:rPr>
          <w:szCs w:val="22"/>
        </w:rPr>
        <w:t>”</w:t>
      </w:r>
      <w:r>
        <w:rPr>
          <w:rStyle w:val="FootnoteReference"/>
          <w:szCs w:val="22"/>
        </w:rPr>
        <w:footnoteReference w:id="25"/>
      </w:r>
    </w:p>
    <w:p w:rsidR="00AD2935" w:rsidRPr="004416F8" w:rsidP="00585024" w14:paraId="37CAE518" w14:textId="4B85C0D0">
      <w:pPr>
        <w:pStyle w:val="Heading1"/>
        <w:widowControl/>
        <w:numPr>
          <w:ilvl w:val="0"/>
          <w:numId w:val="0"/>
        </w:numPr>
        <w:rPr>
          <w:rFonts w:ascii="Times New Roman" w:hAnsi="Times New Roman"/>
          <w:szCs w:val="22"/>
        </w:rPr>
      </w:pPr>
      <w:bookmarkStart w:id="1" w:name="_Toc441652185"/>
      <w:bookmarkStart w:id="2" w:name="_Toc441743342"/>
      <w:bookmarkStart w:id="3" w:name="_Toc441827325"/>
      <w:bookmarkStart w:id="4" w:name="_Toc442248055"/>
      <w:bookmarkStart w:id="5" w:name="_Toc442248164"/>
      <w:bookmarkStart w:id="6" w:name="_Toc444238647"/>
      <w:bookmarkStart w:id="7" w:name="_Toc444265318"/>
      <w:r>
        <w:rPr>
          <w:rFonts w:ascii="Times New Roman" w:hAnsi="Times New Roman"/>
          <w:szCs w:val="22"/>
        </w:rPr>
        <w:t>II.</w:t>
      </w:r>
      <w:r>
        <w:rPr>
          <w:rFonts w:ascii="Times New Roman" w:hAnsi="Times New Roman"/>
          <w:szCs w:val="22"/>
        </w:rPr>
        <w:tab/>
      </w:r>
      <w:r w:rsidRPr="004416F8">
        <w:rPr>
          <w:rFonts w:ascii="Times New Roman" w:hAnsi="Times New Roman"/>
          <w:szCs w:val="22"/>
        </w:rPr>
        <w:t>discussion</w:t>
      </w:r>
      <w:bookmarkEnd w:id="1"/>
      <w:bookmarkEnd w:id="2"/>
      <w:bookmarkEnd w:id="3"/>
      <w:bookmarkEnd w:id="4"/>
      <w:bookmarkEnd w:id="5"/>
      <w:bookmarkEnd w:id="6"/>
      <w:bookmarkEnd w:id="7"/>
    </w:p>
    <w:p w:rsidR="00857003" w:rsidRPr="009D03F5" w:rsidP="00585024" w14:paraId="0A4A34C7" w14:textId="69A8727D">
      <w:pPr>
        <w:pStyle w:val="ParaNum"/>
        <w:widowControl/>
        <w:rPr>
          <w:szCs w:val="22"/>
        </w:rPr>
      </w:pPr>
      <w:r>
        <w:rPr>
          <w:szCs w:val="22"/>
        </w:rPr>
        <w:t xml:space="preserve">Pursuant to Section XI of the </w:t>
      </w:r>
      <w:r w:rsidR="00444871">
        <w:rPr>
          <w:i/>
          <w:szCs w:val="22"/>
        </w:rPr>
        <w:t xml:space="preserve">Wireless Facilities </w:t>
      </w:r>
      <w:r>
        <w:rPr>
          <w:i/>
          <w:szCs w:val="22"/>
        </w:rPr>
        <w:t>NPA</w:t>
      </w:r>
      <w:r>
        <w:rPr>
          <w:szCs w:val="22"/>
        </w:rPr>
        <w:t>, the Commission has</w:t>
      </w:r>
      <w:r w:rsidRPr="009D03F5" w:rsidR="005539A6">
        <w:rPr>
          <w:szCs w:val="22"/>
        </w:rPr>
        <w:t xml:space="preserve"> authority to reopen the historic preservation review process</w:t>
      </w:r>
      <w:r w:rsidRPr="009D03F5" w:rsidR="005539A6">
        <w:rPr>
          <w:i/>
          <w:szCs w:val="22"/>
        </w:rPr>
        <w:t xml:space="preserve"> </w:t>
      </w:r>
      <w:r w:rsidRPr="009D03F5" w:rsidR="005539A6">
        <w:rPr>
          <w:szCs w:val="22"/>
        </w:rPr>
        <w:t>“where there has been a material error or omission in the information submitted by the applicant</w:t>
      </w:r>
      <w:r w:rsidR="005539A6">
        <w:rPr>
          <w:szCs w:val="22"/>
        </w:rPr>
        <w:t xml:space="preserve">[,] </w:t>
      </w:r>
      <w:r w:rsidRPr="009D03F5" w:rsidR="005539A6">
        <w:rPr>
          <w:szCs w:val="22"/>
        </w:rPr>
        <w:t>even if the error or omission comes to light after the SHPO has concurred with an applicant’s finding of no adverse effect</w:t>
      </w:r>
      <w:r w:rsidR="005539A6">
        <w:rPr>
          <w:szCs w:val="22"/>
        </w:rPr>
        <w:t>.”</w:t>
      </w:r>
      <w:r>
        <w:rPr>
          <w:rStyle w:val="FootnoteReference"/>
          <w:sz w:val="22"/>
          <w:szCs w:val="22"/>
        </w:rPr>
        <w:footnoteReference w:id="26"/>
      </w:r>
      <w:r w:rsidRPr="009D03F5" w:rsidR="005539A6">
        <w:rPr>
          <w:szCs w:val="22"/>
        </w:rPr>
        <w:t xml:space="preserve"> </w:t>
      </w:r>
      <w:r w:rsidR="005539A6">
        <w:rPr>
          <w:szCs w:val="22"/>
        </w:rPr>
        <w:t xml:space="preserve"> </w:t>
      </w:r>
      <w:r>
        <w:rPr>
          <w:szCs w:val="22"/>
        </w:rPr>
        <w:t>In this case, the review process was completed when</w:t>
      </w:r>
      <w:r w:rsidRPr="009D03F5" w:rsidR="001410AB">
        <w:rPr>
          <w:szCs w:val="22"/>
        </w:rPr>
        <w:t xml:space="preserve"> </w:t>
      </w:r>
      <w:r w:rsidR="00D80A02">
        <w:rPr>
          <w:szCs w:val="22"/>
        </w:rPr>
        <w:t xml:space="preserve">the </w:t>
      </w:r>
      <w:r w:rsidRPr="009D03F5" w:rsidR="001410AB">
        <w:rPr>
          <w:szCs w:val="22"/>
        </w:rPr>
        <w:t xml:space="preserve">NYSHPO concurred in writing with </w:t>
      </w:r>
      <w:r w:rsidR="00DA744C">
        <w:rPr>
          <w:szCs w:val="22"/>
        </w:rPr>
        <w:t xml:space="preserve">the </w:t>
      </w:r>
      <w:r w:rsidRPr="009D03F5" w:rsidR="001410AB">
        <w:rPr>
          <w:szCs w:val="22"/>
        </w:rPr>
        <w:t xml:space="preserve">conclusion </w:t>
      </w:r>
      <w:r w:rsidR="005539A6">
        <w:rPr>
          <w:szCs w:val="22"/>
        </w:rPr>
        <w:t xml:space="preserve">in </w:t>
      </w:r>
      <w:r w:rsidRPr="009D03F5" w:rsidR="00DA744C">
        <w:rPr>
          <w:szCs w:val="22"/>
        </w:rPr>
        <w:t xml:space="preserve">Parallel’s </w:t>
      </w:r>
      <w:r w:rsidR="005539A6">
        <w:rPr>
          <w:szCs w:val="22"/>
        </w:rPr>
        <w:t xml:space="preserve">second submission </w:t>
      </w:r>
      <w:r w:rsidRPr="009D03F5" w:rsidR="001410AB">
        <w:rPr>
          <w:szCs w:val="22"/>
        </w:rPr>
        <w:t>that the proposed tower would have no adverse effect on historic properties within the APE.</w:t>
      </w:r>
      <w:r>
        <w:rPr>
          <w:rStyle w:val="FootnoteReference"/>
          <w:sz w:val="22"/>
          <w:szCs w:val="22"/>
        </w:rPr>
        <w:footnoteReference w:id="27"/>
      </w:r>
      <w:r w:rsidRPr="009D03F5" w:rsidR="001410AB">
        <w:rPr>
          <w:szCs w:val="22"/>
        </w:rPr>
        <w:t xml:space="preserve">  </w:t>
      </w:r>
      <w:r w:rsidR="005539A6">
        <w:rPr>
          <w:szCs w:val="22"/>
        </w:rPr>
        <w:t xml:space="preserve">Nothing in </w:t>
      </w:r>
      <w:r w:rsidRPr="009D03F5" w:rsidR="00624975">
        <w:rPr>
          <w:szCs w:val="22"/>
        </w:rPr>
        <w:t>the Village</w:t>
      </w:r>
      <w:r w:rsidR="00CA7817">
        <w:rPr>
          <w:szCs w:val="22"/>
        </w:rPr>
        <w:t>’s</w:t>
      </w:r>
      <w:r w:rsidRPr="009D03F5" w:rsidR="00624975">
        <w:rPr>
          <w:szCs w:val="22"/>
        </w:rPr>
        <w:t xml:space="preserve"> </w:t>
      </w:r>
      <w:r w:rsidR="00CA7817">
        <w:rPr>
          <w:szCs w:val="22"/>
        </w:rPr>
        <w:t xml:space="preserve">or </w:t>
      </w:r>
      <w:r w:rsidRPr="009D03F5" w:rsidR="00624975">
        <w:rPr>
          <w:szCs w:val="22"/>
        </w:rPr>
        <w:t>Mr.</w:t>
      </w:r>
      <w:r w:rsidR="00CA7817">
        <w:rPr>
          <w:szCs w:val="22"/>
        </w:rPr>
        <w:t> </w:t>
      </w:r>
      <w:r w:rsidRPr="009D03F5" w:rsidR="00624975">
        <w:rPr>
          <w:szCs w:val="22"/>
        </w:rPr>
        <w:t>Cardillo</w:t>
      </w:r>
      <w:r w:rsidR="00CA7817">
        <w:rPr>
          <w:szCs w:val="22"/>
        </w:rPr>
        <w:t>’s filings</w:t>
      </w:r>
      <w:r w:rsidR="005539A6">
        <w:rPr>
          <w:szCs w:val="22"/>
        </w:rPr>
        <w:t xml:space="preserve"> </w:t>
      </w:r>
      <w:r>
        <w:rPr>
          <w:szCs w:val="22"/>
        </w:rPr>
        <w:t>identifies</w:t>
      </w:r>
      <w:r w:rsidRPr="009D03F5" w:rsidR="00E63414">
        <w:rPr>
          <w:szCs w:val="22"/>
        </w:rPr>
        <w:t xml:space="preserve"> any </w:t>
      </w:r>
      <w:r w:rsidR="005539A6">
        <w:rPr>
          <w:szCs w:val="22"/>
        </w:rPr>
        <w:t xml:space="preserve">other </w:t>
      </w:r>
      <w:r w:rsidR="009D03F5">
        <w:rPr>
          <w:szCs w:val="22"/>
        </w:rPr>
        <w:t xml:space="preserve">material </w:t>
      </w:r>
      <w:r w:rsidRPr="009D03F5" w:rsidR="00E63414">
        <w:rPr>
          <w:szCs w:val="22"/>
        </w:rPr>
        <w:t>error</w:t>
      </w:r>
      <w:r w:rsidR="005539A6">
        <w:rPr>
          <w:szCs w:val="22"/>
        </w:rPr>
        <w:t>s</w:t>
      </w:r>
      <w:r w:rsidRPr="009D03F5" w:rsidR="00E63414">
        <w:rPr>
          <w:szCs w:val="22"/>
        </w:rPr>
        <w:t xml:space="preserve"> or omission</w:t>
      </w:r>
      <w:r w:rsidR="005539A6">
        <w:rPr>
          <w:szCs w:val="22"/>
        </w:rPr>
        <w:t>s</w:t>
      </w:r>
      <w:r>
        <w:rPr>
          <w:szCs w:val="22"/>
        </w:rPr>
        <w:t xml:space="preserve"> that</w:t>
      </w:r>
      <w:r w:rsidRPr="009D03F5" w:rsidR="00E63414">
        <w:rPr>
          <w:szCs w:val="22"/>
        </w:rPr>
        <w:t xml:space="preserve"> </w:t>
      </w:r>
      <w:r w:rsidR="009D03F5">
        <w:rPr>
          <w:szCs w:val="22"/>
        </w:rPr>
        <w:t>warrant</w:t>
      </w:r>
      <w:r w:rsidR="005539A6">
        <w:rPr>
          <w:szCs w:val="22"/>
        </w:rPr>
        <w:t xml:space="preserve"> further action.</w:t>
      </w:r>
      <w:r w:rsidRPr="009D03F5" w:rsidR="001410AB">
        <w:rPr>
          <w:szCs w:val="22"/>
        </w:rPr>
        <w:t xml:space="preserve">  </w:t>
      </w:r>
    </w:p>
    <w:p w:rsidR="00271145" w:rsidP="003C5086" w14:paraId="148D0868" w14:textId="3F331BA1">
      <w:pPr>
        <w:pStyle w:val="ParaNum"/>
        <w:widowControl/>
        <w:rPr>
          <w:szCs w:val="22"/>
        </w:rPr>
      </w:pPr>
      <w:r w:rsidRPr="00290B53">
        <w:rPr>
          <w:szCs w:val="22"/>
        </w:rPr>
        <w:t xml:space="preserve">The failure of </w:t>
      </w:r>
      <w:r w:rsidRPr="00290B53" w:rsidR="00591535">
        <w:rPr>
          <w:szCs w:val="22"/>
        </w:rPr>
        <w:t xml:space="preserve">Parallel’s initial </w:t>
      </w:r>
      <w:r w:rsidRPr="00290B53">
        <w:rPr>
          <w:szCs w:val="22"/>
        </w:rPr>
        <w:t xml:space="preserve">Form 620 </w:t>
      </w:r>
      <w:r w:rsidRPr="00290B53" w:rsidR="00591535">
        <w:rPr>
          <w:szCs w:val="22"/>
        </w:rPr>
        <w:t>information packet</w:t>
      </w:r>
      <w:r w:rsidRPr="00290B53">
        <w:rPr>
          <w:szCs w:val="22"/>
        </w:rPr>
        <w:t xml:space="preserve"> </w:t>
      </w:r>
      <w:r w:rsidRPr="00290B53" w:rsidR="00591535">
        <w:rPr>
          <w:szCs w:val="22"/>
        </w:rPr>
        <w:t xml:space="preserve">to </w:t>
      </w:r>
      <w:r w:rsidRPr="00290B53" w:rsidR="00576C9D">
        <w:rPr>
          <w:szCs w:val="22"/>
        </w:rPr>
        <w:t xml:space="preserve">consider </w:t>
      </w:r>
      <w:r w:rsidRPr="00290B53" w:rsidR="009D03F5">
        <w:rPr>
          <w:szCs w:val="22"/>
        </w:rPr>
        <w:t xml:space="preserve">the </w:t>
      </w:r>
      <w:r w:rsidRPr="00290B53" w:rsidR="00591535">
        <w:rPr>
          <w:szCs w:val="22"/>
        </w:rPr>
        <w:t xml:space="preserve">Tarrytown </w:t>
      </w:r>
      <w:r w:rsidRPr="00290B53" w:rsidR="00624975">
        <w:rPr>
          <w:szCs w:val="22"/>
        </w:rPr>
        <w:t>S</w:t>
      </w:r>
      <w:r w:rsidRPr="00290B53" w:rsidR="00591535">
        <w:rPr>
          <w:szCs w:val="22"/>
        </w:rPr>
        <w:t>tation</w:t>
      </w:r>
      <w:r w:rsidRPr="00290B53" w:rsidR="00576C9D">
        <w:rPr>
          <w:szCs w:val="22"/>
        </w:rPr>
        <w:t xml:space="preserve"> </w:t>
      </w:r>
      <w:r w:rsidRPr="00290B53" w:rsidR="00591535">
        <w:rPr>
          <w:szCs w:val="22"/>
        </w:rPr>
        <w:t xml:space="preserve">was </w:t>
      </w:r>
      <w:r w:rsidRPr="00290B53">
        <w:rPr>
          <w:szCs w:val="22"/>
        </w:rPr>
        <w:t xml:space="preserve">a </w:t>
      </w:r>
      <w:r w:rsidRPr="00290B53" w:rsidR="00591535">
        <w:rPr>
          <w:szCs w:val="22"/>
        </w:rPr>
        <w:t xml:space="preserve">“material” </w:t>
      </w:r>
      <w:r w:rsidRPr="00290B53">
        <w:rPr>
          <w:szCs w:val="22"/>
        </w:rPr>
        <w:t xml:space="preserve">omission </w:t>
      </w:r>
      <w:r w:rsidRPr="00290B53" w:rsidR="00624975">
        <w:rPr>
          <w:szCs w:val="22"/>
        </w:rPr>
        <w:t xml:space="preserve">because </w:t>
      </w:r>
      <w:r w:rsidRPr="00290B53">
        <w:rPr>
          <w:szCs w:val="22"/>
        </w:rPr>
        <w:t xml:space="preserve">it </w:t>
      </w:r>
      <w:r w:rsidRPr="00290B53" w:rsidR="009D03F5">
        <w:rPr>
          <w:szCs w:val="22"/>
        </w:rPr>
        <w:t>preclude</w:t>
      </w:r>
      <w:r w:rsidRPr="00290B53" w:rsidR="00D80A02">
        <w:rPr>
          <w:szCs w:val="22"/>
        </w:rPr>
        <w:t>d</w:t>
      </w:r>
      <w:r w:rsidRPr="00290B53" w:rsidR="009D03F5">
        <w:rPr>
          <w:szCs w:val="22"/>
        </w:rPr>
        <w:t xml:space="preserve"> the NYSHPO from effectively assessing the effects </w:t>
      </w:r>
      <w:r w:rsidRPr="00290B53" w:rsidR="00624975">
        <w:rPr>
          <w:szCs w:val="22"/>
        </w:rPr>
        <w:t xml:space="preserve">(if any) </w:t>
      </w:r>
      <w:r w:rsidRPr="00290B53" w:rsidR="009D03F5">
        <w:rPr>
          <w:szCs w:val="22"/>
        </w:rPr>
        <w:t xml:space="preserve">of the proposed tower on </w:t>
      </w:r>
      <w:r w:rsidRPr="00290B53" w:rsidR="00D80A02">
        <w:rPr>
          <w:szCs w:val="22"/>
        </w:rPr>
        <w:t xml:space="preserve">all </w:t>
      </w:r>
      <w:r w:rsidRPr="00290B53" w:rsidR="009D03F5">
        <w:rPr>
          <w:szCs w:val="22"/>
        </w:rPr>
        <w:t>historic properties within the half-mile APE</w:t>
      </w:r>
      <w:r w:rsidRPr="00290B53" w:rsidR="00920712">
        <w:rPr>
          <w:szCs w:val="22"/>
        </w:rPr>
        <w:t xml:space="preserve"> </w:t>
      </w:r>
      <w:r w:rsidRPr="00290B53" w:rsidR="00AE77C1">
        <w:rPr>
          <w:szCs w:val="22"/>
        </w:rPr>
        <w:t xml:space="preserve">and </w:t>
      </w:r>
      <w:r w:rsidRPr="00290B53" w:rsidR="009D03F5">
        <w:rPr>
          <w:szCs w:val="22"/>
        </w:rPr>
        <w:t xml:space="preserve">thus </w:t>
      </w:r>
      <w:r w:rsidRPr="00290B53" w:rsidR="00AE77C1">
        <w:rPr>
          <w:szCs w:val="22"/>
        </w:rPr>
        <w:t>vitiated</w:t>
      </w:r>
      <w:r w:rsidRPr="00290B53" w:rsidR="0097348B">
        <w:rPr>
          <w:szCs w:val="22"/>
        </w:rPr>
        <w:t xml:space="preserve"> the</w:t>
      </w:r>
      <w:r w:rsidRPr="00290B53" w:rsidR="00AE77C1">
        <w:rPr>
          <w:szCs w:val="22"/>
        </w:rPr>
        <w:t xml:space="preserve"> NYS</w:t>
      </w:r>
      <w:r w:rsidRPr="00290B53" w:rsidR="009B5A54">
        <w:rPr>
          <w:szCs w:val="22"/>
        </w:rPr>
        <w:t>H</w:t>
      </w:r>
      <w:r w:rsidRPr="00290B53" w:rsidR="00AE77C1">
        <w:rPr>
          <w:szCs w:val="22"/>
        </w:rPr>
        <w:t>PO’s concurrence</w:t>
      </w:r>
      <w:r w:rsidRPr="00290B53" w:rsidR="009D03F5">
        <w:rPr>
          <w:szCs w:val="22"/>
        </w:rPr>
        <w:t xml:space="preserve"> with respect to the undertaking as a whole</w:t>
      </w:r>
      <w:r w:rsidRPr="00290B53" w:rsidR="00AE77C1">
        <w:rPr>
          <w:szCs w:val="22"/>
        </w:rPr>
        <w:t>.</w:t>
      </w:r>
      <w:r>
        <w:rPr>
          <w:rStyle w:val="FootnoteReference"/>
          <w:sz w:val="22"/>
          <w:szCs w:val="22"/>
        </w:rPr>
        <w:footnoteReference w:id="28"/>
      </w:r>
      <w:r w:rsidRPr="00290B53" w:rsidR="00AE77C1">
        <w:rPr>
          <w:szCs w:val="22"/>
        </w:rPr>
        <w:t xml:space="preserve">  </w:t>
      </w:r>
      <w:r w:rsidRPr="00290B53" w:rsidR="00290B53">
        <w:rPr>
          <w:szCs w:val="22"/>
        </w:rPr>
        <w:t xml:space="preserve">That omission, </w:t>
      </w:r>
      <w:r w:rsidRPr="00290B53" w:rsidR="00D80A02">
        <w:rPr>
          <w:szCs w:val="22"/>
        </w:rPr>
        <w:t xml:space="preserve">however, did not preclude the NYSHPO from assessing the effects of the proposed tower on the historic properties </w:t>
      </w:r>
      <w:r w:rsidRPr="00290B53" w:rsidR="00D80A02">
        <w:rPr>
          <w:i/>
          <w:szCs w:val="22"/>
        </w:rPr>
        <w:t xml:space="preserve">other than </w:t>
      </w:r>
      <w:r w:rsidRPr="00290B53" w:rsidR="00D80A02">
        <w:rPr>
          <w:szCs w:val="22"/>
        </w:rPr>
        <w:t>the Tarrytown Station that were listed in Parallel’s initial filing.</w:t>
      </w:r>
      <w:r w:rsidRPr="00290B53" w:rsidR="00290B53">
        <w:rPr>
          <w:szCs w:val="22"/>
        </w:rPr>
        <w:t xml:space="preserve">  </w:t>
      </w:r>
      <w:r w:rsidRPr="00290B53" w:rsidR="00F45E73">
        <w:rPr>
          <w:szCs w:val="22"/>
        </w:rPr>
        <w:t xml:space="preserve">Parallel remedied </w:t>
      </w:r>
      <w:r w:rsidR="00290B53">
        <w:rPr>
          <w:szCs w:val="22"/>
        </w:rPr>
        <w:t xml:space="preserve">the </w:t>
      </w:r>
      <w:r w:rsidRPr="00290B53" w:rsidR="00290B53">
        <w:rPr>
          <w:szCs w:val="22"/>
        </w:rPr>
        <w:t xml:space="preserve">material omission </w:t>
      </w:r>
      <w:r w:rsidRPr="00290B53" w:rsidR="00F45E73">
        <w:rPr>
          <w:szCs w:val="22"/>
        </w:rPr>
        <w:t xml:space="preserve">in its initial filing by submitting a </w:t>
      </w:r>
      <w:r w:rsidRPr="00290B53" w:rsidR="00AE77C1">
        <w:rPr>
          <w:szCs w:val="22"/>
        </w:rPr>
        <w:t xml:space="preserve">new Form 620 </w:t>
      </w:r>
      <w:r w:rsidRPr="00290B53" w:rsidR="00F45E73">
        <w:rPr>
          <w:szCs w:val="22"/>
        </w:rPr>
        <w:t xml:space="preserve">information </w:t>
      </w:r>
      <w:r w:rsidRPr="00290B53" w:rsidR="00AE77C1">
        <w:rPr>
          <w:szCs w:val="22"/>
        </w:rPr>
        <w:t>packet</w:t>
      </w:r>
      <w:r w:rsidRPr="00290B53" w:rsidR="00290B53">
        <w:rPr>
          <w:szCs w:val="22"/>
        </w:rPr>
        <w:t xml:space="preserve"> that included </w:t>
      </w:r>
      <w:r w:rsidRPr="00290B53" w:rsidR="00F45E73">
        <w:rPr>
          <w:szCs w:val="22"/>
        </w:rPr>
        <w:t xml:space="preserve">an evaluation </w:t>
      </w:r>
      <w:r w:rsidRPr="00290B53" w:rsidR="00AE77C1">
        <w:rPr>
          <w:szCs w:val="22"/>
        </w:rPr>
        <w:t xml:space="preserve">of </w:t>
      </w:r>
      <w:r w:rsidR="00290B53">
        <w:rPr>
          <w:szCs w:val="22"/>
        </w:rPr>
        <w:t xml:space="preserve">the proposed tower’s impact on the Tarrytown Station </w:t>
      </w:r>
      <w:r w:rsidRPr="00290B53" w:rsidR="00652ACC">
        <w:rPr>
          <w:szCs w:val="22"/>
        </w:rPr>
        <w:t xml:space="preserve">and </w:t>
      </w:r>
      <w:r w:rsidRPr="00290B53" w:rsidR="00F45E73">
        <w:rPr>
          <w:szCs w:val="22"/>
        </w:rPr>
        <w:t xml:space="preserve">an analysis justifying </w:t>
      </w:r>
      <w:r w:rsidR="00290B53">
        <w:rPr>
          <w:szCs w:val="22"/>
        </w:rPr>
        <w:t xml:space="preserve">its </w:t>
      </w:r>
      <w:r w:rsidRPr="00290B53" w:rsidR="00652ACC">
        <w:rPr>
          <w:szCs w:val="22"/>
        </w:rPr>
        <w:t xml:space="preserve">proposed </w:t>
      </w:r>
      <w:r w:rsidRPr="00290B53" w:rsidR="00F45E73">
        <w:rPr>
          <w:szCs w:val="22"/>
        </w:rPr>
        <w:t xml:space="preserve">finding of </w:t>
      </w:r>
      <w:r w:rsidRPr="00290B53" w:rsidR="00652ACC">
        <w:rPr>
          <w:szCs w:val="22"/>
        </w:rPr>
        <w:t>n</w:t>
      </w:r>
      <w:r w:rsidRPr="00290B53" w:rsidR="00C931B9">
        <w:rPr>
          <w:szCs w:val="22"/>
        </w:rPr>
        <w:t>o adverse effect</w:t>
      </w:r>
      <w:r w:rsidR="00B427A3">
        <w:rPr>
          <w:szCs w:val="22"/>
        </w:rPr>
        <w:t xml:space="preserve"> on historic properties in the APE</w:t>
      </w:r>
      <w:r w:rsidRPr="00290B53" w:rsidR="00DC3C63">
        <w:rPr>
          <w:szCs w:val="22"/>
        </w:rPr>
        <w:t>.</w:t>
      </w:r>
      <w:r w:rsidRPr="00290B53" w:rsidR="00F45E73">
        <w:rPr>
          <w:szCs w:val="22"/>
        </w:rPr>
        <w:t xml:space="preserve">  The </w:t>
      </w:r>
      <w:r w:rsidRPr="00290B53" w:rsidR="00652ACC">
        <w:rPr>
          <w:szCs w:val="22"/>
        </w:rPr>
        <w:t xml:space="preserve">NYSHPO’s concurrence </w:t>
      </w:r>
      <w:r w:rsidRPr="00290B53" w:rsidR="00F45E73">
        <w:rPr>
          <w:szCs w:val="22"/>
        </w:rPr>
        <w:t xml:space="preserve">renders the historic preservation review process complete pursuant to the </w:t>
      </w:r>
      <w:r w:rsidR="00444871">
        <w:rPr>
          <w:i/>
          <w:szCs w:val="22"/>
        </w:rPr>
        <w:t xml:space="preserve">Wireless Facilities </w:t>
      </w:r>
      <w:r w:rsidRPr="00290B53" w:rsidR="00F45E73">
        <w:rPr>
          <w:i/>
          <w:szCs w:val="22"/>
        </w:rPr>
        <w:t>NPA</w:t>
      </w:r>
      <w:r w:rsidRPr="00290B53" w:rsidR="00652ACC">
        <w:rPr>
          <w:szCs w:val="22"/>
        </w:rPr>
        <w:t>.</w:t>
      </w:r>
      <w:r>
        <w:rPr>
          <w:rStyle w:val="FootnoteReference"/>
          <w:sz w:val="22"/>
          <w:szCs w:val="22"/>
        </w:rPr>
        <w:footnoteReference w:id="29"/>
      </w:r>
      <w:r w:rsidRPr="00290B53" w:rsidR="00652ACC">
        <w:rPr>
          <w:szCs w:val="22"/>
        </w:rPr>
        <w:t xml:space="preserve">  </w:t>
      </w:r>
    </w:p>
    <w:p w:rsidR="0048595B" w:rsidRPr="00A52C3D" w:rsidP="003C5086" w14:paraId="41F8C412" w14:textId="21B606C8">
      <w:pPr>
        <w:pStyle w:val="ParaNum"/>
        <w:widowControl/>
        <w:autoSpaceDE w:val="0"/>
        <w:autoSpaceDN w:val="0"/>
        <w:adjustRightInd w:val="0"/>
        <w:rPr>
          <w:snapToGrid/>
          <w:kern w:val="0"/>
          <w:sz w:val="23"/>
          <w:szCs w:val="23"/>
        </w:rPr>
      </w:pPr>
      <w:r>
        <w:rPr>
          <w:szCs w:val="22"/>
        </w:rPr>
        <w:t xml:space="preserve">We are not aware of any other material </w:t>
      </w:r>
      <w:r w:rsidRPr="00A52C3D" w:rsidR="0010302C">
        <w:rPr>
          <w:szCs w:val="22"/>
        </w:rPr>
        <w:t>error</w:t>
      </w:r>
      <w:r>
        <w:rPr>
          <w:szCs w:val="22"/>
        </w:rPr>
        <w:t>s</w:t>
      </w:r>
      <w:r w:rsidRPr="00A52C3D" w:rsidR="0010302C">
        <w:rPr>
          <w:szCs w:val="22"/>
        </w:rPr>
        <w:t xml:space="preserve"> or omission</w:t>
      </w:r>
      <w:r>
        <w:rPr>
          <w:szCs w:val="22"/>
        </w:rPr>
        <w:t>s</w:t>
      </w:r>
      <w:r w:rsidRPr="00A52C3D" w:rsidR="0010302C">
        <w:rPr>
          <w:szCs w:val="22"/>
        </w:rPr>
        <w:t xml:space="preserve"> that would </w:t>
      </w:r>
      <w:r w:rsidR="004A6F8B">
        <w:rPr>
          <w:szCs w:val="22"/>
        </w:rPr>
        <w:t>negate</w:t>
      </w:r>
      <w:r w:rsidRPr="00A52C3D" w:rsidR="00F45E73">
        <w:rPr>
          <w:szCs w:val="22"/>
        </w:rPr>
        <w:t xml:space="preserve"> </w:t>
      </w:r>
      <w:r w:rsidRPr="00A52C3D" w:rsidR="0010302C">
        <w:rPr>
          <w:szCs w:val="22"/>
        </w:rPr>
        <w:t xml:space="preserve">the effectiveness of </w:t>
      </w:r>
      <w:r w:rsidRPr="00A52C3D" w:rsidR="00271145">
        <w:rPr>
          <w:szCs w:val="22"/>
        </w:rPr>
        <w:t xml:space="preserve">the NYSHPO’s </w:t>
      </w:r>
      <w:r w:rsidRPr="00A52C3D" w:rsidR="0010302C">
        <w:rPr>
          <w:szCs w:val="22"/>
        </w:rPr>
        <w:t>review</w:t>
      </w:r>
      <w:r w:rsidRPr="00A52C3D" w:rsidR="00400A80">
        <w:rPr>
          <w:szCs w:val="22"/>
        </w:rPr>
        <w:t>.</w:t>
      </w:r>
      <w:r w:rsidRPr="00A52C3D" w:rsidR="00271145">
        <w:rPr>
          <w:szCs w:val="22"/>
        </w:rPr>
        <w:t xml:space="preserve">  Nor is there any evidence of misconduct by the MTA or Parallel.  While the applicants cannot rely on the purported “glitch” in the NYSHPO’s database to excuse the omission of the Tarrytown Station,</w:t>
      </w:r>
      <w:r>
        <w:rPr>
          <w:rStyle w:val="FootnoteReference"/>
          <w:sz w:val="22"/>
          <w:szCs w:val="22"/>
        </w:rPr>
        <w:footnoteReference w:id="30"/>
      </w:r>
      <w:r w:rsidRPr="00A52C3D" w:rsidR="00271145">
        <w:rPr>
          <w:szCs w:val="22"/>
        </w:rPr>
        <w:t xml:space="preserve"> it does not appear that the omission involved any willful misconduct.  Similarly, </w:t>
      </w:r>
      <w:r w:rsidRPr="00A52C3D" w:rsidR="00A52C3D">
        <w:rPr>
          <w:szCs w:val="22"/>
        </w:rPr>
        <w:t xml:space="preserve">even if, as the Village contends, </w:t>
      </w:r>
      <w:r w:rsidRPr="00A52C3D" w:rsidR="00271145">
        <w:rPr>
          <w:szCs w:val="22"/>
        </w:rPr>
        <w:t xml:space="preserve">Parallel’s statement </w:t>
      </w:r>
      <w:r w:rsidRPr="00A52C3D" w:rsidR="00A52C3D">
        <w:rPr>
          <w:szCs w:val="22"/>
        </w:rPr>
        <w:t xml:space="preserve">regarding the visibility of the tower from </w:t>
      </w:r>
      <w:r w:rsidRPr="00A52C3D" w:rsidR="00271145">
        <w:rPr>
          <w:szCs w:val="22"/>
        </w:rPr>
        <w:t>the Washington Ir</w:t>
      </w:r>
      <w:r w:rsidRPr="00A52C3D" w:rsidR="00A52C3D">
        <w:rPr>
          <w:szCs w:val="22"/>
        </w:rPr>
        <w:t>v</w:t>
      </w:r>
      <w:r w:rsidRPr="00A52C3D" w:rsidR="00271145">
        <w:rPr>
          <w:szCs w:val="22"/>
        </w:rPr>
        <w:t>ing Middle School</w:t>
      </w:r>
      <w:r w:rsidRPr="00A52C3D" w:rsidR="00A52C3D">
        <w:rPr>
          <w:szCs w:val="22"/>
        </w:rPr>
        <w:t xml:space="preserve"> (WIMS) was erroneous,</w:t>
      </w:r>
      <w:r>
        <w:rPr>
          <w:rStyle w:val="FootnoteReference"/>
          <w:sz w:val="22"/>
          <w:szCs w:val="22"/>
        </w:rPr>
        <w:footnoteReference w:id="31"/>
      </w:r>
      <w:r w:rsidRPr="00A52C3D" w:rsidR="00A52C3D">
        <w:rPr>
          <w:szCs w:val="22"/>
        </w:rPr>
        <w:t xml:space="preserve"> that error was harmless.  Parallel </w:t>
      </w:r>
      <w:r w:rsidR="008C4F64">
        <w:rPr>
          <w:szCs w:val="22"/>
        </w:rPr>
        <w:t>explained that</w:t>
      </w:r>
      <w:r w:rsidRPr="00A52C3D" w:rsidR="00A52C3D">
        <w:rPr>
          <w:szCs w:val="22"/>
        </w:rPr>
        <w:t xml:space="preserve"> “</w:t>
      </w:r>
      <w:r w:rsidRPr="00A52C3D" w:rsidR="00A52C3D">
        <w:rPr>
          <w:snapToGrid/>
          <w:kern w:val="0"/>
          <w:szCs w:val="22"/>
        </w:rPr>
        <w:t>even if the tower would be visible from WIMS, there would be no impact on WIMS because the proposed tower would not have an effect on the characteristics qualifying WIMS for inclusion in the National Register</w:t>
      </w:r>
      <w:r w:rsidRPr="00A52C3D" w:rsidR="00A52C3D">
        <w:rPr>
          <w:szCs w:val="22"/>
        </w:rPr>
        <w:t>.</w:t>
      </w:r>
      <w:r w:rsidR="00A52C3D">
        <w:rPr>
          <w:szCs w:val="22"/>
        </w:rPr>
        <w:t>”</w:t>
      </w:r>
      <w:r>
        <w:rPr>
          <w:rStyle w:val="FootnoteReference"/>
          <w:sz w:val="22"/>
          <w:szCs w:val="22"/>
        </w:rPr>
        <w:footnoteReference w:id="32"/>
      </w:r>
      <w:r w:rsidR="00A52C3D">
        <w:rPr>
          <w:szCs w:val="22"/>
        </w:rPr>
        <w:t xml:space="preserve">  Contrary to the assertions of the Village and Mr. Cardillo, the fact that a proposed undertaking is visible from a historic property, standing alone, does not </w:t>
      </w:r>
      <w:r w:rsidR="008C4F64">
        <w:rPr>
          <w:szCs w:val="22"/>
        </w:rPr>
        <w:t xml:space="preserve">necessarily </w:t>
      </w:r>
      <w:r w:rsidR="00A52C3D">
        <w:rPr>
          <w:szCs w:val="22"/>
        </w:rPr>
        <w:t xml:space="preserve">mean that </w:t>
      </w:r>
      <w:r w:rsidR="008C4F64">
        <w:rPr>
          <w:szCs w:val="22"/>
        </w:rPr>
        <w:t xml:space="preserve">the undertaking </w:t>
      </w:r>
      <w:r w:rsidR="00A52C3D">
        <w:rPr>
          <w:szCs w:val="22"/>
        </w:rPr>
        <w:t xml:space="preserve">would have adverse effects on the </w:t>
      </w:r>
      <w:r w:rsidR="008C4F64">
        <w:rPr>
          <w:szCs w:val="22"/>
        </w:rPr>
        <w:t xml:space="preserve">historic </w:t>
      </w:r>
      <w:r w:rsidR="00A52C3D">
        <w:rPr>
          <w:szCs w:val="22"/>
        </w:rPr>
        <w:t xml:space="preserve">property.  The inquiry is </w:t>
      </w:r>
      <w:r w:rsidR="008C4F64">
        <w:rPr>
          <w:szCs w:val="22"/>
        </w:rPr>
        <w:t xml:space="preserve">whether </w:t>
      </w:r>
      <w:r w:rsidRPr="00290B53" w:rsidR="008C4F64">
        <w:rPr>
          <w:szCs w:val="22"/>
        </w:rPr>
        <w:t xml:space="preserve">the proposed </w:t>
      </w:r>
      <w:r w:rsidR="008C4F64">
        <w:rPr>
          <w:szCs w:val="22"/>
        </w:rPr>
        <w:t xml:space="preserve">undertaking </w:t>
      </w:r>
      <w:r w:rsidRPr="00290B53" w:rsidR="008C4F64">
        <w:rPr>
          <w:szCs w:val="22"/>
        </w:rPr>
        <w:t xml:space="preserve">has </w:t>
      </w:r>
      <w:r>
        <w:rPr>
          <w:szCs w:val="22"/>
        </w:rPr>
        <w:t>“</w:t>
      </w:r>
      <w:r w:rsidRPr="00290B53" w:rsidR="008C4F64">
        <w:rPr>
          <w:szCs w:val="22"/>
        </w:rPr>
        <w:t>the potential to introduce visual elements that diminish or alter the setting, including the landscape, where the setting is a character-defining feature of a Historic Property that makes it eligible for listing on the National Register</w:t>
      </w:r>
      <w:r w:rsidR="008C4F64">
        <w:rPr>
          <w:szCs w:val="22"/>
        </w:rPr>
        <w:t>.</w:t>
      </w:r>
      <w:r w:rsidRPr="00290B53" w:rsidR="008C4F64">
        <w:rPr>
          <w:szCs w:val="22"/>
        </w:rPr>
        <w:t>”</w:t>
      </w:r>
      <w:r>
        <w:rPr>
          <w:rStyle w:val="FootnoteReference"/>
          <w:szCs w:val="22"/>
        </w:rPr>
        <w:footnoteReference w:id="33"/>
      </w:r>
      <w:r w:rsidR="008C4F64">
        <w:rPr>
          <w:szCs w:val="22"/>
        </w:rPr>
        <w:t xml:space="preserve">  We have no reason to doubt the NYSHPO’s conclusion that the proposed tower has no such potential.</w:t>
      </w:r>
      <w:r w:rsidR="00A52C3D">
        <w:rPr>
          <w:szCs w:val="22"/>
        </w:rPr>
        <w:t xml:space="preserve">  </w:t>
      </w:r>
    </w:p>
    <w:p w:rsidR="00F8364D" w:rsidRPr="00F8364D" w:rsidP="003C5086" w14:paraId="4D792EF4" w14:textId="377CB988">
      <w:pPr>
        <w:pStyle w:val="ParaNum"/>
        <w:rPr>
          <w:szCs w:val="22"/>
        </w:rPr>
      </w:pPr>
      <w:r w:rsidRPr="00316A27">
        <w:rPr>
          <w:snapToGrid/>
        </w:rPr>
        <w:t xml:space="preserve">The National Environmental Policy Act (NEPA) and </w:t>
      </w:r>
      <w:r w:rsidR="002E0A14">
        <w:rPr>
          <w:snapToGrid/>
        </w:rPr>
        <w:t xml:space="preserve">its implementing </w:t>
      </w:r>
      <w:r w:rsidRPr="00316A27">
        <w:rPr>
          <w:snapToGrid/>
        </w:rPr>
        <w:t>regulations require</w:t>
      </w:r>
      <w:r w:rsidRPr="00316A27" w:rsidR="00F256FC">
        <w:rPr>
          <w:snapToGrid/>
        </w:rPr>
        <w:t xml:space="preserve"> federal agencies to identify and consider environmental </w:t>
      </w:r>
      <w:r w:rsidR="00870E51">
        <w:rPr>
          <w:snapToGrid/>
        </w:rPr>
        <w:t>impacts</w:t>
      </w:r>
      <w:r w:rsidRPr="00316A27">
        <w:rPr>
          <w:snapToGrid/>
        </w:rPr>
        <w:t>, including aesthetic effects,</w:t>
      </w:r>
      <w:r w:rsidRPr="00316A27" w:rsidR="00F256FC">
        <w:rPr>
          <w:snapToGrid/>
        </w:rPr>
        <w:t xml:space="preserve"> when</w:t>
      </w:r>
      <w:r w:rsidRPr="00316A27">
        <w:rPr>
          <w:snapToGrid/>
        </w:rPr>
        <w:t xml:space="preserve"> </w:t>
      </w:r>
      <w:r w:rsidR="00870E51">
        <w:rPr>
          <w:snapToGrid/>
        </w:rPr>
        <w:t>deciding whether to authorize or undertake</w:t>
      </w:r>
      <w:r w:rsidRPr="00316A27" w:rsidR="00F256FC">
        <w:rPr>
          <w:snapToGrid/>
        </w:rPr>
        <w:t xml:space="preserve"> a major federal action.</w:t>
      </w:r>
      <w:r>
        <w:rPr>
          <w:rStyle w:val="FootnoteReference"/>
          <w:rFonts w:cs="TimesNewRoman"/>
          <w:snapToGrid/>
          <w:kern w:val="0"/>
          <w:szCs w:val="22"/>
        </w:rPr>
        <w:footnoteReference w:id="34"/>
      </w:r>
      <w:r w:rsidRPr="00316A27" w:rsidR="00F256FC">
        <w:rPr>
          <w:snapToGrid/>
        </w:rPr>
        <w:t xml:space="preserve">  </w:t>
      </w:r>
      <w:r w:rsidR="006A42FE">
        <w:rPr>
          <w:rFonts w:ascii="TimesNewRoman" w:hAnsi="TimesNewRoman" w:cs="TimesNewRoman"/>
          <w:snapToGrid/>
          <w:kern w:val="0"/>
          <w:szCs w:val="22"/>
        </w:rPr>
        <w:t xml:space="preserve">The Commission has long recognized </w:t>
      </w:r>
      <w:r w:rsidR="00870E51">
        <w:rPr>
          <w:rFonts w:ascii="TimesNewRoman" w:hAnsi="TimesNewRoman" w:cs="TimesNewRoman"/>
          <w:snapToGrid/>
          <w:kern w:val="0"/>
          <w:szCs w:val="22"/>
        </w:rPr>
        <w:t>that,</w:t>
      </w:r>
      <w:r w:rsidR="006A42FE">
        <w:rPr>
          <w:rFonts w:ascii="TimesNewRoman" w:hAnsi="TimesNewRoman" w:cs="TimesNewRoman"/>
          <w:snapToGrid/>
          <w:kern w:val="0"/>
          <w:szCs w:val="22"/>
        </w:rPr>
        <w:t xml:space="preserve"> in some circumstances</w:t>
      </w:r>
      <w:r w:rsidR="00870E51">
        <w:rPr>
          <w:rFonts w:ascii="TimesNewRoman" w:hAnsi="TimesNewRoman" w:cs="TimesNewRoman"/>
          <w:snapToGrid/>
          <w:kern w:val="0"/>
          <w:szCs w:val="22"/>
        </w:rPr>
        <w:t>,</w:t>
      </w:r>
      <w:r w:rsidR="006A42FE">
        <w:rPr>
          <w:rFonts w:ascii="TimesNewRoman" w:hAnsi="TimesNewRoman" w:cs="TimesNewRoman"/>
          <w:snapToGrid/>
          <w:kern w:val="0"/>
          <w:szCs w:val="22"/>
        </w:rPr>
        <w:t xml:space="preserve"> the “visual impact” of a proposed tower can be </w:t>
      </w:r>
      <w:r w:rsidR="00870E51">
        <w:rPr>
          <w:rFonts w:ascii="TimesNewRoman" w:hAnsi="TimesNewRoman" w:cs="TimesNewRoman"/>
          <w:snapToGrid/>
          <w:kern w:val="0"/>
          <w:szCs w:val="22"/>
        </w:rPr>
        <w:t xml:space="preserve">a </w:t>
      </w:r>
      <w:r w:rsidR="006A42FE">
        <w:rPr>
          <w:rFonts w:ascii="TimesNewRoman" w:hAnsi="TimesNewRoman" w:cs="TimesNewRoman"/>
          <w:snapToGrid/>
          <w:kern w:val="0"/>
          <w:szCs w:val="22"/>
        </w:rPr>
        <w:t>“</w:t>
      </w:r>
      <w:r w:rsidRPr="003C5086" w:rsidR="006A42FE">
        <w:rPr>
          <w:rFonts w:ascii="TimesNewRoman" w:hAnsi="TimesNewRoman" w:cs="TimesNewRoman"/>
          <w:snapToGrid/>
          <w:kern w:val="0"/>
          <w:szCs w:val="22"/>
        </w:rPr>
        <w:t>principal factor of environmental significance</w:t>
      </w:r>
      <w:r w:rsidR="006A42FE">
        <w:rPr>
          <w:rFonts w:ascii="TimesNewRoman" w:hAnsi="TimesNewRoman" w:cs="TimesNewRoman"/>
          <w:snapToGrid/>
          <w:kern w:val="0"/>
          <w:szCs w:val="22"/>
        </w:rPr>
        <w:t>, </w:t>
      </w:r>
      <w:r w:rsidR="002A1A8A">
        <w:rPr>
          <w:rFonts w:ascii="TimesNewRoman" w:hAnsi="TimesNewRoman" w:cs="TimesNewRoman"/>
          <w:snapToGrid/>
          <w:kern w:val="0"/>
          <w:szCs w:val="22"/>
        </w:rPr>
        <w:t xml:space="preserve"> </w:t>
      </w:r>
      <w:r w:rsidR="006A42FE">
        <w:rPr>
          <w:rFonts w:ascii="TimesNewRoman" w:hAnsi="TimesNewRoman" w:cs="TimesNewRoman"/>
          <w:snapToGrid/>
          <w:kern w:val="0"/>
          <w:szCs w:val="22"/>
        </w:rPr>
        <w:t>. . . depend[ing]</w:t>
      </w:r>
      <w:r w:rsidRPr="003C5086" w:rsidR="006A42FE">
        <w:rPr>
          <w:rFonts w:ascii="TimesNewRoman" w:hAnsi="TimesNewRoman" w:cs="TimesNewRoman"/>
          <w:snapToGrid/>
          <w:kern w:val="0"/>
          <w:szCs w:val="22"/>
        </w:rPr>
        <w:t xml:space="preserve"> on </w:t>
      </w:r>
      <w:r w:rsidR="00870E51">
        <w:rPr>
          <w:rFonts w:ascii="TimesNewRoman" w:hAnsi="TimesNewRoman" w:cs="TimesNewRoman"/>
          <w:snapToGrid/>
          <w:kern w:val="0"/>
          <w:szCs w:val="22"/>
        </w:rPr>
        <w:t>[the tower’s]</w:t>
      </w:r>
      <w:r w:rsidRPr="003C5086" w:rsidR="006A42FE">
        <w:rPr>
          <w:rFonts w:ascii="TimesNewRoman" w:hAnsi="TimesNewRoman" w:cs="TimesNewRoman"/>
          <w:snapToGrid/>
          <w:kern w:val="0"/>
          <w:szCs w:val="22"/>
        </w:rPr>
        <w:t xml:space="preserve"> physical characteristics and its location.”</w:t>
      </w:r>
      <w:r>
        <w:rPr>
          <w:rStyle w:val="FootnoteReference"/>
          <w:rFonts w:cs="TimesNewRoman"/>
          <w:snapToGrid/>
          <w:kern w:val="0"/>
          <w:szCs w:val="22"/>
        </w:rPr>
        <w:footnoteReference w:id="35"/>
      </w:r>
      <w:r w:rsidR="006A42FE">
        <w:rPr>
          <w:rFonts w:ascii="TimesNewRoman" w:hAnsi="TimesNewRoman" w:cs="TimesNewRoman"/>
          <w:snapToGrid/>
          <w:kern w:val="0"/>
          <w:szCs w:val="22"/>
        </w:rPr>
        <w:t xml:space="preserve">  Thus, although </w:t>
      </w:r>
      <w:r w:rsidRPr="00316A27" w:rsidR="00316A27">
        <w:rPr>
          <w:rFonts w:ascii="TimesNewRoman" w:hAnsi="TimesNewRoman" w:cs="TimesNewRoman"/>
          <w:snapToGrid/>
          <w:kern w:val="0"/>
          <w:szCs w:val="22"/>
        </w:rPr>
        <w:t>Section 1.</w:t>
      </w:r>
      <w:r w:rsidR="004A6F8B">
        <w:rPr>
          <w:rFonts w:ascii="TimesNewRoman" w:hAnsi="TimesNewRoman" w:cs="TimesNewRoman"/>
          <w:snapToGrid/>
          <w:kern w:val="0"/>
          <w:szCs w:val="22"/>
        </w:rPr>
        <w:t>1</w:t>
      </w:r>
      <w:r w:rsidRPr="00316A27" w:rsidR="00316A27">
        <w:rPr>
          <w:rFonts w:ascii="TimesNewRoman" w:hAnsi="TimesNewRoman" w:cs="TimesNewRoman"/>
          <w:snapToGrid/>
          <w:kern w:val="0"/>
          <w:szCs w:val="22"/>
        </w:rPr>
        <w:t xml:space="preserve">307(a) and (b) </w:t>
      </w:r>
      <w:r w:rsidR="006A42FE">
        <w:rPr>
          <w:rFonts w:ascii="TimesNewRoman" w:hAnsi="TimesNewRoman" w:cs="TimesNewRoman"/>
          <w:snapToGrid/>
          <w:kern w:val="0"/>
          <w:szCs w:val="22"/>
        </w:rPr>
        <w:t xml:space="preserve">of the Commission’s rules do not list aesthetic concerns </w:t>
      </w:r>
      <w:r w:rsidR="00870E51">
        <w:rPr>
          <w:rFonts w:ascii="TimesNewRoman" w:hAnsi="TimesNewRoman" w:cs="TimesNewRoman"/>
          <w:snapToGrid/>
          <w:kern w:val="0"/>
          <w:szCs w:val="22"/>
        </w:rPr>
        <w:t xml:space="preserve">or visual impacts as </w:t>
      </w:r>
      <w:r w:rsidRPr="00316A27" w:rsidR="00316A27">
        <w:rPr>
          <w:rFonts w:ascii="TimesNewRoman" w:hAnsi="TimesNewRoman" w:cs="TimesNewRoman"/>
          <w:snapToGrid/>
          <w:kern w:val="0"/>
          <w:szCs w:val="22"/>
        </w:rPr>
        <w:t xml:space="preserve">specific </w:t>
      </w:r>
      <w:r w:rsidR="006A42FE">
        <w:rPr>
          <w:rFonts w:ascii="TimesNewRoman" w:hAnsi="TimesNewRoman" w:cs="TimesNewRoman"/>
          <w:snapToGrid/>
          <w:kern w:val="0"/>
          <w:szCs w:val="22"/>
        </w:rPr>
        <w:t>concerns that</w:t>
      </w:r>
      <w:r w:rsidRPr="00316A27" w:rsidR="00316A27">
        <w:rPr>
          <w:rFonts w:ascii="TimesNewRoman" w:hAnsi="TimesNewRoman" w:cs="TimesNewRoman"/>
          <w:snapToGrid/>
          <w:kern w:val="0"/>
          <w:szCs w:val="22"/>
        </w:rPr>
        <w:t xml:space="preserve">, if present, </w:t>
      </w:r>
      <w:r w:rsidR="006A42FE">
        <w:rPr>
          <w:rFonts w:ascii="TimesNewRoman" w:hAnsi="TimesNewRoman" w:cs="TimesNewRoman"/>
          <w:snapToGrid/>
          <w:kern w:val="0"/>
          <w:szCs w:val="22"/>
        </w:rPr>
        <w:t xml:space="preserve">automatically </w:t>
      </w:r>
      <w:r w:rsidRPr="00316A27" w:rsidR="00316A27">
        <w:rPr>
          <w:rFonts w:ascii="TimesNewRoman" w:hAnsi="TimesNewRoman" w:cs="TimesNewRoman"/>
          <w:snapToGrid/>
          <w:kern w:val="0"/>
          <w:szCs w:val="22"/>
        </w:rPr>
        <w:t xml:space="preserve">require </w:t>
      </w:r>
      <w:r w:rsidR="00870E51">
        <w:rPr>
          <w:rFonts w:ascii="TimesNewRoman" w:hAnsi="TimesNewRoman" w:cs="TimesNewRoman"/>
          <w:snapToGrid/>
          <w:kern w:val="0"/>
          <w:szCs w:val="22"/>
        </w:rPr>
        <w:t xml:space="preserve">an </w:t>
      </w:r>
      <w:r w:rsidRPr="00316A27" w:rsidR="00316A27">
        <w:rPr>
          <w:rFonts w:ascii="TimesNewRoman" w:hAnsi="TimesNewRoman" w:cs="TimesNewRoman"/>
          <w:snapToGrid/>
          <w:kern w:val="0"/>
          <w:szCs w:val="22"/>
        </w:rPr>
        <w:t>applicant to prepare an Environmental Assessment (EA)</w:t>
      </w:r>
      <w:r w:rsidR="006A42FE">
        <w:rPr>
          <w:rFonts w:ascii="TimesNewRoman" w:hAnsi="TimesNewRoman" w:cs="TimesNewRoman"/>
          <w:snapToGrid/>
          <w:kern w:val="0"/>
          <w:szCs w:val="22"/>
        </w:rPr>
        <w:t>,</w:t>
      </w:r>
      <w:r>
        <w:rPr>
          <w:rStyle w:val="FootnoteReference"/>
          <w:rFonts w:cs="TimesNewRoman"/>
          <w:snapToGrid/>
          <w:kern w:val="0"/>
          <w:szCs w:val="22"/>
        </w:rPr>
        <w:footnoteReference w:id="36"/>
      </w:r>
      <w:r w:rsidRPr="00316A27" w:rsidR="00316A27">
        <w:rPr>
          <w:rFonts w:ascii="TimesNewRoman" w:hAnsi="TimesNewRoman" w:cs="TimesNewRoman"/>
          <w:snapToGrid/>
          <w:kern w:val="0"/>
          <w:szCs w:val="22"/>
        </w:rPr>
        <w:t xml:space="preserve"> </w:t>
      </w:r>
      <w:bookmarkStart w:id="9" w:name="_Hlk499540916"/>
      <w:r w:rsidRPr="003C5086" w:rsidR="003C5086">
        <w:rPr>
          <w:rFonts w:ascii="TimesNewRoman" w:hAnsi="TimesNewRoman" w:cs="TimesNewRoman"/>
          <w:snapToGrid/>
          <w:kern w:val="0"/>
          <w:szCs w:val="22"/>
        </w:rPr>
        <w:t>“the ‘safeguard’ provisions of section 1.1307(c) and (d) of the rules</w:t>
      </w:r>
      <w:r w:rsidR="006A42FE">
        <w:rPr>
          <w:rFonts w:ascii="TimesNewRoman" w:hAnsi="TimesNewRoman" w:cs="TimesNewRoman"/>
          <w:snapToGrid/>
          <w:kern w:val="0"/>
          <w:szCs w:val="22"/>
        </w:rPr>
        <w:t xml:space="preserve">” enable </w:t>
      </w:r>
      <w:r w:rsidRPr="003C5086" w:rsidR="003C5086">
        <w:rPr>
          <w:rFonts w:ascii="TimesNewRoman" w:hAnsi="TimesNewRoman" w:cs="TimesNewRoman"/>
          <w:snapToGrid/>
          <w:kern w:val="0"/>
          <w:szCs w:val="22"/>
        </w:rPr>
        <w:t xml:space="preserve">parties </w:t>
      </w:r>
      <w:r w:rsidR="006A42FE">
        <w:rPr>
          <w:rFonts w:ascii="TimesNewRoman" w:hAnsi="TimesNewRoman" w:cs="TimesNewRoman"/>
          <w:snapToGrid/>
          <w:kern w:val="0"/>
          <w:szCs w:val="22"/>
        </w:rPr>
        <w:t xml:space="preserve">(or the Commission, </w:t>
      </w:r>
      <w:r w:rsidR="006A42FE">
        <w:rPr>
          <w:rFonts w:ascii="TimesNewRoman" w:hAnsi="TimesNewRoman" w:cs="TimesNewRoman"/>
          <w:i/>
          <w:snapToGrid/>
          <w:kern w:val="0"/>
          <w:szCs w:val="22"/>
        </w:rPr>
        <w:t>sua sponte</w:t>
      </w:r>
      <w:r w:rsidR="006A42FE">
        <w:rPr>
          <w:rFonts w:ascii="TimesNewRoman" w:hAnsi="TimesNewRoman" w:cs="TimesNewRoman"/>
          <w:snapToGrid/>
          <w:kern w:val="0"/>
          <w:szCs w:val="22"/>
        </w:rPr>
        <w:t>) to “</w:t>
      </w:r>
      <w:r w:rsidRPr="003C5086" w:rsidR="003C5086">
        <w:rPr>
          <w:rFonts w:ascii="TimesNewRoman" w:hAnsi="TimesNewRoman" w:cs="TimesNewRoman"/>
          <w:snapToGrid/>
          <w:kern w:val="0"/>
          <w:szCs w:val="22"/>
        </w:rPr>
        <w:t>raise aesthetic</w:t>
      </w:r>
      <w:r w:rsidR="00870E51">
        <w:rPr>
          <w:rFonts w:ascii="TimesNewRoman" w:hAnsi="TimesNewRoman" w:cs="TimesNewRoman"/>
          <w:snapToGrid/>
          <w:kern w:val="0"/>
          <w:szCs w:val="22"/>
        </w:rPr>
        <w:t> (or other)</w:t>
      </w:r>
      <w:r w:rsidRPr="003C5086" w:rsidR="003C5086">
        <w:rPr>
          <w:rFonts w:ascii="TimesNewRoman" w:hAnsi="TimesNewRoman" w:cs="TimesNewRoman"/>
          <w:snapToGrid/>
          <w:kern w:val="0"/>
          <w:szCs w:val="22"/>
        </w:rPr>
        <w:t xml:space="preserve"> objections to any proposed Commission actions</w:t>
      </w:r>
      <w:r>
        <w:rPr>
          <w:rFonts w:ascii="TimesNewRoman" w:hAnsi="TimesNewRoman" w:cs="TimesNewRoman"/>
          <w:snapToGrid/>
          <w:kern w:val="0"/>
          <w:szCs w:val="22"/>
        </w:rPr>
        <w:t>” and authorize the Commission to “</w:t>
      </w:r>
      <w:r w:rsidRPr="003C5086" w:rsidR="003C5086">
        <w:rPr>
          <w:rFonts w:ascii="TimesNewRoman" w:hAnsi="TimesNewRoman" w:cs="TimesNewRoman"/>
          <w:snapToGrid/>
          <w:kern w:val="0"/>
          <w:szCs w:val="22"/>
        </w:rPr>
        <w:t>decide, on a case-by-case basis, whether environmental processing should be required.”</w:t>
      </w:r>
      <w:r>
        <w:rPr>
          <w:rStyle w:val="FootnoteReference"/>
          <w:rFonts w:cs="TimesNewRoman"/>
          <w:snapToGrid/>
          <w:kern w:val="0"/>
          <w:szCs w:val="22"/>
        </w:rPr>
        <w:footnoteReference w:id="37"/>
      </w:r>
      <w:r w:rsidR="006A42FE">
        <w:rPr>
          <w:rFonts w:ascii="TimesNewRoman" w:hAnsi="TimesNewRoman" w:cs="TimesNewRoman"/>
          <w:snapToGrid/>
          <w:kern w:val="0"/>
          <w:szCs w:val="22"/>
        </w:rPr>
        <w:t xml:space="preserve">  </w:t>
      </w:r>
      <w:bookmarkEnd w:id="9"/>
    </w:p>
    <w:p w:rsidR="00782455" w:rsidRPr="00A22FB8" w:rsidP="003C5086" w14:paraId="1C114424" w14:textId="714E95D6">
      <w:pPr>
        <w:pStyle w:val="ParaNum"/>
        <w:rPr>
          <w:szCs w:val="22"/>
        </w:rPr>
      </w:pPr>
      <w:r>
        <w:rPr>
          <w:rFonts w:ascii="TimesNewRoman" w:hAnsi="TimesNewRoman" w:cs="TimesNewRoman"/>
          <w:snapToGrid/>
          <w:kern w:val="0"/>
          <w:szCs w:val="22"/>
        </w:rPr>
        <w:t xml:space="preserve">Here, no party specifically argued that </w:t>
      </w:r>
      <w:r w:rsidRPr="00316A27">
        <w:rPr>
          <w:rFonts w:ascii="TimesNewRoman" w:hAnsi="TimesNewRoman" w:cs="TimesNewRoman"/>
          <w:snapToGrid/>
          <w:kern w:val="0"/>
          <w:szCs w:val="22"/>
        </w:rPr>
        <w:t>the proposed tower would have a potentially significant impact on the environment</w:t>
      </w:r>
      <w:r w:rsidR="002E0A14">
        <w:rPr>
          <w:rFonts w:ascii="TimesNewRoman" w:hAnsi="TimesNewRoman" w:cs="TimesNewRoman"/>
          <w:snapToGrid/>
          <w:kern w:val="0"/>
          <w:szCs w:val="22"/>
        </w:rPr>
        <w:t xml:space="preserve"> warranting further </w:t>
      </w:r>
      <w:r>
        <w:rPr>
          <w:rFonts w:ascii="TimesNewRoman" w:hAnsi="TimesNewRoman" w:cs="TimesNewRoman"/>
          <w:snapToGrid/>
          <w:kern w:val="0"/>
          <w:szCs w:val="22"/>
        </w:rPr>
        <w:t xml:space="preserve">consideration </w:t>
      </w:r>
      <w:r w:rsidRPr="00316A27">
        <w:rPr>
          <w:rFonts w:ascii="TimesNewRoman" w:hAnsi="TimesNewRoman" w:cs="TimesNewRoman"/>
          <w:snapToGrid/>
          <w:kern w:val="0"/>
          <w:szCs w:val="22"/>
        </w:rPr>
        <w:t>pursuant to</w:t>
      </w:r>
      <w:r w:rsidRPr="00316A27" w:rsidR="006872E8">
        <w:rPr>
          <w:rFonts w:ascii="TimesNewRoman" w:hAnsi="TimesNewRoman" w:cs="TimesNewRoman"/>
          <w:snapToGrid/>
          <w:kern w:val="0"/>
          <w:szCs w:val="22"/>
        </w:rPr>
        <w:t xml:space="preserve"> NEPA</w:t>
      </w:r>
      <w:r>
        <w:rPr>
          <w:rFonts w:ascii="TimesNewRoman" w:hAnsi="TimesNewRoman" w:cs="TimesNewRoman"/>
          <w:snapToGrid/>
          <w:kern w:val="0"/>
          <w:szCs w:val="22"/>
        </w:rPr>
        <w:t xml:space="preserve">, but </w:t>
      </w:r>
      <w:r w:rsidRPr="00316A27">
        <w:rPr>
          <w:rFonts w:ascii="TimesNewRoman" w:hAnsi="TimesNewRoman" w:cs="TimesNewRoman"/>
          <w:snapToGrid/>
          <w:kern w:val="0"/>
          <w:szCs w:val="22"/>
        </w:rPr>
        <w:t>Mr.</w:t>
      </w:r>
      <w:r w:rsidR="00870E51">
        <w:rPr>
          <w:rFonts w:ascii="TimesNewRoman" w:hAnsi="TimesNewRoman" w:cs="TimesNewRoman"/>
          <w:snapToGrid/>
          <w:kern w:val="0"/>
          <w:szCs w:val="22"/>
        </w:rPr>
        <w:t> </w:t>
      </w:r>
      <w:r w:rsidRPr="00316A27">
        <w:rPr>
          <w:rFonts w:ascii="TimesNewRoman" w:hAnsi="TimesNewRoman" w:cs="TimesNewRoman"/>
          <w:snapToGrid/>
          <w:kern w:val="0"/>
          <w:szCs w:val="22"/>
        </w:rPr>
        <w:t>Cardillo</w:t>
      </w:r>
      <w:r>
        <w:rPr>
          <w:rFonts w:ascii="TimesNewRoman" w:hAnsi="TimesNewRoman" w:cs="TimesNewRoman"/>
          <w:snapToGrid/>
          <w:kern w:val="0"/>
          <w:szCs w:val="22"/>
        </w:rPr>
        <w:t xml:space="preserve"> did raise</w:t>
      </w:r>
      <w:r w:rsidRPr="00316A27">
        <w:rPr>
          <w:rFonts w:ascii="TimesNewRoman" w:hAnsi="TimesNewRoman" w:cs="TimesNewRoman"/>
          <w:snapToGrid/>
          <w:kern w:val="0"/>
          <w:szCs w:val="22"/>
        </w:rPr>
        <w:t xml:space="preserve"> generalized concerns about the </w:t>
      </w:r>
      <w:r w:rsidRPr="00316A27" w:rsidR="006872E8">
        <w:rPr>
          <w:rFonts w:ascii="TimesNewRoman" w:hAnsi="TimesNewRoman" w:cs="TimesNewRoman"/>
          <w:snapToGrid/>
          <w:kern w:val="0"/>
          <w:szCs w:val="22"/>
        </w:rPr>
        <w:t xml:space="preserve">appearance </w:t>
      </w:r>
      <w:r w:rsidRPr="00316A27">
        <w:rPr>
          <w:rFonts w:ascii="TimesNewRoman" w:hAnsi="TimesNewRoman" w:cs="TimesNewRoman"/>
          <w:snapToGrid/>
          <w:kern w:val="0"/>
          <w:szCs w:val="22"/>
        </w:rPr>
        <w:t xml:space="preserve">of the proposed </w:t>
      </w:r>
      <w:r>
        <w:rPr>
          <w:rFonts w:ascii="TimesNewRoman" w:hAnsi="TimesNewRoman" w:cs="TimesNewRoman"/>
          <w:snapToGrid/>
          <w:kern w:val="0"/>
          <w:szCs w:val="22"/>
        </w:rPr>
        <w:t xml:space="preserve">structure </w:t>
      </w:r>
      <w:r w:rsidRPr="00316A27" w:rsidR="006872E8">
        <w:rPr>
          <w:rFonts w:ascii="TimesNewRoman" w:hAnsi="TimesNewRoman" w:cs="TimesNewRoman"/>
          <w:snapToGrid/>
          <w:kern w:val="0"/>
          <w:szCs w:val="22"/>
        </w:rPr>
        <w:t xml:space="preserve">and its impact </w:t>
      </w:r>
      <w:r w:rsidRPr="00316A27">
        <w:rPr>
          <w:rFonts w:ascii="TimesNewRoman" w:hAnsi="TimesNewRoman" w:cs="TimesNewRoman"/>
          <w:snapToGrid/>
          <w:kern w:val="0"/>
          <w:szCs w:val="22"/>
        </w:rPr>
        <w:t>on views of the Hudson River from various sites in Tarrytown.</w:t>
      </w:r>
      <w:r>
        <w:rPr>
          <w:rFonts w:ascii="TimesNewRoman" w:hAnsi="TimesNewRoman" w:cs="TimesNewRoman"/>
          <w:snapToGrid/>
          <w:kern w:val="0"/>
          <w:szCs w:val="22"/>
        </w:rPr>
        <w:t xml:space="preserve">  </w:t>
      </w:r>
      <w:r w:rsidR="001D540D">
        <w:rPr>
          <w:rFonts w:ascii="TimesNewRoman" w:hAnsi="TimesNewRoman" w:cs="TimesNewRoman"/>
          <w:snapToGrid/>
          <w:kern w:val="0"/>
          <w:szCs w:val="22"/>
        </w:rPr>
        <w:t xml:space="preserve">Parallel, the Village, and Mr. Cardillo all submitted photographs showing the environs of the proposed tower and simulating </w:t>
      </w:r>
      <w:r w:rsidR="00870E51">
        <w:rPr>
          <w:rFonts w:ascii="TimesNewRoman" w:hAnsi="TimesNewRoman" w:cs="TimesNewRoman"/>
          <w:snapToGrid/>
          <w:kern w:val="0"/>
          <w:szCs w:val="22"/>
        </w:rPr>
        <w:t>how it would appear</w:t>
      </w:r>
      <w:r w:rsidR="001D540D">
        <w:rPr>
          <w:rFonts w:ascii="TimesNewRoman" w:hAnsi="TimesNewRoman" w:cs="TimesNewRoman"/>
          <w:snapToGrid/>
          <w:kern w:val="0"/>
          <w:szCs w:val="22"/>
        </w:rPr>
        <w:t xml:space="preserve"> from various </w:t>
      </w:r>
      <w:r w:rsidR="00870E51">
        <w:rPr>
          <w:rFonts w:ascii="TimesNewRoman" w:hAnsi="TimesNewRoman" w:cs="TimesNewRoman"/>
          <w:snapToGrid/>
          <w:kern w:val="0"/>
          <w:szCs w:val="22"/>
        </w:rPr>
        <w:t xml:space="preserve">vantage </w:t>
      </w:r>
      <w:r w:rsidR="001D540D">
        <w:rPr>
          <w:rFonts w:ascii="TimesNewRoman" w:hAnsi="TimesNewRoman" w:cs="TimesNewRoman"/>
          <w:snapToGrid/>
          <w:kern w:val="0"/>
          <w:szCs w:val="22"/>
        </w:rPr>
        <w:t>points.  Those photographs reveal that the proposed tower is located in a heavily built-up urban area, adjacent to other industrial facilities.  The evidence also appear</w:t>
      </w:r>
      <w:r w:rsidR="00870E51">
        <w:rPr>
          <w:rFonts w:ascii="TimesNewRoman" w:hAnsi="TimesNewRoman" w:cs="TimesNewRoman"/>
          <w:snapToGrid/>
          <w:kern w:val="0"/>
          <w:szCs w:val="22"/>
        </w:rPr>
        <w:t>s</w:t>
      </w:r>
      <w:r w:rsidR="001D540D">
        <w:rPr>
          <w:rFonts w:ascii="TimesNewRoman" w:hAnsi="TimesNewRoman" w:cs="TimesNewRoman"/>
          <w:snapToGrid/>
          <w:kern w:val="0"/>
          <w:szCs w:val="22"/>
        </w:rPr>
        <w:t xml:space="preserve"> to </w:t>
      </w:r>
      <w:r w:rsidR="00870E51">
        <w:rPr>
          <w:rFonts w:ascii="TimesNewRoman" w:hAnsi="TimesNewRoman" w:cs="TimesNewRoman"/>
          <w:snapToGrid/>
          <w:kern w:val="0"/>
          <w:szCs w:val="22"/>
        </w:rPr>
        <w:t xml:space="preserve">demonstrate </w:t>
      </w:r>
      <w:r w:rsidR="001D540D">
        <w:rPr>
          <w:rFonts w:ascii="TimesNewRoman" w:hAnsi="TimesNewRoman" w:cs="TimesNewRoman"/>
          <w:snapToGrid/>
          <w:kern w:val="0"/>
          <w:szCs w:val="22"/>
        </w:rPr>
        <w:t xml:space="preserve">that the proposed tower, although visible from many parts of the Village, would not substantially </w:t>
      </w:r>
      <w:r w:rsidR="00D44969">
        <w:rPr>
          <w:rFonts w:ascii="TimesNewRoman" w:hAnsi="TimesNewRoman" w:cs="TimesNewRoman"/>
          <w:snapToGrid/>
          <w:kern w:val="0"/>
          <w:szCs w:val="22"/>
        </w:rPr>
        <w:t xml:space="preserve">diminish the public’s enjoyment or appreciation </w:t>
      </w:r>
      <w:r w:rsidR="001D540D">
        <w:rPr>
          <w:rFonts w:ascii="TimesNewRoman" w:hAnsi="TimesNewRoman" w:cs="TimesNewRoman"/>
          <w:snapToGrid/>
          <w:kern w:val="0"/>
          <w:szCs w:val="22"/>
        </w:rPr>
        <w:t xml:space="preserve">of the Hudson River or the </w:t>
      </w:r>
      <w:r w:rsidR="00D70057">
        <w:rPr>
          <w:rFonts w:ascii="TimesNewRoman" w:hAnsi="TimesNewRoman" w:cs="TimesNewRoman"/>
          <w:snapToGrid/>
          <w:kern w:val="0"/>
          <w:szCs w:val="22"/>
        </w:rPr>
        <w:t xml:space="preserve">recently </w:t>
      </w:r>
      <w:r w:rsidR="00D44969">
        <w:rPr>
          <w:rFonts w:ascii="TimesNewRoman" w:hAnsi="TimesNewRoman" w:cs="TimesNewRoman"/>
          <w:snapToGrid/>
          <w:kern w:val="0"/>
          <w:szCs w:val="22"/>
        </w:rPr>
        <w:t xml:space="preserve">rebuilt </w:t>
      </w:r>
      <w:r w:rsidR="001D540D">
        <w:rPr>
          <w:rFonts w:ascii="TimesNewRoman" w:hAnsi="TimesNewRoman" w:cs="TimesNewRoman"/>
          <w:snapToGrid/>
          <w:kern w:val="0"/>
          <w:szCs w:val="22"/>
        </w:rPr>
        <w:t>Tappan Zee Bridge</w:t>
      </w:r>
      <w:r w:rsidR="00D44969">
        <w:rPr>
          <w:rFonts w:ascii="TimesNewRoman" w:hAnsi="TimesNewRoman" w:cs="TimesNewRoman"/>
          <w:snapToGrid/>
          <w:kern w:val="0"/>
          <w:szCs w:val="22"/>
        </w:rPr>
        <w:t xml:space="preserve"> (renamed </w:t>
      </w:r>
      <w:r w:rsidR="00D70057">
        <w:rPr>
          <w:rFonts w:ascii="TimesNewRoman" w:hAnsi="TimesNewRoman" w:cs="TimesNewRoman"/>
          <w:snapToGrid/>
          <w:kern w:val="0"/>
          <w:szCs w:val="22"/>
        </w:rPr>
        <w:t xml:space="preserve">as </w:t>
      </w:r>
      <w:r w:rsidR="00D44969">
        <w:rPr>
          <w:rFonts w:ascii="TimesNewRoman" w:hAnsi="TimesNewRoman" w:cs="TimesNewRoman"/>
          <w:snapToGrid/>
          <w:kern w:val="0"/>
          <w:szCs w:val="22"/>
        </w:rPr>
        <w:t>the Governor Mario M. Cuomo Bridge)</w:t>
      </w:r>
      <w:r w:rsidR="00A22FB8">
        <w:rPr>
          <w:rFonts w:ascii="TimesNewRoman" w:hAnsi="TimesNewRoman" w:cs="TimesNewRoman"/>
          <w:snapToGrid/>
          <w:kern w:val="0"/>
          <w:szCs w:val="22"/>
        </w:rPr>
        <w:t xml:space="preserve">. </w:t>
      </w:r>
      <w:r w:rsidR="001D540D">
        <w:rPr>
          <w:rFonts w:ascii="TimesNewRoman" w:hAnsi="TimesNewRoman" w:cs="TimesNewRoman"/>
          <w:snapToGrid/>
          <w:kern w:val="0"/>
          <w:szCs w:val="22"/>
        </w:rPr>
        <w:t xml:space="preserve"> In this context, </w:t>
      </w:r>
      <w:r w:rsidR="00870E51">
        <w:rPr>
          <w:rFonts w:ascii="TimesNewRoman" w:hAnsi="TimesNewRoman" w:cs="TimesNewRoman"/>
          <w:snapToGrid/>
          <w:kern w:val="0"/>
          <w:szCs w:val="22"/>
        </w:rPr>
        <w:t xml:space="preserve">we </w:t>
      </w:r>
      <w:r w:rsidR="004A6F8B">
        <w:rPr>
          <w:rFonts w:ascii="TimesNewRoman" w:hAnsi="TimesNewRoman" w:cs="TimesNewRoman"/>
          <w:snapToGrid/>
          <w:kern w:val="0"/>
          <w:szCs w:val="22"/>
        </w:rPr>
        <w:t>find that</w:t>
      </w:r>
      <w:r w:rsidR="00870E51">
        <w:rPr>
          <w:rFonts w:ascii="TimesNewRoman" w:hAnsi="TimesNewRoman" w:cs="TimesNewRoman"/>
          <w:snapToGrid/>
          <w:kern w:val="0"/>
          <w:szCs w:val="22"/>
        </w:rPr>
        <w:t xml:space="preserve"> </w:t>
      </w:r>
      <w:r w:rsidR="001D540D">
        <w:rPr>
          <w:rFonts w:ascii="TimesNewRoman" w:hAnsi="TimesNewRoman" w:cs="TimesNewRoman"/>
          <w:snapToGrid/>
          <w:kern w:val="0"/>
          <w:szCs w:val="22"/>
        </w:rPr>
        <w:t xml:space="preserve">the proposed tower </w:t>
      </w:r>
      <w:r w:rsidR="00D44969">
        <w:rPr>
          <w:rFonts w:ascii="TimesNewRoman" w:hAnsi="TimesNewRoman" w:cs="TimesNewRoman"/>
          <w:snapToGrid/>
          <w:kern w:val="0"/>
          <w:szCs w:val="22"/>
        </w:rPr>
        <w:t xml:space="preserve">would have no </w:t>
      </w:r>
      <w:r w:rsidR="009B3693">
        <w:rPr>
          <w:rFonts w:ascii="TimesNewRoman" w:hAnsi="TimesNewRoman" w:cs="TimesNewRoman"/>
          <w:snapToGrid/>
          <w:kern w:val="0"/>
          <w:szCs w:val="22"/>
        </w:rPr>
        <w:t xml:space="preserve">significant detrimental effect on the character or perceived beauty of </w:t>
      </w:r>
      <w:r w:rsidR="001D540D">
        <w:rPr>
          <w:rFonts w:ascii="TimesNewRoman" w:hAnsi="TimesNewRoman" w:cs="TimesNewRoman"/>
          <w:snapToGrid/>
          <w:kern w:val="0"/>
          <w:szCs w:val="22"/>
        </w:rPr>
        <w:t>the overall viewscape</w:t>
      </w:r>
      <w:r w:rsidR="009B3693">
        <w:rPr>
          <w:rFonts w:ascii="TimesNewRoman" w:hAnsi="TimesNewRoman" w:cs="TimesNewRoman"/>
          <w:snapToGrid/>
          <w:kern w:val="0"/>
          <w:szCs w:val="22"/>
        </w:rPr>
        <w:t>.</w:t>
      </w:r>
      <w:r w:rsidR="001D540D">
        <w:rPr>
          <w:rFonts w:ascii="TimesNewRoman" w:hAnsi="TimesNewRoman" w:cs="TimesNewRoman"/>
          <w:snapToGrid/>
          <w:kern w:val="0"/>
          <w:szCs w:val="22"/>
        </w:rPr>
        <w:t xml:space="preserve"> </w:t>
      </w:r>
      <w:r w:rsidR="009B3693">
        <w:rPr>
          <w:rFonts w:ascii="TimesNewRoman" w:hAnsi="TimesNewRoman" w:cs="TimesNewRoman"/>
          <w:snapToGrid/>
          <w:kern w:val="0"/>
          <w:szCs w:val="22"/>
        </w:rPr>
        <w:t xml:space="preserve"> </w:t>
      </w:r>
      <w:r w:rsidR="00A22FB8">
        <w:rPr>
          <w:rFonts w:ascii="TimesNewRoman" w:hAnsi="TimesNewRoman" w:cs="TimesNewRoman"/>
          <w:snapToGrid/>
          <w:kern w:val="0"/>
          <w:szCs w:val="22"/>
        </w:rPr>
        <w:t>We thus conclude that the visual effects of</w:t>
      </w:r>
      <w:bookmarkStart w:id="10" w:name="_Hlk499540494"/>
      <w:r w:rsidR="00A22FB8">
        <w:rPr>
          <w:rFonts w:ascii="TimesNewRoman" w:hAnsi="TimesNewRoman" w:cs="TimesNewRoman"/>
          <w:snapToGrid/>
          <w:kern w:val="0"/>
          <w:szCs w:val="22"/>
        </w:rPr>
        <w:t xml:space="preserve"> </w:t>
      </w:r>
      <w:r w:rsidRPr="00A22FB8" w:rsidR="00A22FB8">
        <w:rPr>
          <w:rFonts w:ascii="TimesNewRoman" w:hAnsi="TimesNewRoman" w:cs="TimesNewRoman"/>
          <w:snapToGrid/>
          <w:kern w:val="0"/>
          <w:szCs w:val="22"/>
        </w:rPr>
        <w:t xml:space="preserve">the proposed tower will not have a potentially significant environmental effect that would warrant our requiring the submission of an </w:t>
      </w:r>
      <w:bookmarkEnd w:id="10"/>
      <w:r w:rsidRPr="00A22FB8" w:rsidR="00A22FB8">
        <w:rPr>
          <w:rFonts w:ascii="TimesNewRoman" w:hAnsi="TimesNewRoman" w:cs="TimesNewRoman"/>
          <w:snapToGrid/>
          <w:kern w:val="0"/>
          <w:szCs w:val="22"/>
        </w:rPr>
        <w:t>EA</w:t>
      </w:r>
      <w:r w:rsidRPr="00A22FB8">
        <w:rPr>
          <w:rFonts w:ascii="TimesNewRoman" w:hAnsi="TimesNewRoman" w:cs="TimesNewRoman"/>
          <w:snapToGrid/>
          <w:kern w:val="0"/>
          <w:szCs w:val="22"/>
        </w:rPr>
        <w:t xml:space="preserve"> pursuant to Section 1.1307(d)</w:t>
      </w:r>
      <w:r w:rsidRPr="00A22FB8" w:rsidR="00A22FB8">
        <w:rPr>
          <w:rFonts w:ascii="TimesNewRoman" w:hAnsi="TimesNewRoman" w:cs="TimesNewRoman"/>
          <w:snapToGrid/>
          <w:kern w:val="0"/>
          <w:szCs w:val="22"/>
        </w:rPr>
        <w:t>.</w:t>
      </w:r>
    </w:p>
    <w:p w:rsidR="005E170F" w:rsidRPr="004416F8" w:rsidP="00585024" w14:paraId="4D81FCED" w14:textId="04E163F4">
      <w:pPr>
        <w:pStyle w:val="Heading1"/>
        <w:widowControl/>
        <w:numPr>
          <w:ilvl w:val="0"/>
          <w:numId w:val="0"/>
        </w:numPr>
        <w:rPr>
          <w:rFonts w:ascii="Times New Roman" w:hAnsi="Times New Roman"/>
          <w:szCs w:val="22"/>
        </w:rPr>
      </w:pPr>
      <w:bookmarkStart w:id="11" w:name="_Toc441222527"/>
      <w:bookmarkStart w:id="12" w:name="_Toc441652193"/>
      <w:bookmarkStart w:id="13" w:name="_Toc441743350"/>
      <w:bookmarkStart w:id="14" w:name="_Toc441827333"/>
      <w:bookmarkStart w:id="15" w:name="_Toc442248063"/>
      <w:bookmarkStart w:id="16" w:name="_Toc442248172"/>
      <w:bookmarkStart w:id="17" w:name="_Toc444238655"/>
      <w:bookmarkStart w:id="18" w:name="_Toc444265326"/>
      <w:r>
        <w:rPr>
          <w:rFonts w:ascii="Times New Roman" w:hAnsi="Times New Roman"/>
          <w:szCs w:val="22"/>
        </w:rPr>
        <w:t>I</w:t>
      </w:r>
      <w:r w:rsidR="00A22FB8">
        <w:rPr>
          <w:rFonts w:ascii="Times New Roman" w:hAnsi="Times New Roman"/>
          <w:szCs w:val="22"/>
        </w:rPr>
        <w:t>II</w:t>
      </w:r>
      <w:r>
        <w:rPr>
          <w:rFonts w:ascii="Times New Roman" w:hAnsi="Times New Roman"/>
          <w:szCs w:val="22"/>
        </w:rPr>
        <w:t>.</w:t>
      </w:r>
      <w:r>
        <w:rPr>
          <w:rFonts w:ascii="Times New Roman" w:hAnsi="Times New Roman"/>
          <w:szCs w:val="22"/>
        </w:rPr>
        <w:tab/>
        <w:t>O</w:t>
      </w:r>
      <w:r w:rsidRPr="004416F8" w:rsidR="001104B8">
        <w:rPr>
          <w:rFonts w:ascii="Times New Roman" w:hAnsi="Times New Roman"/>
          <w:szCs w:val="22"/>
        </w:rPr>
        <w:t>rdering clauses</w:t>
      </w:r>
      <w:bookmarkEnd w:id="11"/>
      <w:bookmarkEnd w:id="12"/>
      <w:bookmarkEnd w:id="13"/>
      <w:bookmarkEnd w:id="14"/>
      <w:bookmarkEnd w:id="15"/>
      <w:bookmarkEnd w:id="16"/>
      <w:bookmarkEnd w:id="17"/>
      <w:bookmarkEnd w:id="18"/>
    </w:p>
    <w:p w:rsidR="00A22FB8" w:rsidP="00585024" w14:paraId="493A349B" w14:textId="4A5CCBAC">
      <w:pPr>
        <w:pStyle w:val="ParaNum"/>
        <w:widowControl/>
      </w:pPr>
      <w:bookmarkStart w:id="19" w:name="_Hlk499544091"/>
      <w:r w:rsidRPr="003C1C9A">
        <w:t xml:space="preserve">Accordingly, </w:t>
      </w:r>
      <w:r w:rsidRPr="003C1C9A" w:rsidR="001A2F83">
        <w:t xml:space="preserve">IT IS ORDERED, </w:t>
      </w:r>
      <w:r w:rsidRPr="003C1C9A" w:rsidR="00950D64">
        <w:t xml:space="preserve">pursuant to </w:t>
      </w:r>
      <w:r w:rsidRPr="003C1C9A" w:rsidR="00F110E3">
        <w:t>Section 4(i) of the Communications Act of 1934,</w:t>
      </w:r>
      <w:r w:rsidR="00F110E3">
        <w:t xml:space="preserve"> </w:t>
      </w:r>
      <w:r w:rsidRPr="003C1C9A" w:rsidR="00F110E3">
        <w:t>as amended, 47 U.S.C. §</w:t>
      </w:r>
      <w:r w:rsidR="001F2BAB">
        <w:t xml:space="preserve"> </w:t>
      </w:r>
      <w:r>
        <w:t>154(i)</w:t>
      </w:r>
      <w:r w:rsidRPr="003C1C9A" w:rsidR="00950D64">
        <w:t>, and Section 1.1307 of the Commission’s rules, 47 C.F.R. § 1.1307</w:t>
      </w:r>
      <w:r>
        <w:t xml:space="preserve">, that </w:t>
      </w:r>
      <w:r w:rsidR="00870E51">
        <w:t xml:space="preserve">there is no basis for </w:t>
      </w:r>
      <w:r>
        <w:t xml:space="preserve">reopening the historic preservation review process under </w:t>
      </w:r>
      <w:r w:rsidRPr="003C1C9A">
        <w:t xml:space="preserve">Section 106 of the National Historic Preservation Act, 54 U.S.C. § 306108, </w:t>
      </w:r>
      <w:r>
        <w:t xml:space="preserve">and that no there is no need for further environmental processing pursuant to </w:t>
      </w:r>
      <w:r w:rsidRPr="003C1C9A">
        <w:t>Section 102(C) of the National Enviro</w:t>
      </w:r>
      <w:r>
        <w:t>nmental Policy Act, 42 U.S.C. § </w:t>
      </w:r>
      <w:r w:rsidRPr="003C1C9A">
        <w:t>4332(C)</w:t>
      </w:r>
      <w:r>
        <w:t xml:space="preserve">. </w:t>
      </w:r>
    </w:p>
    <w:p w:rsidR="00C6540D" w:rsidP="00585024" w14:paraId="310AAFD0" w14:textId="602306D2">
      <w:pPr>
        <w:pStyle w:val="ParaNum"/>
        <w:widowControl/>
      </w:pPr>
      <w:r>
        <w:t>T</w:t>
      </w:r>
      <w:r w:rsidR="008A1E4A">
        <w:t xml:space="preserve">he </w:t>
      </w:r>
      <w:r w:rsidR="008A1E4A">
        <w:rPr>
          <w:szCs w:val="22"/>
        </w:rPr>
        <w:t>Wireless Telecommunications Bureau</w:t>
      </w:r>
      <w:r>
        <w:rPr>
          <w:szCs w:val="22"/>
        </w:rPr>
        <w:t xml:space="preserve"> issues this </w:t>
      </w:r>
      <w:bookmarkEnd w:id="19"/>
      <w:r>
        <w:rPr>
          <w:szCs w:val="22"/>
        </w:rPr>
        <w:t xml:space="preserve">order </w:t>
      </w:r>
      <w:r w:rsidRPr="003C1C9A" w:rsidR="00DC3C63">
        <w:t xml:space="preserve">pursuant to </w:t>
      </w:r>
      <w:bookmarkStart w:id="20" w:name="_Hlk499544148"/>
      <w:r w:rsidRPr="003C1C9A" w:rsidR="00DC3C63">
        <w:t>delegated authority</w:t>
      </w:r>
      <w:r w:rsidRPr="003C1C9A" w:rsidR="001A2F83">
        <w:t xml:space="preserve"> under </w:t>
      </w:r>
      <w:r w:rsidRPr="003C1C9A" w:rsidR="00DC3C63">
        <w:t>Section</w:t>
      </w:r>
      <w:r w:rsidR="00B215A9">
        <w:t>s</w:t>
      </w:r>
      <w:r w:rsidRPr="003C1C9A" w:rsidR="00DC3C63">
        <w:t xml:space="preserve"> </w:t>
      </w:r>
      <w:r w:rsidR="00B215A9">
        <w:t xml:space="preserve">0.131 and </w:t>
      </w:r>
      <w:r w:rsidRPr="003C1C9A" w:rsidR="00DC3C63">
        <w:t xml:space="preserve">0.331 of the Commission’s rules, 47 C.F.R. </w:t>
      </w:r>
      <w:r w:rsidR="00B215A9">
        <w:t>§</w:t>
      </w:r>
      <w:r w:rsidRPr="003C1C9A" w:rsidR="00DC3C63">
        <w:t xml:space="preserve">§ </w:t>
      </w:r>
      <w:r w:rsidR="00B215A9">
        <w:t xml:space="preserve">0.131 and </w:t>
      </w:r>
      <w:r w:rsidRPr="003C1C9A" w:rsidR="00DC3C63">
        <w:t>0.331</w:t>
      </w:r>
      <w:bookmarkEnd w:id="20"/>
      <w:r>
        <w:t>.</w:t>
      </w:r>
    </w:p>
    <w:p w:rsidR="00E63414" w:rsidRPr="004416F8" w:rsidP="00585024" w14:paraId="6131DB9E" w14:textId="77777777">
      <w:pPr>
        <w:pStyle w:val="ParaNum"/>
        <w:widowControl/>
        <w:numPr>
          <w:ilvl w:val="0"/>
          <w:numId w:val="0"/>
        </w:numPr>
        <w:ind w:firstLine="720"/>
        <w:rPr>
          <w:szCs w:val="22"/>
        </w:rPr>
      </w:pPr>
    </w:p>
    <w:p w:rsidR="00C6540D" w:rsidP="00585024" w14:paraId="020799D4" w14:textId="2F337692">
      <w:pPr>
        <w:pStyle w:val="ParaNum"/>
        <w:widowControl/>
        <w:numPr>
          <w:ilvl w:val="0"/>
          <w:numId w:val="0"/>
        </w:numPr>
        <w:ind w:firstLine="720"/>
        <w:rPr>
          <w:szCs w:val="22"/>
        </w:rPr>
      </w:pPr>
    </w:p>
    <w:p w:rsidR="00FF354D" w:rsidRPr="004416F8" w:rsidP="00585024" w14:paraId="64587A88" w14:textId="77777777">
      <w:pPr>
        <w:pStyle w:val="ParaNum"/>
        <w:widowControl/>
        <w:numPr>
          <w:ilvl w:val="0"/>
          <w:numId w:val="0"/>
        </w:numPr>
        <w:ind w:firstLine="720"/>
        <w:rPr>
          <w:szCs w:val="22"/>
        </w:rPr>
      </w:pPr>
    </w:p>
    <w:p w:rsidR="00C6540D" w:rsidRPr="004416F8" w:rsidP="00585024" w14:paraId="78A516A1" w14:textId="7EF2B88A">
      <w:pPr>
        <w:pStyle w:val="ParaNum"/>
        <w:widowControl/>
        <w:numPr>
          <w:ilvl w:val="0"/>
          <w:numId w:val="0"/>
        </w:numPr>
        <w:spacing w:after="0"/>
        <w:ind w:left="3600" w:firstLine="720"/>
        <w:rPr>
          <w:szCs w:val="22"/>
        </w:rPr>
      </w:pPr>
      <w:r w:rsidRPr="004416F8">
        <w:rPr>
          <w:szCs w:val="22"/>
        </w:rPr>
        <w:t>Jeffrey S. Steinberg</w:t>
      </w:r>
    </w:p>
    <w:p w:rsidR="00C6540D" w:rsidRPr="004416F8" w:rsidP="00585024" w14:paraId="70621CAB" w14:textId="1BA2EDDB">
      <w:pPr>
        <w:pStyle w:val="ParaNum"/>
        <w:widowControl/>
        <w:numPr>
          <w:ilvl w:val="0"/>
          <w:numId w:val="0"/>
        </w:numPr>
        <w:spacing w:after="0"/>
        <w:ind w:left="3600" w:firstLine="720"/>
        <w:rPr>
          <w:szCs w:val="22"/>
        </w:rPr>
      </w:pPr>
      <w:r w:rsidRPr="004416F8">
        <w:rPr>
          <w:szCs w:val="22"/>
        </w:rPr>
        <w:t>Deputy Chief</w:t>
      </w:r>
    </w:p>
    <w:p w:rsidR="00C6540D" w:rsidRPr="004416F8" w:rsidP="00585024" w14:paraId="409E800B" w14:textId="0C572424">
      <w:pPr>
        <w:pStyle w:val="ParaNum"/>
        <w:widowControl/>
        <w:numPr>
          <w:ilvl w:val="0"/>
          <w:numId w:val="0"/>
        </w:numPr>
        <w:spacing w:after="0"/>
        <w:ind w:left="3600" w:firstLine="720"/>
        <w:rPr>
          <w:szCs w:val="22"/>
        </w:rPr>
      </w:pPr>
      <w:r w:rsidRPr="004416F8">
        <w:rPr>
          <w:szCs w:val="22"/>
        </w:rPr>
        <w:t>Competition and Infrastructure Policy Division</w:t>
      </w:r>
    </w:p>
    <w:p w:rsidR="00C6540D" w:rsidRPr="004416F8" w:rsidP="00585024" w14:paraId="548BA574" w14:textId="06123A1F">
      <w:pPr>
        <w:pStyle w:val="ParaNum"/>
        <w:widowControl/>
        <w:numPr>
          <w:ilvl w:val="0"/>
          <w:numId w:val="0"/>
        </w:numPr>
        <w:spacing w:after="0"/>
        <w:ind w:left="3600" w:firstLine="720"/>
        <w:rPr>
          <w:szCs w:val="22"/>
        </w:rPr>
      </w:pPr>
      <w:r w:rsidRPr="004416F8">
        <w:rPr>
          <w:szCs w:val="22"/>
        </w:rPr>
        <w:t>Wireless Telecommunications Bureau</w:t>
      </w:r>
    </w:p>
    <w:p w:rsidR="00F26F71" w:rsidRPr="004416F8" w:rsidP="00585024" w14:paraId="7A159D76" w14:textId="77777777">
      <w:pPr>
        <w:widowControl/>
        <w:rPr>
          <w:szCs w:val="22"/>
        </w:r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1A1D86" w:rsidRPr="004416F8" w:rsidP="00585024" w14:paraId="09A12ED7" w14:textId="02E1AFA8">
      <w:pPr>
        <w:widowControl/>
        <w:rPr>
          <w:szCs w:val="22"/>
        </w:rPr>
      </w:pPr>
    </w:p>
    <w:sectPr w:rsidSect="00F26F71">
      <w:endnotePr>
        <w:numFmt w:val="decimal"/>
      </w:endnotePr>
      <w:type w:val="continuous"/>
      <w:pgSz w:w="12240" w:h="15840"/>
      <w:pgMar w:top="1440" w:right="1440" w:bottom="720" w:left="1440" w:header="720" w:footer="720" w:gutter="0"/>
      <w:pgNumType w:start="1"/>
      <w:cols w:num="2"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086" w:rsidP="0055614C" w14:paraId="251981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C5086" w14:paraId="5E88E5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086" w:rsidP="0055614C" w14:paraId="20054892" w14:textId="77A15ED6">
    <w:pPr>
      <w:pStyle w:val="Footer"/>
      <w:framePr w:wrap="around" w:vAnchor="text" w:hAnchor="margin" w:xAlign="center" w:y="1"/>
    </w:pPr>
    <w:r>
      <w:fldChar w:fldCharType="begin"/>
    </w:r>
    <w:r>
      <w:instrText xml:space="preserve">PAGE  </w:instrText>
    </w:r>
    <w:r>
      <w:fldChar w:fldCharType="separate"/>
    </w:r>
    <w:r w:rsidR="00BB6F02">
      <w:rPr>
        <w:noProof/>
      </w:rPr>
      <w:t>2</w:t>
    </w:r>
    <w:r>
      <w:fldChar w:fldCharType="end"/>
    </w:r>
  </w:p>
  <w:p w:rsidR="003C5086" w14:paraId="05BDC9D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086" w14:paraId="0146F08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3DF1" w14:paraId="0CC5F244" w14:textId="77777777">
      <w:r>
        <w:separator/>
      </w:r>
    </w:p>
  </w:footnote>
  <w:footnote w:type="continuationSeparator" w:id="1">
    <w:p w:rsidR="00713DF1" w:rsidP="00C721AC" w14:paraId="14316B47" w14:textId="77777777">
      <w:pPr>
        <w:spacing w:before="120"/>
        <w:rPr>
          <w:sz w:val="20"/>
        </w:rPr>
      </w:pPr>
      <w:r>
        <w:rPr>
          <w:sz w:val="20"/>
        </w:rPr>
        <w:t xml:space="preserve">(Continued from previous page)  </w:t>
      </w:r>
      <w:r>
        <w:rPr>
          <w:sz w:val="20"/>
        </w:rPr>
        <w:separator/>
      </w:r>
    </w:p>
  </w:footnote>
  <w:footnote w:type="continuationNotice" w:id="2">
    <w:p w:rsidR="00713DF1" w:rsidP="00C721AC" w14:paraId="18166669" w14:textId="77777777">
      <w:pPr>
        <w:jc w:val="right"/>
        <w:rPr>
          <w:sz w:val="20"/>
        </w:rPr>
      </w:pPr>
      <w:r>
        <w:rPr>
          <w:sz w:val="20"/>
        </w:rPr>
        <w:t>(continued….)</w:t>
      </w:r>
    </w:p>
  </w:footnote>
  <w:footnote w:id="3">
    <w:p w:rsidR="007D112C" w:rsidP="007D112C" w14:paraId="47E6F7ED" w14:textId="14CD4209">
      <w:pPr>
        <w:pStyle w:val="FootnoteText"/>
      </w:pPr>
      <w:r>
        <w:rPr>
          <w:rStyle w:val="FootnoteReference"/>
        </w:rPr>
        <w:footnoteRef/>
      </w:r>
      <w:r>
        <w:t xml:space="preserve"> Parallel was acquired in May 2017 by Lendlease, an </w:t>
      </w:r>
      <w:r w:rsidRPr="00CE013E">
        <w:t xml:space="preserve">international property and infrastructure </w:t>
      </w:r>
      <w:r>
        <w:t xml:space="preserve">corporate </w:t>
      </w:r>
      <w:r w:rsidRPr="00CE013E">
        <w:t>group</w:t>
      </w:r>
      <w:r w:rsidR="00E60BC3">
        <w:t xml:space="preserve"> with headquarters </w:t>
      </w:r>
      <w:r>
        <w:t xml:space="preserve">in Sydney, Australia.  </w:t>
      </w:r>
      <w:r>
        <w:rPr>
          <w:i/>
        </w:rPr>
        <w:t xml:space="preserve">See </w:t>
      </w:r>
      <w:r>
        <w:t>Bloomberg Markets, Company Overview of Parallel Infrastructure LLC (</w:t>
      </w:r>
      <w:r>
        <w:fldChar w:fldCharType="begin"/>
      </w:r>
      <w:r>
        <w:instrText xml:space="preserve"> HYPERLINK "https://www.bloomberg.com/research//stocks/private/snapshot.asp?privcapid=537951224" </w:instrText>
      </w:r>
      <w:r>
        <w:fldChar w:fldCharType="separate"/>
      </w:r>
      <w:r w:rsidRPr="00393902">
        <w:rPr>
          <w:rStyle w:val="Hyperlink"/>
        </w:rPr>
        <w:t>https://www.bloomberg.com/research//stocks/private/snapshot.asp?privcapid=537951224</w:t>
      </w:r>
      <w:r>
        <w:fldChar w:fldCharType="end"/>
      </w:r>
      <w:r>
        <w:t xml:space="preserve">, reviewed Mar. 8, 2018).  We continue to refer to the company as Parallel in this order.  MTA, a New York State agency, operates the Metro-North Railroad, as well as the New York City subway and bus systems, the Long Island Rail Road, the Staten Island Railway, and seven bridges and two tunnels in New York City.  </w:t>
      </w:r>
      <w:r>
        <w:rPr>
          <w:i/>
        </w:rPr>
        <w:t xml:space="preserve">See </w:t>
      </w:r>
      <w:r>
        <w:t>MTA, The MTA Network: Public Transportat</w:t>
      </w:r>
      <w:r w:rsidR="000D20BE">
        <w:t>i</w:t>
      </w:r>
      <w:r>
        <w:t>on for the New York Region (</w:t>
      </w:r>
      <w:r>
        <w:fldChar w:fldCharType="begin"/>
      </w:r>
      <w:r>
        <w:instrText xml:space="preserve"> HYPERLINK "http://web.mta.info/mta/network.htm" </w:instrText>
      </w:r>
      <w:r>
        <w:fldChar w:fldCharType="separate"/>
      </w:r>
      <w:r w:rsidRPr="00393902">
        <w:rPr>
          <w:rStyle w:val="Hyperlink"/>
        </w:rPr>
        <w:t>http://web.mta.info/mta/network.htm</w:t>
      </w:r>
      <w:r>
        <w:fldChar w:fldCharType="end"/>
      </w:r>
      <w:r>
        <w:t>, reviewed Mar. 8, 2018).</w:t>
      </w:r>
    </w:p>
  </w:footnote>
  <w:footnote w:id="4">
    <w:p w:rsidR="003C5086" w:rsidRPr="00BA2579" w14:paraId="272973D4" w14:textId="12A32896">
      <w:pPr>
        <w:pStyle w:val="FootnoteText"/>
      </w:pPr>
      <w:r>
        <w:rPr>
          <w:rStyle w:val="FootnoteReference"/>
        </w:rPr>
        <w:footnoteRef/>
      </w:r>
      <w:r>
        <w:t xml:space="preserve"> </w:t>
      </w:r>
      <w:r>
        <w:rPr>
          <w:i/>
        </w:rPr>
        <w:t xml:space="preserve">See </w:t>
      </w:r>
      <w:r w:rsidRPr="00BA2579">
        <w:t>Nationwide Programmatic Agreement Regarding the Section 106 National Historic Preservation Act Review Process (</w:t>
      </w:r>
      <w:r w:rsidR="00E60BC3">
        <w:rPr>
          <w:i/>
        </w:rPr>
        <w:t xml:space="preserve">Wireless Facilities </w:t>
      </w:r>
      <w:r w:rsidRPr="00BA2579">
        <w:rPr>
          <w:i/>
        </w:rPr>
        <w:t>NPA</w:t>
      </w:r>
      <w:r w:rsidRPr="00BA2579">
        <w:t>)</w:t>
      </w:r>
      <w:r>
        <w:t xml:space="preserve">, 47 C.F.R. Part 1, App. C.  As discussed below, the New </w:t>
      </w:r>
      <w:r w:rsidRPr="002E3214">
        <w:t>York State</w:t>
      </w:r>
      <w:r w:rsidR="00864ED6">
        <w:t xml:space="preserve"> Division for</w:t>
      </w:r>
      <w:r w:rsidRPr="002E3214">
        <w:t xml:space="preserve"> Historic Preservation (NYSHPO) concurred in writing with Parallel’s analysis finding that the proposed tower will not have any </w:t>
      </w:r>
      <w:r w:rsidR="00334C3E">
        <w:t xml:space="preserve">adverse </w:t>
      </w:r>
      <w:r w:rsidRPr="002E3214">
        <w:t xml:space="preserve">effect on historic properties within the relevant Area of Potential Effects (APE).  </w:t>
      </w:r>
      <w:r>
        <w:rPr>
          <w:i/>
        </w:rPr>
        <w:t>See id</w:t>
      </w:r>
      <w:r>
        <w:t>., § VII.C.1.</w:t>
      </w:r>
      <w:r w:rsidRPr="002E3214">
        <w:t xml:space="preserve"> </w:t>
      </w:r>
    </w:p>
  </w:footnote>
  <w:footnote w:id="5">
    <w:p w:rsidR="003C5086" w:rsidRPr="00864ED6" w:rsidP="00511EFD" w14:paraId="0AFE9331" w14:textId="6C16D009">
      <w:pPr>
        <w:pStyle w:val="FootnoteText"/>
      </w:pPr>
      <w:r>
        <w:rPr>
          <w:rStyle w:val="FootnoteReference"/>
        </w:rPr>
        <w:footnoteRef/>
      </w:r>
      <w:r>
        <w:t xml:space="preserve"> 47 C.F.R. § 1.1307(d) (“If </w:t>
      </w:r>
      <w:r w:rsidRPr="00511EFD">
        <w:t xml:space="preserve">the Bureau responsible for processing </w:t>
      </w:r>
      <w:r>
        <w:t xml:space="preserve">a particular action, </w:t>
      </w:r>
      <w:r w:rsidRPr="00511EFD">
        <w:t>otherwise</w:t>
      </w:r>
      <w:r>
        <w:t xml:space="preserve"> c</w:t>
      </w:r>
      <w:r w:rsidRPr="00511EFD">
        <w:t>ategorically excluded, determines</w:t>
      </w:r>
      <w:r>
        <w:t xml:space="preserve"> </w:t>
      </w:r>
      <w:r w:rsidRPr="00511EFD">
        <w:t>that the proposal may have a significant</w:t>
      </w:r>
      <w:r>
        <w:t xml:space="preserve"> </w:t>
      </w:r>
      <w:r w:rsidRPr="00511EFD">
        <w:t>environmental impact, the Bureau,</w:t>
      </w:r>
      <w:r>
        <w:t xml:space="preserve"> </w:t>
      </w:r>
      <w:r w:rsidRPr="00511EFD">
        <w:t>on its own motion, shall require</w:t>
      </w:r>
      <w:r>
        <w:t xml:space="preserve"> </w:t>
      </w:r>
      <w:r w:rsidRPr="00511EFD">
        <w:t>the applicant to submit an EA</w:t>
      </w:r>
      <w:r>
        <w:t>.”)</w:t>
      </w:r>
      <w:r w:rsidR="00864ED6">
        <w:t xml:space="preserve">; </w:t>
      </w:r>
      <w:r w:rsidR="00864ED6">
        <w:rPr>
          <w:i/>
        </w:rPr>
        <w:t xml:space="preserve">see also id. </w:t>
      </w:r>
      <w:r w:rsidR="00864ED6">
        <w:t>§§ 1.1308(d), 1.1312(b).</w:t>
      </w:r>
    </w:p>
  </w:footnote>
  <w:footnote w:id="6">
    <w:p w:rsidR="003C5086" w14:paraId="1A5CE252" w14:textId="3D8DEE25">
      <w:pPr>
        <w:pStyle w:val="FootnoteText"/>
      </w:pPr>
      <w:r>
        <w:rPr>
          <w:rStyle w:val="FootnoteReference"/>
        </w:rPr>
        <w:footnoteRef/>
      </w:r>
      <w:r>
        <w:t xml:space="preserve"> </w:t>
      </w:r>
      <w:r w:rsidRPr="002719C3">
        <w:t>Letter from Michael R. Coan, Chief, Police Department, Metropolitan Transportation Authority, to Michael Blau, Administrator, Village of Tarrytown, NY (Oct. 7, 2015).</w:t>
      </w:r>
      <w:r w:rsidRPr="00B74BA3">
        <w:t xml:space="preserve"> </w:t>
      </w:r>
      <w:r>
        <w:t xml:space="preserve"> </w:t>
      </w:r>
    </w:p>
  </w:footnote>
  <w:footnote w:id="7">
    <w:p w:rsidR="003C5086" w:rsidP="00061E88" w14:paraId="4C957AAC" w14:textId="0DA7CDC2">
      <w:pPr>
        <w:pStyle w:val="FootnoteText"/>
      </w:pPr>
      <w:r>
        <w:rPr>
          <w:rStyle w:val="FootnoteReference"/>
        </w:rPr>
        <w:footnoteRef/>
      </w:r>
      <w:r>
        <w:t xml:space="preserve"> Parallel Consolidated Response at 2-3</w:t>
      </w:r>
      <w:r w:rsidR="00334C3E">
        <w:t>.</w:t>
      </w:r>
      <w:r>
        <w:t xml:space="preserve"> </w:t>
      </w:r>
    </w:p>
  </w:footnote>
  <w:footnote w:id="8">
    <w:p w:rsidR="003C5086" w:rsidRPr="00EE337C" w14:paraId="5E7E4354" w14:textId="64A6E257">
      <w:pPr>
        <w:pStyle w:val="FootnoteText"/>
      </w:pPr>
      <w:r>
        <w:rPr>
          <w:rStyle w:val="FootnoteReference"/>
        </w:rPr>
        <w:footnoteRef/>
      </w:r>
      <w:r>
        <w:t xml:space="preserve"> </w:t>
      </w:r>
      <w:r w:rsidRPr="00061E88">
        <w:rPr>
          <w:i/>
        </w:rPr>
        <w:t>Id</w:t>
      </w:r>
      <w:r>
        <w:t>.</w:t>
      </w:r>
    </w:p>
  </w:footnote>
  <w:footnote w:id="9">
    <w:p w:rsidR="003C5086" w14:paraId="6BFB087A" w14:textId="6A5ACBC9">
      <w:pPr>
        <w:pStyle w:val="FootnoteText"/>
      </w:pPr>
      <w:r>
        <w:rPr>
          <w:rStyle w:val="FootnoteReference"/>
        </w:rPr>
        <w:footnoteRef/>
      </w:r>
      <w:r>
        <w:t xml:space="preserve"> </w:t>
      </w:r>
      <w:r w:rsidRPr="00061E88" w:rsidR="00334C3E">
        <w:rPr>
          <w:i/>
        </w:rPr>
        <w:t>Id</w:t>
      </w:r>
      <w:r w:rsidR="00334C3E">
        <w:t>.</w:t>
      </w:r>
      <w:r>
        <w:t xml:space="preserve"> at 4.  </w:t>
      </w:r>
    </w:p>
  </w:footnote>
  <w:footnote w:id="10">
    <w:p w:rsidR="003C5086" w14:paraId="5752DB9D" w14:textId="18BE3920">
      <w:pPr>
        <w:pStyle w:val="FootnoteText"/>
      </w:pPr>
      <w:r>
        <w:rPr>
          <w:rStyle w:val="FootnoteReference"/>
        </w:rPr>
        <w:footnoteRef/>
      </w:r>
      <w:r>
        <w:t xml:space="preserve"> </w:t>
      </w:r>
      <w:r w:rsidR="00334C3E">
        <w:rPr>
          <w:i/>
        </w:rPr>
        <w:t>Id.</w:t>
      </w:r>
      <w:r w:rsidR="00334C3E">
        <w:t xml:space="preserve"> </w:t>
      </w:r>
      <w:r>
        <w:t xml:space="preserve">at 16-17.  The Tarrytown railroad station has been recognized as “architecturally and historically significant as a representative example of a late nineteenth century railroad station (1890).  Designed by the Boston architectural firm of Shepley, Rutan and Collidge, the masonry building features numerous elements associated with this property type, including its low profile, single story form, broad projecting eaves with knee bracing, wood panel doors, canopy and freight platform.  The design is further enhanced by the introduction of polygonally shaped end walls. . . . The building appears to retain a significant amount of architectural integrity on both its exterior and interior spaces.  The Tarrytown Station is an important example of its type and remains a significant reminder of the development of this important regional transportation system.”  New York State Historic Preservation Office, Historic Resource Evaluation for MNR Station at 1-2 (Oct. 14, 2015) (Exh. P to Parallel Consolidated Response). </w:t>
      </w:r>
    </w:p>
  </w:footnote>
  <w:footnote w:id="11">
    <w:p w:rsidR="003C5086" w14:paraId="60CF4A4E" w14:textId="77D80B5D">
      <w:pPr>
        <w:pStyle w:val="FootnoteText"/>
      </w:pPr>
      <w:r>
        <w:rPr>
          <w:rStyle w:val="FootnoteReference"/>
        </w:rPr>
        <w:footnoteRef/>
      </w:r>
      <w:r>
        <w:t xml:space="preserve"> </w:t>
      </w:r>
      <w:r w:rsidR="00B427A3">
        <w:t xml:space="preserve">Parallel Consolidated Response </w:t>
      </w:r>
      <w:r>
        <w:t>at 4</w:t>
      </w:r>
      <w:r w:rsidR="00E60BC3">
        <w:t xml:space="preserve">; </w:t>
      </w:r>
      <w:r w:rsidR="00E60BC3">
        <w:rPr>
          <w:i/>
        </w:rPr>
        <w:t xml:space="preserve">see </w:t>
      </w:r>
      <w:r w:rsidR="00E60BC3">
        <w:t xml:space="preserve">Letter from John A. Bonafide, New York State </w:t>
      </w:r>
      <w:r w:rsidR="00444871">
        <w:t xml:space="preserve">Historic Preservation Officer, New York State Div. of Parks, Recreation, and Historic Preservation, </w:t>
      </w:r>
      <w:r w:rsidR="00E60BC3">
        <w:t>to Laura L. Mancuso, Director, Cultural Resources, CBRE, Inc.</w:t>
      </w:r>
      <w:r w:rsidR="00444871">
        <w:t>/Telecom Advisory Services</w:t>
      </w:r>
      <w:r w:rsidR="00E60BC3">
        <w:t xml:space="preserve"> (Aug. 25, 2017) </w:t>
      </w:r>
      <w:r w:rsidR="00444871">
        <w:t>(NYSHPO 8/25/17 l</w:t>
      </w:r>
      <w:r w:rsidR="00E60BC3">
        <w:t>etter) (referring to concurrence from Aug. 21, 2015)</w:t>
      </w:r>
      <w:r>
        <w:t>.</w:t>
      </w:r>
    </w:p>
  </w:footnote>
  <w:footnote w:id="12">
    <w:p w:rsidR="003C5086" w14:paraId="5772C1D4" w14:textId="5F085492">
      <w:pPr>
        <w:pStyle w:val="FootnoteText"/>
      </w:pPr>
      <w:r>
        <w:rPr>
          <w:rStyle w:val="FootnoteReference"/>
        </w:rPr>
        <w:footnoteRef/>
      </w:r>
      <w:r>
        <w:t xml:space="preserve"> </w:t>
      </w:r>
      <w:r w:rsidRPr="00D93EDF">
        <w:rPr>
          <w:i/>
        </w:rPr>
        <w:t>See</w:t>
      </w:r>
      <w:r w:rsidRPr="00C34C0E">
        <w:t xml:space="preserve"> </w:t>
      </w:r>
      <w:r>
        <w:t xml:space="preserve">Letter from Michael Blau, </w:t>
      </w:r>
      <w:r w:rsidRPr="002719C3">
        <w:t xml:space="preserve">Administrator, Village of Tarrytown, </w:t>
      </w:r>
      <w:r>
        <w:t xml:space="preserve">to Andrew Maziarski, IVI International, Inc. (Sept. 4, 2015) (Exh. B to Parallel Consolidated Response) at 1-2.  </w:t>
      </w:r>
    </w:p>
  </w:footnote>
  <w:footnote w:id="13">
    <w:p w:rsidR="003C5086" w14:paraId="49690BCF" w14:textId="04F8E09F">
      <w:pPr>
        <w:pStyle w:val="FootnoteText"/>
      </w:pPr>
      <w:r>
        <w:rPr>
          <w:rStyle w:val="FootnoteReference"/>
        </w:rPr>
        <w:footnoteRef/>
      </w:r>
      <w:r>
        <w:t xml:space="preserve"> Email from Len Cardillo to Andrew Maziarski, IVI Telecom Services (Sept. 8, 2015) (Exh. C to Parallel Consolidated Response)</w:t>
      </w:r>
      <w:r w:rsidR="001B51EC">
        <w:t xml:space="preserve"> (Cardillo 9/8/15 email)</w:t>
      </w:r>
      <w:r>
        <w:t>.</w:t>
      </w:r>
    </w:p>
  </w:footnote>
  <w:footnote w:id="14">
    <w:p w:rsidR="003C5086" w14:paraId="7122CB80" w14:textId="18A76315">
      <w:pPr>
        <w:pStyle w:val="FootnoteText"/>
      </w:pPr>
      <w:r>
        <w:rPr>
          <w:rStyle w:val="FootnoteReference"/>
        </w:rPr>
        <w:footnoteRef/>
      </w:r>
      <w:r>
        <w:t xml:space="preserve"> Email from Donald Johnson, Competition &amp; Infrastructure Policy Div., Wireless Telecomm. Bureau, FCC, to Anthony Lehv</w:t>
      </w:r>
      <w:r w:rsidR="00B427A3">
        <w:t xml:space="preserve">, </w:t>
      </w:r>
      <w:r w:rsidRPr="00B427A3" w:rsidR="00B427A3">
        <w:rPr>
          <w:i/>
        </w:rPr>
        <w:t>et al.</w:t>
      </w:r>
      <w:r>
        <w:t xml:space="preserve"> (Exh. E to Parallel Consolidated Response).</w:t>
      </w:r>
    </w:p>
  </w:footnote>
  <w:footnote w:id="15">
    <w:p w:rsidR="003C5086" w14:paraId="79D10C1A" w14:textId="36B312FF">
      <w:pPr>
        <w:pStyle w:val="FootnoteText"/>
      </w:pPr>
      <w:r>
        <w:rPr>
          <w:rStyle w:val="FootnoteReference"/>
        </w:rPr>
        <w:footnoteRef/>
      </w:r>
      <w:r>
        <w:t xml:space="preserve"> Parallel Consolidated Response at 9.</w:t>
      </w:r>
    </w:p>
  </w:footnote>
  <w:footnote w:id="16">
    <w:p w:rsidR="003C5086" w:rsidRPr="005539A6" w:rsidP="00325010" w14:paraId="0F2DA141" w14:textId="2C71357C">
      <w:pPr>
        <w:pStyle w:val="FootnoteText"/>
        <w:rPr>
          <w:i/>
        </w:rPr>
      </w:pPr>
      <w:r>
        <w:rPr>
          <w:rStyle w:val="FootnoteReference"/>
        </w:rPr>
        <w:footnoteRef/>
      </w:r>
      <w:r>
        <w:t xml:space="preserve"> </w:t>
      </w:r>
      <w:r>
        <w:rPr>
          <w:i/>
        </w:rPr>
        <w:t xml:space="preserve">Id. </w:t>
      </w:r>
      <w:r>
        <w:t xml:space="preserve">at 16.  Parallel asserted that it </w:t>
      </w:r>
      <w:r w:rsidR="009C3FEF">
        <w:t xml:space="preserve">had </w:t>
      </w:r>
      <w:r>
        <w:t xml:space="preserve">failed to identify the Tarrytown Station in its initial review “due to a glitch” in the NYSHPO’s historic properties system database.  </w:t>
      </w:r>
      <w:r>
        <w:rPr>
          <w:i/>
        </w:rPr>
        <w:t>Id.</w:t>
      </w:r>
    </w:p>
  </w:footnote>
  <w:footnote w:id="17">
    <w:p w:rsidR="003C5086" w:rsidP="009C13B2" w14:paraId="4CC75AF7" w14:textId="2B2CC903">
      <w:pPr>
        <w:pStyle w:val="FootnoteText"/>
      </w:pPr>
      <w:r>
        <w:rPr>
          <w:rStyle w:val="FootnoteReference"/>
        </w:rPr>
        <w:footnoteRef/>
      </w:r>
      <w:r>
        <w:t xml:space="preserve"> Letter from Michael S. Blau, Village Administrator, Village of Tarrytown, to Marlene H. Dortch, Secretary, FCC (Nov. 6, 2015) (Village Reply) at 1-2; Email from Len Cardillo to Donald Johnson, FCC, </w:t>
      </w:r>
      <w:r>
        <w:rPr>
          <w:i/>
        </w:rPr>
        <w:t>et al.</w:t>
      </w:r>
      <w:r>
        <w:t xml:space="preserve"> (Nov. 7, 2015) (</w:t>
      </w:r>
      <w:r w:rsidRPr="009C13B2">
        <w:t xml:space="preserve">Cardillo </w:t>
      </w:r>
      <w:r>
        <w:t xml:space="preserve">Reply) </w:t>
      </w:r>
      <w:r w:rsidR="001B51EC">
        <w:t>at 6 (</w:t>
      </w:r>
      <w:r w:rsidRPr="009B3693" w:rsidR="001B51EC">
        <w:t>asserting “claim of adverse visual impact by the Monopole Tower” affecting numerous historic sites in Tarrytown)</w:t>
      </w:r>
      <w:r w:rsidR="001B51EC">
        <w:t xml:space="preserve">; </w:t>
      </w:r>
      <w:r w:rsidR="001B51EC">
        <w:rPr>
          <w:i/>
        </w:rPr>
        <w:t>see generally id.</w:t>
      </w:r>
      <w:r w:rsidR="001B51EC">
        <w:t xml:space="preserve"> </w:t>
      </w:r>
      <w:r>
        <w:t>at 3-7 &amp; Exhs. A-B</w:t>
      </w:r>
      <w:r w:rsidRPr="009C13B2">
        <w:t>.</w:t>
      </w:r>
      <w:r>
        <w:t xml:space="preserve">  The Village asserted that Parallel’s statement that the proposed tower would not be visible from the Washington Irving Middle School was erroneous, as evidenced by photographic simulations that MTA had provided to the Village, as well as by simulations that the Village itself had commissioned based on photos taken from a drone aircraft.  Village Reply at 2 &amp; Exh. A at 9, Exh. B at 5, 7; </w:t>
      </w:r>
      <w:r>
        <w:rPr>
          <w:i/>
        </w:rPr>
        <w:t xml:space="preserve">see </w:t>
      </w:r>
      <w:r>
        <w:t>Parallel Consolidated Response at 15.</w:t>
      </w:r>
    </w:p>
  </w:footnote>
  <w:footnote w:id="18">
    <w:p w:rsidR="003C5086" w:rsidRPr="001B51EC" w14:paraId="790C7978" w14:textId="5C821B32">
      <w:pPr>
        <w:pStyle w:val="FootnoteText"/>
      </w:pPr>
      <w:r>
        <w:rPr>
          <w:rStyle w:val="FootnoteReference"/>
        </w:rPr>
        <w:footnoteRef/>
      </w:r>
      <w:r>
        <w:t xml:space="preserve"> </w:t>
      </w:r>
      <w:r>
        <w:rPr>
          <w:i/>
        </w:rPr>
        <w:t xml:space="preserve">See </w:t>
      </w:r>
      <w:r>
        <w:t xml:space="preserve">Village Reply at 2-3 (“It is the belief of the Village that sites may be designated for historic and cultural reasons; however, the site cannot be viewed in a vacuum.  When a designated site is viewed, it is viewed in its </w:t>
      </w:r>
      <w:r w:rsidR="0044787A">
        <w:t>entiret</w:t>
      </w:r>
      <w:r w:rsidRPr="0044787A">
        <w:t>y</w:t>
      </w:r>
      <w:r>
        <w:t>, which includes what is visible from the site.  Thus, if a 180</w:t>
      </w:r>
      <w:r w:rsidR="002A1A8A">
        <w:t>-</w:t>
      </w:r>
      <w:r>
        <w:t xml:space="preserve"> foot monopole is visible from a designated site, the visibility of the monopole will impact upon the appreciation of the site by the people who are viewing the site.  As such, it is the opinion of the Village of Tarrytown that the monopole will have an adverse impact on the designated historic sites within the one-half mile APE.”); Cardillo Reply at 2</w:t>
      </w:r>
      <w:r w:rsidR="001B51EC">
        <w:t>, 6</w:t>
      </w:r>
      <w:r>
        <w:t xml:space="preserve"> (arguing that </w:t>
      </w:r>
      <w:r w:rsidRPr="00BB3E9D">
        <w:t>“features of an Historic Site not recognized at the time of nomination to the National Historic Register or recognized subsequent to nomination</w:t>
      </w:r>
      <w:r w:rsidR="001B51EC">
        <w:t xml:space="preserve">” and </w:t>
      </w:r>
      <w:r w:rsidRPr="009B3693" w:rsidR="001B51EC">
        <w:t>“the immediate view of the Hudson River from the Historical Sites noted in Exhibit A</w:t>
      </w:r>
      <w:r w:rsidRPr="00BB3E9D">
        <w:t xml:space="preserve"> must be considered in assessment of effect.”</w:t>
      </w:r>
      <w:r>
        <w:t>).</w:t>
      </w:r>
      <w:r w:rsidR="001B51EC">
        <w:t xml:space="preserve">  </w:t>
      </w:r>
    </w:p>
  </w:footnote>
  <w:footnote w:id="19">
    <w:p w:rsidR="003C5086" w:rsidP="008A0163" w14:paraId="0CF03CFE" w14:textId="38B8E138">
      <w:pPr>
        <w:pStyle w:val="FootnoteText"/>
      </w:pPr>
      <w:r>
        <w:rPr>
          <w:rStyle w:val="FootnoteReference"/>
        </w:rPr>
        <w:footnoteRef/>
      </w:r>
      <w:r>
        <w:t xml:space="preserve"> Cardillo Reply at 7-8 &amp; Exh. F at 5-7, Exh. G at 1-27.</w:t>
      </w:r>
      <w:r w:rsidR="00D70057">
        <w:t xml:space="preserve">  </w:t>
      </w:r>
      <w:r w:rsidR="002A1A8A">
        <w:t xml:space="preserve">The form letters also </w:t>
      </w:r>
      <w:r w:rsidR="00A700D0">
        <w:t>indicated</w:t>
      </w:r>
      <w:r w:rsidR="002A1A8A">
        <w:t xml:space="preserve"> concern for non-specific “environmental issues related to cell towers” and noted the proposed tower’s proximity to “village ball fields and playing fields used by our children.”  </w:t>
      </w:r>
      <w:r w:rsidR="00D70057">
        <w:t xml:space="preserve">Mr. Cardillo further </w:t>
      </w:r>
      <w:r w:rsidRPr="001B51EC" w:rsidR="00D70057">
        <w:t>contended that the proposed tower would affect views up-river for at least five months of the year and would “be an eyesore for scenic and historic Hudson river districts.”</w:t>
      </w:r>
      <w:r w:rsidR="00D70057">
        <w:t xml:space="preserve">  Cardillo Reply at 3; Cardillo 9/8/15 email.</w:t>
      </w:r>
    </w:p>
  </w:footnote>
  <w:footnote w:id="20">
    <w:p w:rsidR="003C5086" w:rsidRPr="00260799" w14:paraId="056A7906" w14:textId="509237D0">
      <w:pPr>
        <w:pStyle w:val="FootnoteText"/>
      </w:pPr>
      <w:r>
        <w:rPr>
          <w:rStyle w:val="FootnoteReference"/>
        </w:rPr>
        <w:footnoteRef/>
      </w:r>
      <w:r>
        <w:t xml:space="preserve"> Email from David Sieradzki, Competition &amp; Infrastructure Policy Div., Wireless Telecomm. Bureau, FCC, to Maurice Chapman, MTA, </w:t>
      </w:r>
      <w:r>
        <w:rPr>
          <w:i/>
        </w:rPr>
        <w:t>et al.</w:t>
      </w:r>
      <w:r>
        <w:t xml:space="preserve"> (July 10, 2017).</w:t>
      </w:r>
    </w:p>
  </w:footnote>
  <w:footnote w:id="21">
    <w:p w:rsidR="003C5086" w:rsidRPr="00260799" w14:paraId="1770FE5D" w14:textId="66468FE0">
      <w:pPr>
        <w:pStyle w:val="FootnoteText"/>
        <w:rPr>
          <w:i/>
        </w:rPr>
      </w:pPr>
      <w:r>
        <w:rPr>
          <w:rStyle w:val="FootnoteReference"/>
        </w:rPr>
        <w:footnoteRef/>
      </w:r>
      <w:r>
        <w:t xml:space="preserve"> </w:t>
      </w:r>
      <w:r>
        <w:rPr>
          <w:i/>
        </w:rPr>
        <w:t>Id</w:t>
      </w:r>
      <w:r>
        <w:t xml:space="preserve">. (citing </w:t>
      </w:r>
      <w:r>
        <w:rPr>
          <w:i/>
        </w:rPr>
        <w:t xml:space="preserve">Wireless Properties LLC </w:t>
      </w:r>
      <w:r>
        <w:t>(</w:t>
      </w:r>
      <w:r>
        <w:rPr>
          <w:i/>
        </w:rPr>
        <w:t>Proposed Tower, Missionary Ridge, Chattanooga, Tennessee</w:t>
      </w:r>
      <w:r>
        <w:t xml:space="preserve">), </w:t>
      </w:r>
      <w:r w:rsidRPr="00DA744C">
        <w:t xml:space="preserve">30 FCC Rcd 7707, 7717, 7721-22, paras. </w:t>
      </w:r>
      <w:r>
        <w:t>23-</w:t>
      </w:r>
      <w:r w:rsidRPr="00DA744C">
        <w:t>24</w:t>
      </w:r>
      <w:r>
        <w:t xml:space="preserve"> &amp; n.63</w:t>
      </w:r>
      <w:r w:rsidRPr="00DA744C">
        <w:t>, 30 (2015)</w:t>
      </w:r>
      <w:r>
        <w:t>)</w:t>
      </w:r>
      <w:r>
        <w:rPr>
          <w:i/>
        </w:rPr>
        <w:t>.</w:t>
      </w:r>
    </w:p>
  </w:footnote>
  <w:footnote w:id="22">
    <w:p w:rsidR="003C5086" w14:paraId="3C71BB29" w14:textId="5C1ADD1E">
      <w:pPr>
        <w:pStyle w:val="FootnoteText"/>
      </w:pPr>
      <w:r>
        <w:rPr>
          <w:rStyle w:val="FootnoteReference"/>
        </w:rPr>
        <w:footnoteRef/>
      </w:r>
      <w:r>
        <w:t xml:space="preserve"> Letter from Laura L. Mancuso, </w:t>
      </w:r>
      <w:r w:rsidR="00444871">
        <w:t xml:space="preserve">Director, Cultural Resources, </w:t>
      </w:r>
      <w:r>
        <w:t xml:space="preserve">CBRE, Inc./Telecom Advisory Services, to John A. Bonafide, </w:t>
      </w:r>
      <w:r w:rsidR="00444871">
        <w:t xml:space="preserve">New York State </w:t>
      </w:r>
      <w:r>
        <w:t>Historic Preservation Officer, New York State Div. of Parks, Recreation, and Historic Preservation (July</w:t>
      </w:r>
      <w:r w:rsidR="00444871">
        <w:t> </w:t>
      </w:r>
      <w:r>
        <w:t>19, 2017).</w:t>
      </w:r>
    </w:p>
  </w:footnote>
  <w:footnote w:id="23">
    <w:p w:rsidR="003C5086" w:rsidP="007626B1" w14:paraId="7EBA28EE" w14:textId="103BF981">
      <w:pPr>
        <w:pStyle w:val="FootnoteText"/>
      </w:pPr>
      <w:r>
        <w:rPr>
          <w:rStyle w:val="FootnoteReference"/>
        </w:rPr>
        <w:footnoteRef/>
      </w:r>
      <w:r>
        <w:t xml:space="preserve"> </w:t>
      </w:r>
      <w:r w:rsidR="00444871">
        <w:t xml:space="preserve">NYSHPO 8/25/17 letter </w:t>
      </w:r>
      <w:r>
        <w:t>at 1</w:t>
      </w:r>
      <w:r w:rsidR="00444871">
        <w:t>.</w:t>
      </w:r>
      <w:r>
        <w:t xml:space="preserve"> </w:t>
      </w:r>
    </w:p>
  </w:footnote>
  <w:footnote w:id="24">
    <w:p w:rsidR="003C5086" w14:paraId="4D6E630A" w14:textId="7BD8EDA2">
      <w:pPr>
        <w:pStyle w:val="FootnoteText"/>
      </w:pPr>
      <w:r>
        <w:rPr>
          <w:rStyle w:val="FootnoteReference"/>
        </w:rPr>
        <w:footnoteRef/>
      </w:r>
      <w:r>
        <w:t xml:space="preserve"> </w:t>
      </w:r>
      <w:r>
        <w:rPr>
          <w:i/>
        </w:rPr>
        <w:t>Id</w:t>
      </w:r>
      <w:r>
        <w:t xml:space="preserve">. </w:t>
      </w:r>
    </w:p>
  </w:footnote>
  <w:footnote w:id="25">
    <w:p w:rsidR="0002624B" w:rsidP="0002624B" w14:paraId="181C93AD" w14:textId="3BE92491">
      <w:pPr>
        <w:pStyle w:val="FootnoteText"/>
      </w:pPr>
      <w:r>
        <w:rPr>
          <w:rStyle w:val="FootnoteReference"/>
        </w:rPr>
        <w:footnoteRef/>
      </w:r>
      <w:r>
        <w:t xml:space="preserve"> Email from Christine Crowe, Wilkinson Barker Knauer</w:t>
      </w:r>
      <w:r w:rsidR="009B3693">
        <w:t>,</w:t>
      </w:r>
      <w:r>
        <w:t xml:space="preserve"> counsel for Parallel, to Theodore Marcus, </w:t>
      </w:r>
      <w:r>
        <w:rPr>
          <w:i/>
        </w:rPr>
        <w:t>et al.</w:t>
      </w:r>
      <w:r>
        <w:t xml:space="preserve">, </w:t>
      </w:r>
      <w:r w:rsidR="009B3693">
        <w:t xml:space="preserve">Competition &amp; Infrastructure Policy Div., Wireless Telecomm. Bureau, </w:t>
      </w:r>
      <w:r>
        <w:t xml:space="preserve">FCC (Dec. 1, 2017). </w:t>
      </w:r>
    </w:p>
  </w:footnote>
  <w:footnote w:id="26">
    <w:p w:rsidR="003C5086" w:rsidRPr="00331719" w:rsidP="005539A6" w14:paraId="0FE36500" w14:textId="7CF0E13B">
      <w:pPr>
        <w:pStyle w:val="FootnoteText"/>
      </w:pPr>
      <w:r>
        <w:rPr>
          <w:rStyle w:val="FootnoteReference"/>
        </w:rPr>
        <w:footnoteRef/>
      </w:r>
      <w:r>
        <w:t xml:space="preserve"> </w:t>
      </w:r>
      <w:bookmarkStart w:id="8" w:name="_Hlk500508300"/>
      <w:r>
        <w:rPr>
          <w:i/>
        </w:rPr>
        <w:t xml:space="preserve">Wireless Properties </w:t>
      </w:r>
      <w:r>
        <w:t>(</w:t>
      </w:r>
      <w:r>
        <w:rPr>
          <w:i/>
        </w:rPr>
        <w:t>Missionary Ridge</w:t>
      </w:r>
      <w:r>
        <w:t xml:space="preserve">), </w:t>
      </w:r>
      <w:bookmarkEnd w:id="8"/>
      <w:r>
        <w:t xml:space="preserve">30 FCC Rcd at 7713, para. 17 (2015); </w:t>
      </w:r>
      <w:r>
        <w:rPr>
          <w:i/>
        </w:rPr>
        <w:t xml:space="preserve">AT&amp;T Mobile Services, Inc. </w:t>
      </w:r>
      <w:r>
        <w:t>(</w:t>
      </w:r>
      <w:r>
        <w:rPr>
          <w:i/>
        </w:rPr>
        <w:t>Construction of Tower, Fort Ransom, North Dakota</w:t>
      </w:r>
      <w:r>
        <w:t xml:space="preserve">), 30 FCC Rcd 11023, 11026, para. 9 (WTB 2015); </w:t>
      </w:r>
      <w:r w:rsidR="00444871">
        <w:rPr>
          <w:i/>
          <w:szCs w:val="22"/>
        </w:rPr>
        <w:t xml:space="preserve">Wireless Facilities </w:t>
      </w:r>
      <w:r>
        <w:rPr>
          <w:i/>
        </w:rPr>
        <w:t>NPA</w:t>
      </w:r>
      <w:r>
        <w:t>, § X</w:t>
      </w:r>
      <w:r w:rsidR="004A6F8B">
        <w:t>I</w:t>
      </w:r>
      <w:r>
        <w:t>.</w:t>
      </w:r>
    </w:p>
  </w:footnote>
  <w:footnote w:id="27">
    <w:p w:rsidR="003C5086" w:rsidP="001410AB" w14:paraId="604D8F12" w14:textId="2D5C9D4B">
      <w:pPr>
        <w:pStyle w:val="FootnoteText"/>
      </w:pPr>
      <w:r>
        <w:rPr>
          <w:rStyle w:val="FootnoteReference"/>
        </w:rPr>
        <w:footnoteRef/>
      </w:r>
      <w:r>
        <w:t xml:space="preserve"> </w:t>
      </w:r>
      <w:r w:rsidR="00444871">
        <w:rPr>
          <w:i/>
          <w:szCs w:val="22"/>
        </w:rPr>
        <w:t xml:space="preserve">Wireless Facilities </w:t>
      </w:r>
      <w:r>
        <w:rPr>
          <w:i/>
        </w:rPr>
        <w:t>NPA</w:t>
      </w:r>
      <w:r>
        <w:t xml:space="preserve">, § VII.B.1. </w:t>
      </w:r>
    </w:p>
  </w:footnote>
  <w:footnote w:id="28">
    <w:p w:rsidR="003C5086" w14:paraId="16E33F18" w14:textId="7974F8BC">
      <w:pPr>
        <w:pStyle w:val="FootnoteText"/>
      </w:pPr>
      <w:r>
        <w:rPr>
          <w:rStyle w:val="FootnoteReference"/>
        </w:rPr>
        <w:footnoteRef/>
      </w:r>
      <w:r>
        <w:t xml:space="preserve"> </w:t>
      </w:r>
      <w:r>
        <w:rPr>
          <w:i/>
        </w:rPr>
        <w:t xml:space="preserve">See Wireless Properties </w:t>
      </w:r>
      <w:r>
        <w:t>(</w:t>
      </w:r>
      <w:r>
        <w:rPr>
          <w:i/>
        </w:rPr>
        <w:t>Missionary Ridge</w:t>
      </w:r>
      <w:r>
        <w:t xml:space="preserve">), 30 FCC Rcd at 7715, 7720-21, paras. 20, 30; </w:t>
      </w:r>
      <w:r w:rsidRPr="00920712">
        <w:rPr>
          <w:i/>
        </w:rPr>
        <w:t>AT&amp;T Mobile Services</w:t>
      </w:r>
      <w:r>
        <w:t xml:space="preserve"> (</w:t>
      </w:r>
      <w:r>
        <w:rPr>
          <w:i/>
        </w:rPr>
        <w:t>Fort Ransom</w:t>
      </w:r>
      <w:r>
        <w:t>), 30 FCC Rcd at 11026, para. 9.</w:t>
      </w:r>
    </w:p>
  </w:footnote>
  <w:footnote w:id="29">
    <w:p w:rsidR="003C5086" w14:paraId="107C6778" w14:textId="4FD6A96C">
      <w:pPr>
        <w:pStyle w:val="FootnoteText"/>
      </w:pPr>
      <w:r>
        <w:rPr>
          <w:rStyle w:val="FootnoteReference"/>
        </w:rPr>
        <w:footnoteRef/>
      </w:r>
      <w:r>
        <w:t xml:space="preserve"> </w:t>
      </w:r>
      <w:r w:rsidRPr="000903F4">
        <w:rPr>
          <w:i/>
        </w:rPr>
        <w:t xml:space="preserve">See </w:t>
      </w:r>
      <w:r w:rsidR="00444871">
        <w:rPr>
          <w:i/>
          <w:szCs w:val="22"/>
        </w:rPr>
        <w:t xml:space="preserve">Wireless Facilities </w:t>
      </w:r>
      <w:r>
        <w:rPr>
          <w:i/>
        </w:rPr>
        <w:t>NPA</w:t>
      </w:r>
      <w:r>
        <w:t>,</w:t>
      </w:r>
      <w:r>
        <w:rPr>
          <w:i/>
        </w:rPr>
        <w:t xml:space="preserve"> </w:t>
      </w:r>
      <w:r>
        <w:t>§ VII.B.1.</w:t>
      </w:r>
    </w:p>
  </w:footnote>
  <w:footnote w:id="30">
    <w:p w:rsidR="003C5086" w14:paraId="0BB75DBB" w14:textId="6C43BD70">
      <w:pPr>
        <w:pStyle w:val="FootnoteText"/>
      </w:pPr>
      <w:r>
        <w:rPr>
          <w:rStyle w:val="FootnoteReference"/>
        </w:rPr>
        <w:footnoteRef/>
      </w:r>
      <w:r>
        <w:t xml:space="preserve"> </w:t>
      </w:r>
      <w:r w:rsidRPr="00271145">
        <w:rPr>
          <w:i/>
        </w:rPr>
        <w:t>See Wireless Properties</w:t>
      </w:r>
      <w:r w:rsidRPr="00271145">
        <w:t xml:space="preserve"> (</w:t>
      </w:r>
      <w:r w:rsidRPr="00271145">
        <w:rPr>
          <w:i/>
        </w:rPr>
        <w:t>Missionary Ridge</w:t>
      </w:r>
      <w:r w:rsidRPr="00271145">
        <w:t>), 30 FCC Rcd at 7720, para. 30 (“Wireless Properties cannot rely on the failure of a map provided by the Tennessee SHPO to identify the Bragg Reservation . . . to excuse its omission.”)</w:t>
      </w:r>
    </w:p>
  </w:footnote>
  <w:footnote w:id="31">
    <w:p w:rsidR="003C5086" w14:paraId="42C78B62" w14:textId="06A17B5E">
      <w:pPr>
        <w:pStyle w:val="FootnoteText"/>
      </w:pPr>
      <w:r>
        <w:rPr>
          <w:rStyle w:val="FootnoteReference"/>
        </w:rPr>
        <w:footnoteRef/>
      </w:r>
      <w:r>
        <w:t xml:space="preserve"> </w:t>
      </w:r>
      <w:r>
        <w:rPr>
          <w:i/>
        </w:rPr>
        <w:t>S</w:t>
      </w:r>
      <w:r w:rsidRPr="00A52C3D">
        <w:rPr>
          <w:i/>
        </w:rPr>
        <w:t>ee</w:t>
      </w:r>
      <w:r w:rsidRPr="00A52C3D">
        <w:t xml:space="preserve"> Parallel Consolidated Response at </w:t>
      </w:r>
      <w:r>
        <w:t>15</w:t>
      </w:r>
      <w:r w:rsidRPr="00A52C3D">
        <w:t>; Village Reply at 2 &amp; Exh. B at 5, 7.</w:t>
      </w:r>
    </w:p>
  </w:footnote>
  <w:footnote w:id="32">
    <w:p w:rsidR="003C5086" w14:paraId="3F9E8518" w14:textId="7CBFD8E8">
      <w:pPr>
        <w:pStyle w:val="FootnoteText"/>
      </w:pPr>
      <w:r>
        <w:rPr>
          <w:rStyle w:val="FootnoteReference"/>
        </w:rPr>
        <w:footnoteRef/>
      </w:r>
      <w:r>
        <w:t xml:space="preserve"> </w:t>
      </w:r>
      <w:r w:rsidRPr="00A52C3D">
        <w:t xml:space="preserve">Parallel Consolidated Response at </w:t>
      </w:r>
      <w:r>
        <w:t>15.</w:t>
      </w:r>
    </w:p>
  </w:footnote>
  <w:footnote w:id="33">
    <w:p w:rsidR="003C5086" w14:paraId="4A949E04" w14:textId="2B1BC18B">
      <w:pPr>
        <w:pStyle w:val="FootnoteText"/>
      </w:pPr>
      <w:r>
        <w:rPr>
          <w:rStyle w:val="FootnoteReference"/>
        </w:rPr>
        <w:footnoteRef/>
      </w:r>
      <w:r>
        <w:t xml:space="preserve"> </w:t>
      </w:r>
      <w:r w:rsidR="00444871">
        <w:rPr>
          <w:i/>
          <w:szCs w:val="22"/>
        </w:rPr>
        <w:t xml:space="preserve">Wireless Facilities </w:t>
      </w:r>
      <w:r w:rsidRPr="00444871">
        <w:rPr>
          <w:i/>
        </w:rPr>
        <w:t>NPA</w:t>
      </w:r>
      <w:r w:rsidRPr="008C4F64">
        <w:t>, § VI.C.3</w:t>
      </w:r>
    </w:p>
  </w:footnote>
  <w:footnote w:id="34">
    <w:p w:rsidR="003C5086" w:rsidP="006872E8" w14:paraId="16209E16" w14:textId="7A2CA2BE">
      <w:pPr>
        <w:pStyle w:val="FootnoteText"/>
      </w:pPr>
      <w:r>
        <w:rPr>
          <w:rStyle w:val="FootnoteReference"/>
        </w:rPr>
        <w:footnoteRef/>
      </w:r>
      <w:r>
        <w:t xml:space="preserve"> </w:t>
      </w:r>
      <w:r>
        <w:rPr>
          <w:i/>
        </w:rPr>
        <w:t xml:space="preserve">See </w:t>
      </w:r>
      <w:r>
        <w:t>42 U.S.C. § 4331(b) (“it is the continuing responsibility of the Federal Government to use all practicable means… [to] assure for all Americans safe, healthful, productive and esthetically and culturally pleasing surroundings”); 40 CFR § 1508.8(b)</w:t>
      </w:r>
      <w:r w:rsidR="00D44969">
        <w:t xml:space="preserve"> (“effects” include “aesthetic” effects); </w:t>
      </w:r>
      <w:r w:rsidRPr="006872E8">
        <w:rPr>
          <w:i/>
        </w:rPr>
        <w:t>Maryland-National Capital Park and Planning Commission</w:t>
      </w:r>
      <w:r>
        <w:rPr>
          <w:i/>
        </w:rPr>
        <w:t xml:space="preserve"> </w:t>
      </w:r>
      <w:r w:rsidRPr="006872E8">
        <w:rPr>
          <w:i/>
        </w:rPr>
        <w:t>v. U.S. Postal Service</w:t>
      </w:r>
      <w:r>
        <w:t>, 487 F.2d 1029 (D.C. Cir. 1973) (recognizing federal agencies’ obligation to consider aesthetic effects).</w:t>
      </w:r>
    </w:p>
  </w:footnote>
  <w:footnote w:id="35">
    <w:p w:rsidR="006A42FE" w:rsidRPr="00343661" w:rsidP="006A42FE" w14:paraId="64A35068" w14:textId="77777777">
      <w:pPr>
        <w:pStyle w:val="FootnoteText"/>
      </w:pPr>
      <w:r>
        <w:rPr>
          <w:rStyle w:val="FootnoteReference"/>
        </w:rPr>
        <w:footnoteRef/>
      </w:r>
      <w:r>
        <w:t xml:space="preserve"> </w:t>
      </w:r>
      <w:r>
        <w:rPr>
          <w:i/>
        </w:rPr>
        <w:t>Implementation of the National Environmental Policy Act of 1969</w:t>
      </w:r>
      <w:r>
        <w:t>, 49 FCC Rcd 1313, 1324, para. 28 (1974).</w:t>
      </w:r>
      <w:r>
        <w:rPr>
          <w:i/>
        </w:rPr>
        <w:t xml:space="preserve"> </w:t>
      </w:r>
    </w:p>
  </w:footnote>
  <w:footnote w:id="36">
    <w:p w:rsidR="003C5086" w14:paraId="19647D8F" w14:textId="470C6F5F">
      <w:pPr>
        <w:pStyle w:val="FootnoteText"/>
      </w:pPr>
      <w:r>
        <w:rPr>
          <w:rStyle w:val="FootnoteReference"/>
        </w:rPr>
        <w:footnoteRef/>
      </w:r>
      <w:r>
        <w:t xml:space="preserve"> 47 CFR § 1.1307(a), (b).</w:t>
      </w:r>
    </w:p>
  </w:footnote>
  <w:footnote w:id="37">
    <w:p w:rsidR="00F8364D" w14:paraId="3E1764CB" w14:textId="71DCDB9A">
      <w:pPr>
        <w:pStyle w:val="FootnoteText"/>
      </w:pPr>
      <w:r>
        <w:rPr>
          <w:rStyle w:val="FootnoteReference"/>
        </w:rPr>
        <w:footnoteRef/>
      </w:r>
      <w:r>
        <w:t xml:space="preserve"> </w:t>
      </w:r>
      <w:r w:rsidRPr="00F8364D">
        <w:rPr>
          <w:i/>
        </w:rPr>
        <w:t>Amendment of Environmental Rules in Response to New Regulations Issued by the Council on Environmental Quality</w:t>
      </w:r>
      <w:r w:rsidRPr="00F8364D">
        <w:t>, 60 Rad. Reg. 2d (P&amp;F) 13, 1986 WL 292182 (1986)</w:t>
      </w:r>
      <w:r>
        <w:t xml:space="preserve">; 47 CFR § 1.1307(c), (d).  </w:t>
      </w:r>
      <w:r>
        <w:rPr>
          <w:i/>
        </w:rPr>
        <w:t xml:space="preserve">See AT&amp;T Mobile </w:t>
      </w:r>
      <w:r>
        <w:t>(</w:t>
      </w:r>
      <w:r>
        <w:rPr>
          <w:i/>
        </w:rPr>
        <w:t>Fort Ransom</w:t>
      </w:r>
      <w:r>
        <w:t xml:space="preserve">), 30 FCC Rcd at 11032, para. 28; </w:t>
      </w:r>
      <w:r>
        <w:rPr>
          <w:i/>
        </w:rPr>
        <w:t xml:space="preserve">SBA Towers III, LLC </w:t>
      </w:r>
      <w:r>
        <w:t>(</w:t>
      </w:r>
      <w:r>
        <w:rPr>
          <w:i/>
        </w:rPr>
        <w:t>Petitions to Deny and Requests for Environmental Review Against Antenna Structure Registration with Environmental Assessment, Copper Harbor, Michigan</w:t>
      </w:r>
      <w:r>
        <w:t xml:space="preserve">), 31 FCC Rcd 1755, 1765-66, para. 38 (WTB 2016); </w:t>
      </w:r>
      <w:r>
        <w:rPr>
          <w:i/>
        </w:rPr>
        <w:t>Canyon Area Residents for the Environment</w:t>
      </w:r>
      <w:r>
        <w:t>, 14 FCC Rcd 8152, 8159-60, para. 26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F02" w14:paraId="197CDB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086" w:rsidP="00BC5CF0" w14:paraId="36D4A909" w14:textId="5B81F544">
    <w:pPr>
      <w:pStyle w:val="Header"/>
    </w:pPr>
    <w:r>
      <w:tab/>
      <w:t>Federal Communications Commission</w:t>
    </w:r>
    <w:r>
      <w:tab/>
      <w:t xml:space="preserve">DA </w:t>
    </w:r>
    <w:r w:rsidR="00AE1449">
      <w:t>18-230</w:t>
    </w:r>
  </w:p>
  <w:p w:rsidR="003C5086" w14:paraId="17658B4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C5086" w14:paraId="2D9DB1F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086" w:rsidP="00BC5CF0" w14:paraId="2AEAA790" w14:textId="063C0AEB">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w:t>
    </w:r>
    <w:r w:rsidR="00864ED6">
      <w:rPr>
        <w:spacing w:val="-2"/>
      </w:rPr>
      <w:t>8</w:t>
    </w:r>
    <w:r>
      <w:rPr>
        <w:spacing w:val="-2"/>
      </w:rPr>
      <w:t>-</w:t>
    </w:r>
    <w:r w:rsidR="00AE1449">
      <w:rPr>
        <w:spacing w:val="-2"/>
      </w:rPr>
      <w:t>230</w:t>
    </w:r>
  </w:p>
  <w:p w:rsidR="003C5086" w:rsidP="00BC5CF0" w14:paraId="0A04CE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AE1F69"/>
    <w:multiLevelType w:val="hybridMultilevel"/>
    <w:tmpl w:val="78FCB700"/>
    <w:lvl w:ilvl="0">
      <w:start w:val="4"/>
      <w:numFmt w:val="decimal"/>
      <w:lvlText w:val="%1."/>
      <w:lvlJc w:val="left"/>
      <w:pPr>
        <w:ind w:left="486" w:hanging="158"/>
      </w:pPr>
      <w:rPr>
        <w:rFonts w:ascii="Times New Roman" w:eastAsia="Times New Roman" w:hAnsi="Times New Roman" w:hint="default"/>
        <w:color w:val="3F3F42"/>
        <w:spacing w:val="-5"/>
        <w:w w:val="94"/>
        <w:sz w:val="10"/>
        <w:szCs w:val="10"/>
      </w:rPr>
    </w:lvl>
    <w:lvl w:ilvl="1">
      <w:start w:val="1"/>
      <w:numFmt w:val="bullet"/>
      <w:lvlText w:val="•"/>
      <w:lvlJc w:val="left"/>
      <w:pPr>
        <w:ind w:left="960" w:hanging="428"/>
      </w:pPr>
      <w:rPr>
        <w:rFonts w:ascii="Times New Roman" w:eastAsia="Times New Roman" w:hAnsi="Times New Roman" w:hint="default"/>
        <w:w w:val="69"/>
        <w:position w:val="17"/>
        <w:sz w:val="37"/>
        <w:szCs w:val="37"/>
      </w:rPr>
    </w:lvl>
    <w:lvl w:ilvl="2">
      <w:start w:val="1"/>
      <w:numFmt w:val="bullet"/>
      <w:lvlText w:val="•"/>
      <w:lvlJc w:val="left"/>
      <w:pPr>
        <w:ind w:left="618" w:hanging="428"/>
      </w:pPr>
      <w:rPr>
        <w:rFonts w:hint="default"/>
      </w:rPr>
    </w:lvl>
    <w:lvl w:ilvl="3">
      <w:start w:val="1"/>
      <w:numFmt w:val="bullet"/>
      <w:lvlText w:val="•"/>
      <w:lvlJc w:val="left"/>
      <w:pPr>
        <w:ind w:left="276" w:hanging="428"/>
      </w:pPr>
      <w:rPr>
        <w:rFonts w:hint="default"/>
      </w:rPr>
    </w:lvl>
    <w:lvl w:ilvl="4">
      <w:start w:val="1"/>
      <w:numFmt w:val="bullet"/>
      <w:lvlText w:val="•"/>
      <w:lvlJc w:val="left"/>
      <w:pPr>
        <w:ind w:left="-66" w:hanging="428"/>
      </w:pPr>
      <w:rPr>
        <w:rFonts w:hint="default"/>
      </w:rPr>
    </w:lvl>
    <w:lvl w:ilvl="5">
      <w:start w:val="1"/>
      <w:numFmt w:val="bullet"/>
      <w:lvlText w:val="•"/>
      <w:lvlJc w:val="left"/>
      <w:pPr>
        <w:ind w:left="-407" w:hanging="428"/>
      </w:pPr>
      <w:rPr>
        <w:rFonts w:hint="default"/>
      </w:rPr>
    </w:lvl>
    <w:lvl w:ilvl="6">
      <w:start w:val="1"/>
      <w:numFmt w:val="bullet"/>
      <w:lvlText w:val="•"/>
      <w:lvlJc w:val="left"/>
      <w:pPr>
        <w:ind w:left="-749" w:hanging="428"/>
      </w:pPr>
      <w:rPr>
        <w:rFonts w:hint="default"/>
      </w:rPr>
    </w:lvl>
    <w:lvl w:ilvl="7">
      <w:start w:val="1"/>
      <w:numFmt w:val="bullet"/>
      <w:lvlText w:val="•"/>
      <w:lvlJc w:val="left"/>
      <w:pPr>
        <w:ind w:left="-1091" w:hanging="428"/>
      </w:pPr>
      <w:rPr>
        <w:rFonts w:hint="default"/>
      </w:rPr>
    </w:lvl>
    <w:lvl w:ilvl="8">
      <w:start w:val="1"/>
      <w:numFmt w:val="bullet"/>
      <w:lvlText w:val="•"/>
      <w:lvlJc w:val="left"/>
      <w:pPr>
        <w:ind w:left="-1433" w:hanging="428"/>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2DF2096A"/>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abstractNum>
  <w:abstractNum w:abstractNumId="7">
    <w:nsid w:val="6E12717D"/>
    <w:multiLevelType w:val="hybridMultilevel"/>
    <w:tmpl w:val="463485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48F6C69"/>
    <w:multiLevelType w:val="hybridMultilevel"/>
    <w:tmpl w:val="7D7453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6"/>
  </w:num>
  <w:num w:numId="9">
    <w:abstractNumId w:val="6"/>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8"/>
  </w:num>
  <w:num w:numId="15">
    <w:abstractNumId w:val="4"/>
  </w:num>
  <w:num w:numId="16">
    <w:abstractNumId w:val="6"/>
    <w:lvlOverride w:ilvl="0">
      <w:startOverride w:val="1"/>
    </w:lvlOverride>
  </w:num>
  <w:num w:numId="17">
    <w:abstractNumId w:val="6"/>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num>
  <w:num w:numId="22">
    <w:abstractNumId w:val="6"/>
    <w:lvlOverride w:ilvl="0">
      <w:startOverride w:val="1"/>
    </w:lvlOverride>
  </w:num>
  <w:num w:numId="23">
    <w:abstractNumId w:val="6"/>
  </w:num>
  <w:num w:numId="24">
    <w:abstractNumId w:val="6"/>
    <w:lvlOverride w:ilvl="0">
      <w:startOverride w:val="1"/>
    </w:lvlOverride>
  </w:num>
  <w:num w:numId="25">
    <w:abstractNumId w:val="6"/>
  </w:num>
  <w:num w:numId="26">
    <w:abstractNumId w:val="6"/>
  </w:num>
  <w:num w:numId="27">
    <w:abstractNumId w:val="6"/>
    <w:lvlOverride w:ilvl="0">
      <w:startOverride w:val="1"/>
    </w:lvlOverride>
  </w:num>
  <w:num w:numId="28">
    <w:abstractNumId w:val="6"/>
  </w:num>
  <w:num w:numId="29">
    <w:abstractNumId w:val="6"/>
    <w:lvlOverride w:ilvl="0">
      <w:startOverride w:val="1"/>
    </w:lvlOverride>
  </w:num>
  <w:num w:numId="30">
    <w:abstractNumId w:val="6"/>
  </w:num>
  <w:num w:numId="31">
    <w:abstractNumId w:val="6"/>
    <w:lvlOverride w:ilvl="0">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9E"/>
    <w:rsid w:val="00001C5A"/>
    <w:rsid w:val="000103EB"/>
    <w:rsid w:val="00012C3C"/>
    <w:rsid w:val="00020462"/>
    <w:rsid w:val="00020FC5"/>
    <w:rsid w:val="00024833"/>
    <w:rsid w:val="0002624B"/>
    <w:rsid w:val="00027C7E"/>
    <w:rsid w:val="00027F30"/>
    <w:rsid w:val="00032432"/>
    <w:rsid w:val="00034C01"/>
    <w:rsid w:val="00036039"/>
    <w:rsid w:val="000376BB"/>
    <w:rsid w:val="00037F90"/>
    <w:rsid w:val="000512C6"/>
    <w:rsid w:val="0005790F"/>
    <w:rsid w:val="00061E88"/>
    <w:rsid w:val="00064C9A"/>
    <w:rsid w:val="000743FC"/>
    <w:rsid w:val="00077690"/>
    <w:rsid w:val="000802D3"/>
    <w:rsid w:val="000807DC"/>
    <w:rsid w:val="000860FE"/>
    <w:rsid w:val="000875BF"/>
    <w:rsid w:val="000903F4"/>
    <w:rsid w:val="00091786"/>
    <w:rsid w:val="0009229C"/>
    <w:rsid w:val="000931C8"/>
    <w:rsid w:val="00095CB3"/>
    <w:rsid w:val="00096D8C"/>
    <w:rsid w:val="000A093D"/>
    <w:rsid w:val="000A10CA"/>
    <w:rsid w:val="000A2522"/>
    <w:rsid w:val="000B2D4A"/>
    <w:rsid w:val="000B55B6"/>
    <w:rsid w:val="000B6AD1"/>
    <w:rsid w:val="000C0B65"/>
    <w:rsid w:val="000C1C3E"/>
    <w:rsid w:val="000C1E38"/>
    <w:rsid w:val="000C3ECF"/>
    <w:rsid w:val="000D20BE"/>
    <w:rsid w:val="000D5A66"/>
    <w:rsid w:val="000D7584"/>
    <w:rsid w:val="000E05FE"/>
    <w:rsid w:val="000E3D42"/>
    <w:rsid w:val="000E70C6"/>
    <w:rsid w:val="000F3B2A"/>
    <w:rsid w:val="000F65FE"/>
    <w:rsid w:val="000F74E2"/>
    <w:rsid w:val="00102943"/>
    <w:rsid w:val="0010302C"/>
    <w:rsid w:val="00103E77"/>
    <w:rsid w:val="001066D5"/>
    <w:rsid w:val="00106B12"/>
    <w:rsid w:val="00106CE8"/>
    <w:rsid w:val="00107630"/>
    <w:rsid w:val="00107868"/>
    <w:rsid w:val="001104B8"/>
    <w:rsid w:val="001131FC"/>
    <w:rsid w:val="001141B4"/>
    <w:rsid w:val="00122BD5"/>
    <w:rsid w:val="001235B2"/>
    <w:rsid w:val="00123B99"/>
    <w:rsid w:val="0012465E"/>
    <w:rsid w:val="00127034"/>
    <w:rsid w:val="001307D3"/>
    <w:rsid w:val="00132133"/>
    <w:rsid w:val="00133F79"/>
    <w:rsid w:val="001361B3"/>
    <w:rsid w:val="001401C7"/>
    <w:rsid w:val="001410AB"/>
    <w:rsid w:val="00142D22"/>
    <w:rsid w:val="00143D90"/>
    <w:rsid w:val="0014667C"/>
    <w:rsid w:val="00147F54"/>
    <w:rsid w:val="00151573"/>
    <w:rsid w:val="00151B1B"/>
    <w:rsid w:val="00152195"/>
    <w:rsid w:val="001571CF"/>
    <w:rsid w:val="001609F7"/>
    <w:rsid w:val="001658C4"/>
    <w:rsid w:val="00174996"/>
    <w:rsid w:val="00175340"/>
    <w:rsid w:val="00185BB6"/>
    <w:rsid w:val="00193172"/>
    <w:rsid w:val="0019318B"/>
    <w:rsid w:val="00194A66"/>
    <w:rsid w:val="001951C8"/>
    <w:rsid w:val="001A1D86"/>
    <w:rsid w:val="001A270E"/>
    <w:rsid w:val="001A2F83"/>
    <w:rsid w:val="001A46C2"/>
    <w:rsid w:val="001A6B9A"/>
    <w:rsid w:val="001A6C7A"/>
    <w:rsid w:val="001B1BC5"/>
    <w:rsid w:val="001B51EC"/>
    <w:rsid w:val="001C1F16"/>
    <w:rsid w:val="001C5494"/>
    <w:rsid w:val="001C68C5"/>
    <w:rsid w:val="001C695B"/>
    <w:rsid w:val="001D540D"/>
    <w:rsid w:val="001D60F2"/>
    <w:rsid w:val="001D6BCF"/>
    <w:rsid w:val="001D7A20"/>
    <w:rsid w:val="001E01CA"/>
    <w:rsid w:val="001F2BAB"/>
    <w:rsid w:val="001F2FB2"/>
    <w:rsid w:val="002006C1"/>
    <w:rsid w:val="00200843"/>
    <w:rsid w:val="00207357"/>
    <w:rsid w:val="00211F99"/>
    <w:rsid w:val="00217880"/>
    <w:rsid w:val="002204F3"/>
    <w:rsid w:val="00221410"/>
    <w:rsid w:val="0022581F"/>
    <w:rsid w:val="00227540"/>
    <w:rsid w:val="00230D0A"/>
    <w:rsid w:val="002351FB"/>
    <w:rsid w:val="00242233"/>
    <w:rsid w:val="00243776"/>
    <w:rsid w:val="00246044"/>
    <w:rsid w:val="0024683E"/>
    <w:rsid w:val="00247F9B"/>
    <w:rsid w:val="00255CE0"/>
    <w:rsid w:val="00260799"/>
    <w:rsid w:val="00260C5F"/>
    <w:rsid w:val="00260E6A"/>
    <w:rsid w:val="00265EC6"/>
    <w:rsid w:val="00266CF2"/>
    <w:rsid w:val="00270B31"/>
    <w:rsid w:val="00271145"/>
    <w:rsid w:val="002719C3"/>
    <w:rsid w:val="00272CA9"/>
    <w:rsid w:val="00275CF5"/>
    <w:rsid w:val="0028038B"/>
    <w:rsid w:val="00280A5B"/>
    <w:rsid w:val="0028301F"/>
    <w:rsid w:val="00284706"/>
    <w:rsid w:val="00285017"/>
    <w:rsid w:val="00290A24"/>
    <w:rsid w:val="00290B53"/>
    <w:rsid w:val="0029148A"/>
    <w:rsid w:val="002915E5"/>
    <w:rsid w:val="00292807"/>
    <w:rsid w:val="00294222"/>
    <w:rsid w:val="0029668E"/>
    <w:rsid w:val="002A1A8A"/>
    <w:rsid w:val="002A2D2E"/>
    <w:rsid w:val="002A3296"/>
    <w:rsid w:val="002A5BD3"/>
    <w:rsid w:val="002B406A"/>
    <w:rsid w:val="002B648B"/>
    <w:rsid w:val="002C00E8"/>
    <w:rsid w:val="002C07C5"/>
    <w:rsid w:val="002C3534"/>
    <w:rsid w:val="002C3E26"/>
    <w:rsid w:val="002C587E"/>
    <w:rsid w:val="002C58F9"/>
    <w:rsid w:val="002C65FC"/>
    <w:rsid w:val="002C6C5A"/>
    <w:rsid w:val="002D1B1D"/>
    <w:rsid w:val="002D2859"/>
    <w:rsid w:val="002D3529"/>
    <w:rsid w:val="002D58C9"/>
    <w:rsid w:val="002D58CE"/>
    <w:rsid w:val="002E0A14"/>
    <w:rsid w:val="002E3214"/>
    <w:rsid w:val="002E4F22"/>
    <w:rsid w:val="002E63F6"/>
    <w:rsid w:val="002E6689"/>
    <w:rsid w:val="002E7758"/>
    <w:rsid w:val="003045BA"/>
    <w:rsid w:val="00304F92"/>
    <w:rsid w:val="00313D13"/>
    <w:rsid w:val="00314B2C"/>
    <w:rsid w:val="00316A27"/>
    <w:rsid w:val="00320AEF"/>
    <w:rsid w:val="00323C75"/>
    <w:rsid w:val="00325010"/>
    <w:rsid w:val="00331719"/>
    <w:rsid w:val="00334C3E"/>
    <w:rsid w:val="00335BC0"/>
    <w:rsid w:val="00336B36"/>
    <w:rsid w:val="00343113"/>
    <w:rsid w:val="00343661"/>
    <w:rsid w:val="00343749"/>
    <w:rsid w:val="00346C1A"/>
    <w:rsid w:val="00350AF6"/>
    <w:rsid w:val="00353F9A"/>
    <w:rsid w:val="00356042"/>
    <w:rsid w:val="0036162E"/>
    <w:rsid w:val="00364C5E"/>
    <w:rsid w:val="00365760"/>
    <w:rsid w:val="003660ED"/>
    <w:rsid w:val="003723A9"/>
    <w:rsid w:val="0037302C"/>
    <w:rsid w:val="00383A48"/>
    <w:rsid w:val="00393902"/>
    <w:rsid w:val="0039409E"/>
    <w:rsid w:val="00394341"/>
    <w:rsid w:val="0039573C"/>
    <w:rsid w:val="00397ADD"/>
    <w:rsid w:val="003A06A6"/>
    <w:rsid w:val="003A10D4"/>
    <w:rsid w:val="003A33D4"/>
    <w:rsid w:val="003A6A86"/>
    <w:rsid w:val="003A7CE5"/>
    <w:rsid w:val="003B0550"/>
    <w:rsid w:val="003B3726"/>
    <w:rsid w:val="003B5996"/>
    <w:rsid w:val="003B6294"/>
    <w:rsid w:val="003B694F"/>
    <w:rsid w:val="003B7EFA"/>
    <w:rsid w:val="003C0EB1"/>
    <w:rsid w:val="003C1266"/>
    <w:rsid w:val="003C1C9A"/>
    <w:rsid w:val="003C34F5"/>
    <w:rsid w:val="003C35BC"/>
    <w:rsid w:val="003C5086"/>
    <w:rsid w:val="003C5F10"/>
    <w:rsid w:val="003D2E96"/>
    <w:rsid w:val="003D38C1"/>
    <w:rsid w:val="003D613D"/>
    <w:rsid w:val="003D7667"/>
    <w:rsid w:val="003E191A"/>
    <w:rsid w:val="003E3262"/>
    <w:rsid w:val="003E57D4"/>
    <w:rsid w:val="003F0FBE"/>
    <w:rsid w:val="003F171C"/>
    <w:rsid w:val="003F442E"/>
    <w:rsid w:val="003F4939"/>
    <w:rsid w:val="003F4B24"/>
    <w:rsid w:val="003F5559"/>
    <w:rsid w:val="004006F1"/>
    <w:rsid w:val="00400A80"/>
    <w:rsid w:val="004055BC"/>
    <w:rsid w:val="00411065"/>
    <w:rsid w:val="00412064"/>
    <w:rsid w:val="00412FC5"/>
    <w:rsid w:val="004135A4"/>
    <w:rsid w:val="004146C6"/>
    <w:rsid w:val="004212E5"/>
    <w:rsid w:val="00422276"/>
    <w:rsid w:val="0042412B"/>
    <w:rsid w:val="004242F1"/>
    <w:rsid w:val="00424D1E"/>
    <w:rsid w:val="00430329"/>
    <w:rsid w:val="00430B6A"/>
    <w:rsid w:val="004369B4"/>
    <w:rsid w:val="004416F8"/>
    <w:rsid w:val="00444871"/>
    <w:rsid w:val="0044573E"/>
    <w:rsid w:val="00445A00"/>
    <w:rsid w:val="0044787A"/>
    <w:rsid w:val="00451B0F"/>
    <w:rsid w:val="00454082"/>
    <w:rsid w:val="004566E0"/>
    <w:rsid w:val="0045681A"/>
    <w:rsid w:val="00460148"/>
    <w:rsid w:val="00465B98"/>
    <w:rsid w:val="00473D24"/>
    <w:rsid w:val="00476D2B"/>
    <w:rsid w:val="004815F3"/>
    <w:rsid w:val="0048290C"/>
    <w:rsid w:val="00484124"/>
    <w:rsid w:val="0048595B"/>
    <w:rsid w:val="00485A74"/>
    <w:rsid w:val="004940CE"/>
    <w:rsid w:val="00494DCB"/>
    <w:rsid w:val="004978E7"/>
    <w:rsid w:val="004A5DA4"/>
    <w:rsid w:val="004A6F8B"/>
    <w:rsid w:val="004B1141"/>
    <w:rsid w:val="004B4838"/>
    <w:rsid w:val="004B558E"/>
    <w:rsid w:val="004B5ECA"/>
    <w:rsid w:val="004C1BB6"/>
    <w:rsid w:val="004C2EE3"/>
    <w:rsid w:val="004C6251"/>
    <w:rsid w:val="004C786A"/>
    <w:rsid w:val="004D0555"/>
    <w:rsid w:val="004D4986"/>
    <w:rsid w:val="004E31E2"/>
    <w:rsid w:val="004E39EE"/>
    <w:rsid w:val="004E3B88"/>
    <w:rsid w:val="004E4A22"/>
    <w:rsid w:val="004E5111"/>
    <w:rsid w:val="00500F66"/>
    <w:rsid w:val="00501BAA"/>
    <w:rsid w:val="00501F69"/>
    <w:rsid w:val="00511968"/>
    <w:rsid w:val="0051196A"/>
    <w:rsid w:val="00511EFD"/>
    <w:rsid w:val="00516CE1"/>
    <w:rsid w:val="0051797D"/>
    <w:rsid w:val="0052598A"/>
    <w:rsid w:val="00527109"/>
    <w:rsid w:val="00533EFF"/>
    <w:rsid w:val="0053723A"/>
    <w:rsid w:val="00540FF5"/>
    <w:rsid w:val="00547DCF"/>
    <w:rsid w:val="0055006A"/>
    <w:rsid w:val="00552D5D"/>
    <w:rsid w:val="005539A6"/>
    <w:rsid w:val="0055614C"/>
    <w:rsid w:val="00565136"/>
    <w:rsid w:val="00572511"/>
    <w:rsid w:val="00573AA8"/>
    <w:rsid w:val="00575687"/>
    <w:rsid w:val="00576C9D"/>
    <w:rsid w:val="00585024"/>
    <w:rsid w:val="0058707A"/>
    <w:rsid w:val="00590BB2"/>
    <w:rsid w:val="00591535"/>
    <w:rsid w:val="005951A2"/>
    <w:rsid w:val="00596CD3"/>
    <w:rsid w:val="00597DA1"/>
    <w:rsid w:val="005A7DE8"/>
    <w:rsid w:val="005B09B0"/>
    <w:rsid w:val="005B6BFD"/>
    <w:rsid w:val="005B7C80"/>
    <w:rsid w:val="005C082D"/>
    <w:rsid w:val="005C21B0"/>
    <w:rsid w:val="005D0A6C"/>
    <w:rsid w:val="005D1185"/>
    <w:rsid w:val="005D214E"/>
    <w:rsid w:val="005D54D4"/>
    <w:rsid w:val="005E0E3F"/>
    <w:rsid w:val="005E14C2"/>
    <w:rsid w:val="005E170F"/>
    <w:rsid w:val="005E3977"/>
    <w:rsid w:val="005E4EC3"/>
    <w:rsid w:val="005E5AB7"/>
    <w:rsid w:val="005E6CDC"/>
    <w:rsid w:val="005E6F7E"/>
    <w:rsid w:val="005F0FDE"/>
    <w:rsid w:val="005F5B1E"/>
    <w:rsid w:val="005F6954"/>
    <w:rsid w:val="005F768A"/>
    <w:rsid w:val="006032CA"/>
    <w:rsid w:val="00607BA5"/>
    <w:rsid w:val="0061180A"/>
    <w:rsid w:val="00614894"/>
    <w:rsid w:val="006160B8"/>
    <w:rsid w:val="0062101A"/>
    <w:rsid w:val="00622F6C"/>
    <w:rsid w:val="00624975"/>
    <w:rsid w:val="00626EB6"/>
    <w:rsid w:val="006279F4"/>
    <w:rsid w:val="00630C65"/>
    <w:rsid w:val="00640BEF"/>
    <w:rsid w:val="00651F09"/>
    <w:rsid w:val="00652ACC"/>
    <w:rsid w:val="00653CA5"/>
    <w:rsid w:val="00655A14"/>
    <w:rsid w:val="00655D03"/>
    <w:rsid w:val="00657BA3"/>
    <w:rsid w:val="00657CE5"/>
    <w:rsid w:val="006655D9"/>
    <w:rsid w:val="006672E5"/>
    <w:rsid w:val="00683388"/>
    <w:rsid w:val="00683F84"/>
    <w:rsid w:val="006872E8"/>
    <w:rsid w:val="0069033C"/>
    <w:rsid w:val="00692107"/>
    <w:rsid w:val="00694D34"/>
    <w:rsid w:val="006A0DA3"/>
    <w:rsid w:val="006A42FE"/>
    <w:rsid w:val="006A6A81"/>
    <w:rsid w:val="006A6F0C"/>
    <w:rsid w:val="006B0F6D"/>
    <w:rsid w:val="006B1377"/>
    <w:rsid w:val="006B7B4E"/>
    <w:rsid w:val="006B7C88"/>
    <w:rsid w:val="006C135B"/>
    <w:rsid w:val="006C3019"/>
    <w:rsid w:val="006C5F19"/>
    <w:rsid w:val="006D0261"/>
    <w:rsid w:val="006D64ED"/>
    <w:rsid w:val="006E002C"/>
    <w:rsid w:val="006E019B"/>
    <w:rsid w:val="006E2873"/>
    <w:rsid w:val="006E702F"/>
    <w:rsid w:val="006F7393"/>
    <w:rsid w:val="006F796E"/>
    <w:rsid w:val="0070224F"/>
    <w:rsid w:val="007111CC"/>
    <w:rsid w:val="007115F7"/>
    <w:rsid w:val="007119CA"/>
    <w:rsid w:val="00713DF1"/>
    <w:rsid w:val="00714A76"/>
    <w:rsid w:val="00714EE8"/>
    <w:rsid w:val="007166E2"/>
    <w:rsid w:val="00716EC3"/>
    <w:rsid w:val="00722434"/>
    <w:rsid w:val="00722B31"/>
    <w:rsid w:val="00722CD1"/>
    <w:rsid w:val="00725422"/>
    <w:rsid w:val="00725A2E"/>
    <w:rsid w:val="00731C15"/>
    <w:rsid w:val="00732D51"/>
    <w:rsid w:val="00733206"/>
    <w:rsid w:val="007409D4"/>
    <w:rsid w:val="00741C49"/>
    <w:rsid w:val="007438AD"/>
    <w:rsid w:val="0074397E"/>
    <w:rsid w:val="007467A3"/>
    <w:rsid w:val="00746ACB"/>
    <w:rsid w:val="00747453"/>
    <w:rsid w:val="00756BA3"/>
    <w:rsid w:val="0075772F"/>
    <w:rsid w:val="007626B1"/>
    <w:rsid w:val="00765731"/>
    <w:rsid w:val="00767444"/>
    <w:rsid w:val="0076778B"/>
    <w:rsid w:val="00773732"/>
    <w:rsid w:val="00773840"/>
    <w:rsid w:val="00776DF4"/>
    <w:rsid w:val="0078168D"/>
    <w:rsid w:val="00782455"/>
    <w:rsid w:val="00782EF2"/>
    <w:rsid w:val="007842CD"/>
    <w:rsid w:val="00785689"/>
    <w:rsid w:val="007870A3"/>
    <w:rsid w:val="0079218A"/>
    <w:rsid w:val="00793E97"/>
    <w:rsid w:val="0079754B"/>
    <w:rsid w:val="007A0C27"/>
    <w:rsid w:val="007A1E6D"/>
    <w:rsid w:val="007A7324"/>
    <w:rsid w:val="007B0EB2"/>
    <w:rsid w:val="007B18DC"/>
    <w:rsid w:val="007B3464"/>
    <w:rsid w:val="007B66DE"/>
    <w:rsid w:val="007B74D9"/>
    <w:rsid w:val="007C64A6"/>
    <w:rsid w:val="007D112C"/>
    <w:rsid w:val="007D2B15"/>
    <w:rsid w:val="007D3BAE"/>
    <w:rsid w:val="007D66B8"/>
    <w:rsid w:val="007E175E"/>
    <w:rsid w:val="007E27F0"/>
    <w:rsid w:val="007E498B"/>
    <w:rsid w:val="007E6407"/>
    <w:rsid w:val="007F020F"/>
    <w:rsid w:val="007F2727"/>
    <w:rsid w:val="007F4224"/>
    <w:rsid w:val="00802943"/>
    <w:rsid w:val="00803C0C"/>
    <w:rsid w:val="00807D9F"/>
    <w:rsid w:val="00810B6F"/>
    <w:rsid w:val="008136B9"/>
    <w:rsid w:val="00813840"/>
    <w:rsid w:val="00816373"/>
    <w:rsid w:val="00820324"/>
    <w:rsid w:val="008204F7"/>
    <w:rsid w:val="00821AD2"/>
    <w:rsid w:val="0082238C"/>
    <w:rsid w:val="00822CE0"/>
    <w:rsid w:val="00825F64"/>
    <w:rsid w:val="00831F17"/>
    <w:rsid w:val="0083516A"/>
    <w:rsid w:val="00837875"/>
    <w:rsid w:val="00841AB1"/>
    <w:rsid w:val="00844B82"/>
    <w:rsid w:val="00853B8F"/>
    <w:rsid w:val="00856625"/>
    <w:rsid w:val="00857003"/>
    <w:rsid w:val="00857D55"/>
    <w:rsid w:val="00862F8F"/>
    <w:rsid w:val="00863317"/>
    <w:rsid w:val="00863F84"/>
    <w:rsid w:val="008646EB"/>
    <w:rsid w:val="00864ED6"/>
    <w:rsid w:val="00866D0B"/>
    <w:rsid w:val="00870E51"/>
    <w:rsid w:val="00870FB1"/>
    <w:rsid w:val="008746E5"/>
    <w:rsid w:val="0088608E"/>
    <w:rsid w:val="00887437"/>
    <w:rsid w:val="00891559"/>
    <w:rsid w:val="00896657"/>
    <w:rsid w:val="00896A76"/>
    <w:rsid w:val="008A0163"/>
    <w:rsid w:val="008A1E4A"/>
    <w:rsid w:val="008A2252"/>
    <w:rsid w:val="008A5068"/>
    <w:rsid w:val="008A54FE"/>
    <w:rsid w:val="008A6408"/>
    <w:rsid w:val="008B1C78"/>
    <w:rsid w:val="008B4917"/>
    <w:rsid w:val="008B510B"/>
    <w:rsid w:val="008B521D"/>
    <w:rsid w:val="008C4F64"/>
    <w:rsid w:val="008C68F1"/>
    <w:rsid w:val="008D0614"/>
    <w:rsid w:val="008D2102"/>
    <w:rsid w:val="008D3400"/>
    <w:rsid w:val="008E0323"/>
    <w:rsid w:val="008E5C7C"/>
    <w:rsid w:val="008F518B"/>
    <w:rsid w:val="00901977"/>
    <w:rsid w:val="00907F4C"/>
    <w:rsid w:val="00910FBB"/>
    <w:rsid w:val="00911FF8"/>
    <w:rsid w:val="00917125"/>
    <w:rsid w:val="00920712"/>
    <w:rsid w:val="00921803"/>
    <w:rsid w:val="0092341D"/>
    <w:rsid w:val="0092473B"/>
    <w:rsid w:val="00926503"/>
    <w:rsid w:val="00927416"/>
    <w:rsid w:val="00932FAC"/>
    <w:rsid w:val="00937C89"/>
    <w:rsid w:val="00950D64"/>
    <w:rsid w:val="00953DE4"/>
    <w:rsid w:val="00960E25"/>
    <w:rsid w:val="0096254C"/>
    <w:rsid w:val="00964EB2"/>
    <w:rsid w:val="009659CE"/>
    <w:rsid w:val="009726D8"/>
    <w:rsid w:val="0097348B"/>
    <w:rsid w:val="00976CD6"/>
    <w:rsid w:val="00981ABC"/>
    <w:rsid w:val="00981D23"/>
    <w:rsid w:val="00984B4D"/>
    <w:rsid w:val="00992BA9"/>
    <w:rsid w:val="00994004"/>
    <w:rsid w:val="00997535"/>
    <w:rsid w:val="009A0A2D"/>
    <w:rsid w:val="009A427A"/>
    <w:rsid w:val="009B2390"/>
    <w:rsid w:val="009B3693"/>
    <w:rsid w:val="009B5A54"/>
    <w:rsid w:val="009C13B2"/>
    <w:rsid w:val="009C3FEF"/>
    <w:rsid w:val="009D03F5"/>
    <w:rsid w:val="009D10DD"/>
    <w:rsid w:val="009D1CD8"/>
    <w:rsid w:val="009D515B"/>
    <w:rsid w:val="009D5A9C"/>
    <w:rsid w:val="009E5774"/>
    <w:rsid w:val="009E5EA1"/>
    <w:rsid w:val="009F3258"/>
    <w:rsid w:val="009F76DB"/>
    <w:rsid w:val="009F7F93"/>
    <w:rsid w:val="00A0405D"/>
    <w:rsid w:val="00A047D8"/>
    <w:rsid w:val="00A04FC3"/>
    <w:rsid w:val="00A12E1D"/>
    <w:rsid w:val="00A22FB8"/>
    <w:rsid w:val="00A32C3B"/>
    <w:rsid w:val="00A34888"/>
    <w:rsid w:val="00A35BEA"/>
    <w:rsid w:val="00A3670E"/>
    <w:rsid w:val="00A368A3"/>
    <w:rsid w:val="00A400FF"/>
    <w:rsid w:val="00A407D0"/>
    <w:rsid w:val="00A40F6B"/>
    <w:rsid w:val="00A41F80"/>
    <w:rsid w:val="00A44F18"/>
    <w:rsid w:val="00A45F4F"/>
    <w:rsid w:val="00A46D78"/>
    <w:rsid w:val="00A519D9"/>
    <w:rsid w:val="00A52C3D"/>
    <w:rsid w:val="00A534AB"/>
    <w:rsid w:val="00A56089"/>
    <w:rsid w:val="00A56850"/>
    <w:rsid w:val="00A600A9"/>
    <w:rsid w:val="00A62725"/>
    <w:rsid w:val="00A65A55"/>
    <w:rsid w:val="00A700D0"/>
    <w:rsid w:val="00A72AFA"/>
    <w:rsid w:val="00A81052"/>
    <w:rsid w:val="00A8194D"/>
    <w:rsid w:val="00A82599"/>
    <w:rsid w:val="00A84FE9"/>
    <w:rsid w:val="00A915FB"/>
    <w:rsid w:val="00A95411"/>
    <w:rsid w:val="00A95C5E"/>
    <w:rsid w:val="00AA3966"/>
    <w:rsid w:val="00AA55B7"/>
    <w:rsid w:val="00AA5B9E"/>
    <w:rsid w:val="00AA5DD5"/>
    <w:rsid w:val="00AA64F9"/>
    <w:rsid w:val="00AA7771"/>
    <w:rsid w:val="00AB2407"/>
    <w:rsid w:val="00AB3D39"/>
    <w:rsid w:val="00AB53DF"/>
    <w:rsid w:val="00AB5E02"/>
    <w:rsid w:val="00AC6834"/>
    <w:rsid w:val="00AC6B16"/>
    <w:rsid w:val="00AD0477"/>
    <w:rsid w:val="00AD15B7"/>
    <w:rsid w:val="00AD2935"/>
    <w:rsid w:val="00AE1449"/>
    <w:rsid w:val="00AE21DD"/>
    <w:rsid w:val="00AE72CD"/>
    <w:rsid w:val="00AE747E"/>
    <w:rsid w:val="00AE77C1"/>
    <w:rsid w:val="00AF1CBD"/>
    <w:rsid w:val="00AF6498"/>
    <w:rsid w:val="00B01BDB"/>
    <w:rsid w:val="00B01E6E"/>
    <w:rsid w:val="00B02451"/>
    <w:rsid w:val="00B042CB"/>
    <w:rsid w:val="00B06663"/>
    <w:rsid w:val="00B07E5C"/>
    <w:rsid w:val="00B1160E"/>
    <w:rsid w:val="00B11995"/>
    <w:rsid w:val="00B13A68"/>
    <w:rsid w:val="00B215A9"/>
    <w:rsid w:val="00B22669"/>
    <w:rsid w:val="00B3053B"/>
    <w:rsid w:val="00B32DB0"/>
    <w:rsid w:val="00B33D80"/>
    <w:rsid w:val="00B37505"/>
    <w:rsid w:val="00B4136E"/>
    <w:rsid w:val="00B427A3"/>
    <w:rsid w:val="00B50A95"/>
    <w:rsid w:val="00B52478"/>
    <w:rsid w:val="00B541ED"/>
    <w:rsid w:val="00B67651"/>
    <w:rsid w:val="00B748C5"/>
    <w:rsid w:val="00B74BA3"/>
    <w:rsid w:val="00B811F7"/>
    <w:rsid w:val="00B9283D"/>
    <w:rsid w:val="00B92B00"/>
    <w:rsid w:val="00B9366B"/>
    <w:rsid w:val="00B944E1"/>
    <w:rsid w:val="00BA0B52"/>
    <w:rsid w:val="00BA200B"/>
    <w:rsid w:val="00BA2579"/>
    <w:rsid w:val="00BA2CA8"/>
    <w:rsid w:val="00BA5B3C"/>
    <w:rsid w:val="00BA5DC6"/>
    <w:rsid w:val="00BA6196"/>
    <w:rsid w:val="00BB1148"/>
    <w:rsid w:val="00BB3E9D"/>
    <w:rsid w:val="00BB4CA3"/>
    <w:rsid w:val="00BB6F02"/>
    <w:rsid w:val="00BC5CF0"/>
    <w:rsid w:val="00BC6D8C"/>
    <w:rsid w:val="00BD0D2E"/>
    <w:rsid w:val="00BE1D61"/>
    <w:rsid w:val="00BE3AC6"/>
    <w:rsid w:val="00BE4958"/>
    <w:rsid w:val="00BE4973"/>
    <w:rsid w:val="00BE5166"/>
    <w:rsid w:val="00BE7BA9"/>
    <w:rsid w:val="00BF1D01"/>
    <w:rsid w:val="00BF3F7E"/>
    <w:rsid w:val="00C05A10"/>
    <w:rsid w:val="00C06D98"/>
    <w:rsid w:val="00C06E1A"/>
    <w:rsid w:val="00C138D5"/>
    <w:rsid w:val="00C1553D"/>
    <w:rsid w:val="00C218C0"/>
    <w:rsid w:val="00C24825"/>
    <w:rsid w:val="00C34006"/>
    <w:rsid w:val="00C34C0E"/>
    <w:rsid w:val="00C426B1"/>
    <w:rsid w:val="00C45957"/>
    <w:rsid w:val="00C45E47"/>
    <w:rsid w:val="00C52495"/>
    <w:rsid w:val="00C527EB"/>
    <w:rsid w:val="00C54D21"/>
    <w:rsid w:val="00C642F9"/>
    <w:rsid w:val="00C6540D"/>
    <w:rsid w:val="00C6576D"/>
    <w:rsid w:val="00C66160"/>
    <w:rsid w:val="00C721AC"/>
    <w:rsid w:val="00C727B3"/>
    <w:rsid w:val="00C72CD0"/>
    <w:rsid w:val="00C74355"/>
    <w:rsid w:val="00C76E86"/>
    <w:rsid w:val="00C80011"/>
    <w:rsid w:val="00C86092"/>
    <w:rsid w:val="00C86199"/>
    <w:rsid w:val="00C90D6A"/>
    <w:rsid w:val="00C930E6"/>
    <w:rsid w:val="00C931B9"/>
    <w:rsid w:val="00C93CA7"/>
    <w:rsid w:val="00C960CA"/>
    <w:rsid w:val="00C96AB1"/>
    <w:rsid w:val="00CA026C"/>
    <w:rsid w:val="00CA247E"/>
    <w:rsid w:val="00CA56CB"/>
    <w:rsid w:val="00CA7817"/>
    <w:rsid w:val="00CA7889"/>
    <w:rsid w:val="00CB57BF"/>
    <w:rsid w:val="00CC0026"/>
    <w:rsid w:val="00CC1B68"/>
    <w:rsid w:val="00CC31EB"/>
    <w:rsid w:val="00CC4582"/>
    <w:rsid w:val="00CC63AA"/>
    <w:rsid w:val="00CC72B6"/>
    <w:rsid w:val="00CC7971"/>
    <w:rsid w:val="00CE013E"/>
    <w:rsid w:val="00CE0E1F"/>
    <w:rsid w:val="00CE6DD0"/>
    <w:rsid w:val="00CE7F38"/>
    <w:rsid w:val="00CF0596"/>
    <w:rsid w:val="00CF208F"/>
    <w:rsid w:val="00CF52CD"/>
    <w:rsid w:val="00D002C2"/>
    <w:rsid w:val="00D01F8B"/>
    <w:rsid w:val="00D0218D"/>
    <w:rsid w:val="00D030F9"/>
    <w:rsid w:val="00D05B43"/>
    <w:rsid w:val="00D14CD7"/>
    <w:rsid w:val="00D17081"/>
    <w:rsid w:val="00D21D09"/>
    <w:rsid w:val="00D2523D"/>
    <w:rsid w:val="00D25CA6"/>
    <w:rsid w:val="00D25FB5"/>
    <w:rsid w:val="00D269CA"/>
    <w:rsid w:val="00D3706A"/>
    <w:rsid w:val="00D37D8A"/>
    <w:rsid w:val="00D4030F"/>
    <w:rsid w:val="00D40E6A"/>
    <w:rsid w:val="00D42511"/>
    <w:rsid w:val="00D44223"/>
    <w:rsid w:val="00D44969"/>
    <w:rsid w:val="00D45C55"/>
    <w:rsid w:val="00D45D5B"/>
    <w:rsid w:val="00D51AD7"/>
    <w:rsid w:val="00D603AD"/>
    <w:rsid w:val="00D616B8"/>
    <w:rsid w:val="00D63EA0"/>
    <w:rsid w:val="00D70057"/>
    <w:rsid w:val="00D70937"/>
    <w:rsid w:val="00D75ED7"/>
    <w:rsid w:val="00D80A02"/>
    <w:rsid w:val="00D85B37"/>
    <w:rsid w:val="00D87396"/>
    <w:rsid w:val="00D93A1D"/>
    <w:rsid w:val="00D93EDF"/>
    <w:rsid w:val="00DA0F22"/>
    <w:rsid w:val="00DA1257"/>
    <w:rsid w:val="00DA2529"/>
    <w:rsid w:val="00DA744C"/>
    <w:rsid w:val="00DB130A"/>
    <w:rsid w:val="00DB2EBB"/>
    <w:rsid w:val="00DB7CB6"/>
    <w:rsid w:val="00DC10A1"/>
    <w:rsid w:val="00DC3C63"/>
    <w:rsid w:val="00DC4E06"/>
    <w:rsid w:val="00DC655F"/>
    <w:rsid w:val="00DC65C5"/>
    <w:rsid w:val="00DD0984"/>
    <w:rsid w:val="00DD0B59"/>
    <w:rsid w:val="00DD0F8B"/>
    <w:rsid w:val="00DD1AB3"/>
    <w:rsid w:val="00DD1E40"/>
    <w:rsid w:val="00DD7EBD"/>
    <w:rsid w:val="00DE0096"/>
    <w:rsid w:val="00DE22F8"/>
    <w:rsid w:val="00DE2C6C"/>
    <w:rsid w:val="00DE3CB6"/>
    <w:rsid w:val="00DE4967"/>
    <w:rsid w:val="00DF0ED0"/>
    <w:rsid w:val="00DF1CED"/>
    <w:rsid w:val="00DF1F62"/>
    <w:rsid w:val="00DF1F96"/>
    <w:rsid w:val="00DF62B6"/>
    <w:rsid w:val="00E07225"/>
    <w:rsid w:val="00E205F7"/>
    <w:rsid w:val="00E20AB1"/>
    <w:rsid w:val="00E2433C"/>
    <w:rsid w:val="00E245F0"/>
    <w:rsid w:val="00E2579E"/>
    <w:rsid w:val="00E25AA1"/>
    <w:rsid w:val="00E4036A"/>
    <w:rsid w:val="00E41D59"/>
    <w:rsid w:val="00E421C0"/>
    <w:rsid w:val="00E42295"/>
    <w:rsid w:val="00E43C71"/>
    <w:rsid w:val="00E440B1"/>
    <w:rsid w:val="00E50FE5"/>
    <w:rsid w:val="00E50FFD"/>
    <w:rsid w:val="00E53361"/>
    <w:rsid w:val="00E5409F"/>
    <w:rsid w:val="00E55A6B"/>
    <w:rsid w:val="00E57F46"/>
    <w:rsid w:val="00E60BC3"/>
    <w:rsid w:val="00E63414"/>
    <w:rsid w:val="00E63708"/>
    <w:rsid w:val="00E63CA6"/>
    <w:rsid w:val="00E67711"/>
    <w:rsid w:val="00E70AA6"/>
    <w:rsid w:val="00E74F04"/>
    <w:rsid w:val="00E76E83"/>
    <w:rsid w:val="00E868D3"/>
    <w:rsid w:val="00E91218"/>
    <w:rsid w:val="00E91432"/>
    <w:rsid w:val="00E92905"/>
    <w:rsid w:val="00E9409C"/>
    <w:rsid w:val="00E95C81"/>
    <w:rsid w:val="00E9763A"/>
    <w:rsid w:val="00EA08DF"/>
    <w:rsid w:val="00EA0DE0"/>
    <w:rsid w:val="00EA269E"/>
    <w:rsid w:val="00EA71F1"/>
    <w:rsid w:val="00EB23AD"/>
    <w:rsid w:val="00EB2911"/>
    <w:rsid w:val="00EB3750"/>
    <w:rsid w:val="00EB7377"/>
    <w:rsid w:val="00EB7D57"/>
    <w:rsid w:val="00EC3368"/>
    <w:rsid w:val="00EC3A7A"/>
    <w:rsid w:val="00ED1333"/>
    <w:rsid w:val="00ED17AB"/>
    <w:rsid w:val="00ED4015"/>
    <w:rsid w:val="00ED6E81"/>
    <w:rsid w:val="00EE1E42"/>
    <w:rsid w:val="00EE332D"/>
    <w:rsid w:val="00EE337C"/>
    <w:rsid w:val="00EE498E"/>
    <w:rsid w:val="00EE5E0A"/>
    <w:rsid w:val="00EE6488"/>
    <w:rsid w:val="00EE7BED"/>
    <w:rsid w:val="00EF1DA0"/>
    <w:rsid w:val="00EF6B5B"/>
    <w:rsid w:val="00EF7C7C"/>
    <w:rsid w:val="00F006BC"/>
    <w:rsid w:val="00F00935"/>
    <w:rsid w:val="00F01FDF"/>
    <w:rsid w:val="00F021FA"/>
    <w:rsid w:val="00F0330A"/>
    <w:rsid w:val="00F04D7D"/>
    <w:rsid w:val="00F05583"/>
    <w:rsid w:val="00F10291"/>
    <w:rsid w:val="00F110E3"/>
    <w:rsid w:val="00F16751"/>
    <w:rsid w:val="00F16EFD"/>
    <w:rsid w:val="00F22757"/>
    <w:rsid w:val="00F256FC"/>
    <w:rsid w:val="00F26F71"/>
    <w:rsid w:val="00F319B4"/>
    <w:rsid w:val="00F32662"/>
    <w:rsid w:val="00F344A7"/>
    <w:rsid w:val="00F37340"/>
    <w:rsid w:val="00F42AE4"/>
    <w:rsid w:val="00F43FD6"/>
    <w:rsid w:val="00F44D60"/>
    <w:rsid w:val="00F45E73"/>
    <w:rsid w:val="00F47265"/>
    <w:rsid w:val="00F47943"/>
    <w:rsid w:val="00F54CD4"/>
    <w:rsid w:val="00F62E97"/>
    <w:rsid w:val="00F64209"/>
    <w:rsid w:val="00F65073"/>
    <w:rsid w:val="00F654AA"/>
    <w:rsid w:val="00F65548"/>
    <w:rsid w:val="00F66010"/>
    <w:rsid w:val="00F66A18"/>
    <w:rsid w:val="00F72CDD"/>
    <w:rsid w:val="00F809A6"/>
    <w:rsid w:val="00F817AF"/>
    <w:rsid w:val="00F81ADC"/>
    <w:rsid w:val="00F83634"/>
    <w:rsid w:val="00F8364D"/>
    <w:rsid w:val="00F86021"/>
    <w:rsid w:val="00F86637"/>
    <w:rsid w:val="00F90949"/>
    <w:rsid w:val="00F914C1"/>
    <w:rsid w:val="00F93BF5"/>
    <w:rsid w:val="00F94B38"/>
    <w:rsid w:val="00F970CE"/>
    <w:rsid w:val="00FA018B"/>
    <w:rsid w:val="00FA453D"/>
    <w:rsid w:val="00FB68EF"/>
    <w:rsid w:val="00FC21B7"/>
    <w:rsid w:val="00FC3035"/>
    <w:rsid w:val="00FC57C2"/>
    <w:rsid w:val="00FC66F5"/>
    <w:rsid w:val="00FC6896"/>
    <w:rsid w:val="00FC6FBC"/>
    <w:rsid w:val="00FD1ECE"/>
    <w:rsid w:val="00FD35C3"/>
    <w:rsid w:val="00FD3628"/>
    <w:rsid w:val="00FD4A6D"/>
    <w:rsid w:val="00FE212E"/>
    <w:rsid w:val="00FE3F22"/>
    <w:rsid w:val="00FF0657"/>
    <w:rsid w:val="00FF2A0B"/>
    <w:rsid w:val="00FF354D"/>
    <w:rsid w:val="00FF4664"/>
    <w:rsid w:val="00FF47B8"/>
    <w:rsid w:val="00FF7C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BC5CF0"/>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 Char"/>
    <w:basedOn w:val="DefaultParagraphFont"/>
    <w:link w:val="FootnoteText"/>
    <w:rsid w:val="00A40F6B"/>
  </w:style>
  <w:style w:type="character" w:customStyle="1" w:styleId="HeaderChar">
    <w:name w:val="Header Char"/>
    <w:basedOn w:val="DefaultParagraphFont"/>
    <w:link w:val="Header"/>
    <w:uiPriority w:val="99"/>
    <w:rsid w:val="00BC5CF0"/>
    <w:rPr>
      <w:b/>
      <w:snapToGrid w:val="0"/>
      <w:kern w:val="28"/>
      <w:sz w:val="22"/>
    </w:rPr>
  </w:style>
  <w:style w:type="character" w:styleId="CommentReference">
    <w:name w:val="annotation reference"/>
    <w:basedOn w:val="DefaultParagraphFont"/>
    <w:rsid w:val="00EA0DE0"/>
    <w:rPr>
      <w:sz w:val="16"/>
      <w:szCs w:val="16"/>
    </w:rPr>
  </w:style>
  <w:style w:type="paragraph" w:styleId="CommentText">
    <w:name w:val="annotation text"/>
    <w:basedOn w:val="Normal"/>
    <w:link w:val="CommentTextChar"/>
    <w:rsid w:val="00EA0DE0"/>
    <w:rPr>
      <w:sz w:val="20"/>
    </w:rPr>
  </w:style>
  <w:style w:type="character" w:customStyle="1" w:styleId="CommentTextChar">
    <w:name w:val="Comment Text Char"/>
    <w:basedOn w:val="DefaultParagraphFont"/>
    <w:link w:val="CommentText"/>
    <w:rsid w:val="00EA0DE0"/>
    <w:rPr>
      <w:snapToGrid w:val="0"/>
      <w:kern w:val="28"/>
    </w:rPr>
  </w:style>
  <w:style w:type="paragraph" w:styleId="CommentSubject">
    <w:name w:val="annotation subject"/>
    <w:basedOn w:val="CommentText"/>
    <w:next w:val="CommentText"/>
    <w:link w:val="CommentSubjectChar"/>
    <w:rsid w:val="00EA0DE0"/>
    <w:rPr>
      <w:b/>
      <w:bCs/>
    </w:rPr>
  </w:style>
  <w:style w:type="character" w:customStyle="1" w:styleId="CommentSubjectChar">
    <w:name w:val="Comment Subject Char"/>
    <w:basedOn w:val="CommentTextChar"/>
    <w:link w:val="CommentSubject"/>
    <w:rsid w:val="00EA0DE0"/>
    <w:rPr>
      <w:b/>
      <w:bCs/>
      <w:snapToGrid w:val="0"/>
      <w:kern w:val="28"/>
    </w:rPr>
  </w:style>
  <w:style w:type="paragraph" w:styleId="BalloonText">
    <w:name w:val="Balloon Text"/>
    <w:basedOn w:val="Normal"/>
    <w:link w:val="BalloonTextChar"/>
    <w:rsid w:val="00EA0DE0"/>
    <w:rPr>
      <w:rFonts w:ascii="Segoe UI" w:hAnsi="Segoe UI" w:cs="Segoe UI"/>
      <w:sz w:val="18"/>
      <w:szCs w:val="18"/>
    </w:rPr>
  </w:style>
  <w:style w:type="character" w:customStyle="1" w:styleId="BalloonTextChar">
    <w:name w:val="Balloon Text Char"/>
    <w:basedOn w:val="DefaultParagraphFont"/>
    <w:link w:val="BalloonText"/>
    <w:rsid w:val="00EA0DE0"/>
    <w:rPr>
      <w:rFonts w:ascii="Segoe UI" w:hAnsi="Segoe UI" w:cs="Segoe UI"/>
      <w:snapToGrid w:val="0"/>
      <w:kern w:val="28"/>
      <w:sz w:val="18"/>
      <w:szCs w:val="18"/>
    </w:rPr>
  </w:style>
  <w:style w:type="character" w:customStyle="1" w:styleId="ParaNumChar">
    <w:name w:val="ParaNum Char"/>
    <w:link w:val="ParaNum"/>
    <w:rsid w:val="00732D51"/>
    <w:rPr>
      <w:snapToGrid w:val="0"/>
      <w:kern w:val="28"/>
      <w:sz w:val="22"/>
    </w:rPr>
  </w:style>
  <w:style w:type="paragraph" w:styleId="Revision">
    <w:name w:val="Revision"/>
    <w:hidden/>
    <w:uiPriority w:val="99"/>
    <w:semiHidden/>
    <w:rsid w:val="00E63CA6"/>
    <w:rPr>
      <w:snapToGrid w:val="0"/>
      <w:kern w:val="28"/>
      <w:sz w:val="22"/>
    </w:rPr>
  </w:style>
  <w:style w:type="paragraph" w:styleId="ListParagraph">
    <w:name w:val="List Paragraph"/>
    <w:basedOn w:val="Normal"/>
    <w:uiPriority w:val="34"/>
    <w:qFormat/>
    <w:rsid w:val="003A7CE5"/>
    <w:pPr>
      <w:ind w:left="720"/>
      <w:contextualSpacing/>
    </w:pPr>
  </w:style>
  <w:style w:type="paragraph" w:styleId="NormalWeb">
    <w:name w:val="Normal (Web)"/>
    <w:basedOn w:val="Normal"/>
    <w:rsid w:val="003D38C1"/>
    <w:rPr>
      <w:sz w:val="24"/>
      <w:szCs w:val="24"/>
    </w:rPr>
  </w:style>
  <w:style w:type="paragraph" w:styleId="BodyText">
    <w:name w:val="Body Text"/>
    <w:basedOn w:val="Normal"/>
    <w:link w:val="BodyTextChar"/>
    <w:semiHidden/>
    <w:unhideWhenUsed/>
    <w:rsid w:val="00FD3628"/>
    <w:pPr>
      <w:spacing w:after="120"/>
    </w:pPr>
  </w:style>
  <w:style w:type="character" w:customStyle="1" w:styleId="BodyTextChar">
    <w:name w:val="Body Text Char"/>
    <w:basedOn w:val="DefaultParagraphFont"/>
    <w:link w:val="BodyText"/>
    <w:semiHidden/>
    <w:rsid w:val="00FD3628"/>
    <w:rPr>
      <w:snapToGrid w:val="0"/>
      <w:kern w:val="28"/>
      <w:sz w:val="22"/>
    </w:rPr>
  </w:style>
  <w:style w:type="character" w:customStyle="1" w:styleId="UnresolvedMention">
    <w:name w:val="Unresolved Mention"/>
    <w:basedOn w:val="DefaultParagraphFont"/>
    <w:uiPriority w:val="99"/>
    <w:semiHidden/>
    <w:unhideWhenUsed/>
    <w:rsid w:val="00896A76"/>
    <w:rPr>
      <w:color w:val="808080"/>
      <w:shd w:val="clear" w:color="auto" w:fill="E6E6E6"/>
    </w:rPr>
  </w:style>
  <w:style w:type="character" w:styleId="FollowedHyperlink">
    <w:name w:val="FollowedHyperlink"/>
    <w:basedOn w:val="DefaultParagraphFont"/>
    <w:semiHidden/>
    <w:unhideWhenUsed/>
    <w:rsid w:val="007D1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87F5-667A-43E6-9291-DEA4366E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2018-03-09T15:20:58Z</dcterms:created>
  <dcterms:modified xsi:type="dcterms:W3CDTF">2018-03-09T15:20:58Z</dcterms:modified>
</cp:coreProperties>
</file>