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526BB" w:rsidP="00FA1648">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1A2C3B">
        <w:rPr>
          <w:b/>
          <w:szCs w:val="22"/>
        </w:rPr>
        <w:t>8</w:t>
      </w:r>
      <w:r>
        <w:rPr>
          <w:b/>
          <w:szCs w:val="22"/>
        </w:rPr>
        <w:t>-</w:t>
      </w:r>
      <w:r w:rsidR="00CF0B4D">
        <w:rPr>
          <w:b/>
          <w:szCs w:val="22"/>
        </w:rPr>
        <w:t>255</w:t>
      </w:r>
    </w:p>
    <w:p w:rsidR="001526BB" w:rsidP="001526BB">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Released: </w:t>
      </w:r>
      <w:r w:rsidR="00D278D2">
        <w:rPr>
          <w:b/>
          <w:szCs w:val="22"/>
        </w:rPr>
        <w:t xml:space="preserve"> </w:t>
      </w:r>
      <w:r w:rsidR="001A2C3B">
        <w:rPr>
          <w:b/>
          <w:szCs w:val="22"/>
        </w:rPr>
        <w:t>March 14, 2018</w:t>
      </w:r>
    </w:p>
    <w:p w:rsidR="001526BB" w:rsidP="001526BB">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1526BB" w:rsidRPr="000A7FAE" w:rsidP="001526B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APPLICATION </w:t>
      </w:r>
      <w:r>
        <w:rPr>
          <w:b/>
          <w:caps/>
          <w:kern w:val="0"/>
          <w:szCs w:val="22"/>
        </w:rPr>
        <w:t xml:space="preserve">OF </w:t>
      </w:r>
      <w:r w:rsidR="001A2C3B">
        <w:rPr>
          <w:b/>
          <w:caps/>
          <w:kern w:val="0"/>
          <w:szCs w:val="22"/>
        </w:rPr>
        <w:t>matanuska telephone association, inc.</w:t>
      </w:r>
      <w:r>
        <w:rPr>
          <w:b/>
          <w:caps/>
          <w:kern w:val="0"/>
          <w:szCs w:val="22"/>
        </w:rPr>
        <w:t xml:space="preserve"> to disCONTINUE DOMESTIC</w:t>
      </w:r>
      <w:r w:rsidR="001A2C3B">
        <w:rPr>
          <w:b/>
          <w:kern w:val="0"/>
          <w:szCs w:val="22"/>
        </w:rPr>
        <w:t xml:space="preserve"> NON-DOMINANT </w:t>
      </w:r>
      <w:r>
        <w:rPr>
          <w:b/>
          <w:kern w:val="0"/>
          <w:szCs w:val="22"/>
        </w:rPr>
        <w:t>TELECOMMUNICATIONS SE</w:t>
      </w:r>
      <w:r w:rsidR="00C65629">
        <w:rPr>
          <w:b/>
          <w:kern w:val="0"/>
          <w:szCs w:val="22"/>
        </w:rPr>
        <w:t>R</w:t>
      </w:r>
      <w:r>
        <w:rPr>
          <w:b/>
          <w:kern w:val="0"/>
          <w:szCs w:val="22"/>
        </w:rPr>
        <w:t xml:space="preserve">VICES </w:t>
      </w:r>
      <w:r w:rsidR="005C1C4A">
        <w:rPr>
          <w:b/>
          <w:kern w:val="0"/>
          <w:szCs w:val="22"/>
        </w:rPr>
        <w:t xml:space="preserve">IS </w:t>
      </w:r>
      <w:r>
        <w:rPr>
          <w:b/>
          <w:kern w:val="0"/>
          <w:szCs w:val="22"/>
        </w:rPr>
        <w:t>NOT AUTOMATICALLY GRANTED</w:t>
      </w:r>
    </w:p>
    <w:p w:rsidR="001526BB" w:rsidP="001526B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1526BB" w:rsidP="001526B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1A2C3B">
        <w:rPr>
          <w:b/>
          <w:kern w:val="0"/>
          <w:szCs w:val="22"/>
        </w:rPr>
        <w:t>7</w:t>
      </w:r>
      <w:r>
        <w:rPr>
          <w:b/>
          <w:kern w:val="0"/>
          <w:szCs w:val="22"/>
        </w:rPr>
        <w:t>-</w:t>
      </w:r>
      <w:r w:rsidR="001A2C3B">
        <w:rPr>
          <w:b/>
          <w:kern w:val="0"/>
          <w:szCs w:val="22"/>
        </w:rPr>
        <w:t>363</w:t>
      </w:r>
    </w:p>
    <w:p w:rsidR="001526BB" w:rsidP="001526B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1A2C3B">
        <w:rPr>
          <w:b/>
          <w:kern w:val="0"/>
          <w:szCs w:val="22"/>
        </w:rPr>
        <w:t>42</w:t>
      </w:r>
      <w:r>
        <w:rPr>
          <w:b/>
          <w:kern w:val="0"/>
          <w:szCs w:val="22"/>
        </w:rPr>
        <w:t>2</w:t>
      </w:r>
    </w:p>
    <w:p w:rsidR="001526BB" w:rsidP="001526B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044E88" w:rsidRPr="00A30A37" w:rsidP="008C688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Pr="005C1C4A">
        <w:rPr>
          <w:spacing w:val="-3"/>
          <w:szCs w:val="22"/>
        </w:rPr>
        <w:t xml:space="preserve">On </w:t>
      </w:r>
      <w:r w:rsidR="007A1D7C">
        <w:rPr>
          <w:spacing w:val="-3"/>
          <w:szCs w:val="22"/>
        </w:rPr>
        <w:t xml:space="preserve">December </w:t>
      </w:r>
      <w:r w:rsidRPr="00FA1648">
        <w:rPr>
          <w:spacing w:val="-3"/>
          <w:szCs w:val="22"/>
        </w:rPr>
        <w:t>1</w:t>
      </w:r>
      <w:r w:rsidR="007A1D7C">
        <w:rPr>
          <w:spacing w:val="-3"/>
          <w:szCs w:val="22"/>
        </w:rPr>
        <w:t>5</w:t>
      </w:r>
      <w:r w:rsidRPr="00FA1648">
        <w:rPr>
          <w:spacing w:val="-3"/>
          <w:szCs w:val="22"/>
        </w:rPr>
        <w:t>, 201</w:t>
      </w:r>
      <w:r w:rsidR="00351555">
        <w:rPr>
          <w:spacing w:val="-3"/>
          <w:szCs w:val="22"/>
        </w:rPr>
        <w:t>7</w:t>
      </w:r>
      <w:r w:rsidRPr="00FA1648">
        <w:rPr>
          <w:spacing w:val="-3"/>
          <w:szCs w:val="22"/>
        </w:rPr>
        <w:t xml:space="preserve">, </w:t>
      </w:r>
      <w:r w:rsidR="007A1D7C">
        <w:rPr>
          <w:spacing w:val="-3"/>
          <w:szCs w:val="22"/>
        </w:rPr>
        <w:t>Matanuska Telephone Association, Inc.</w:t>
      </w:r>
      <w:r w:rsidRPr="00FA1648">
        <w:rPr>
          <w:spacing w:val="-3"/>
          <w:szCs w:val="22"/>
        </w:rPr>
        <w:t xml:space="preserve"> </w:t>
      </w:r>
      <w:r w:rsidRPr="005C1C4A">
        <w:rPr>
          <w:spacing w:val="-3"/>
          <w:szCs w:val="22"/>
        </w:rPr>
        <w:t>(</w:t>
      </w:r>
      <w:r w:rsidR="007A1D7C">
        <w:rPr>
          <w:spacing w:val="-3"/>
          <w:szCs w:val="22"/>
        </w:rPr>
        <w:t>MTA</w:t>
      </w:r>
      <w:r w:rsidRPr="005C20A4">
        <w:rPr>
          <w:spacing w:val="-3"/>
          <w:szCs w:val="22"/>
        </w:rPr>
        <w:t xml:space="preserve"> or Applicant)</w:t>
      </w:r>
      <w:r w:rsidRPr="00422B70">
        <w:rPr>
          <w:spacing w:val="-3"/>
          <w:szCs w:val="22"/>
        </w:rPr>
        <w:t xml:space="preserve"> filed</w:t>
      </w:r>
      <w:r w:rsidRPr="005C20A4">
        <w:rPr>
          <w:spacing w:val="-3"/>
          <w:szCs w:val="22"/>
        </w:rPr>
        <w:t xml:space="preserve"> an application with the Federal Communications Commission requesting authority, under section 214 of the Communications Act of 1934, as amended, 47 U.S.C. § 214, and section 63.71 of the Commission’s rules, 47 C.F.R. § 63.71, to </w:t>
      </w:r>
      <w:r w:rsidR="00610FE7">
        <w:rPr>
          <w:spacing w:val="-3"/>
          <w:szCs w:val="22"/>
        </w:rPr>
        <w:t xml:space="preserve">discontinue </w:t>
      </w:r>
      <w:r w:rsidRPr="00610FE7" w:rsidR="00610FE7">
        <w:rPr>
          <w:spacing w:val="-3"/>
          <w:szCs w:val="22"/>
        </w:rPr>
        <w:t xml:space="preserve">Basic Exchange Telecommunications Radio Service to 215 customers in </w:t>
      </w:r>
      <w:r w:rsidR="00610FE7">
        <w:rPr>
          <w:spacing w:val="-3"/>
          <w:szCs w:val="22"/>
        </w:rPr>
        <w:t xml:space="preserve">a remote area of </w:t>
      </w:r>
      <w:r w:rsidRPr="00610FE7" w:rsidR="00610FE7">
        <w:rPr>
          <w:spacing w:val="-3"/>
          <w:szCs w:val="22"/>
        </w:rPr>
        <w:t>Alask</w:t>
      </w:r>
      <w:r w:rsidR="00610FE7">
        <w:rPr>
          <w:spacing w:val="-3"/>
          <w:szCs w:val="22"/>
        </w:rPr>
        <w:t>a, the Denali and Matanuska Susitna Boroughs</w:t>
      </w:r>
      <w:r w:rsidR="00AF14DE">
        <w:rPr>
          <w:spacing w:val="-3"/>
          <w:szCs w:val="22"/>
        </w:rPr>
        <w:t>.</w:t>
      </w:r>
      <w:r>
        <w:rPr>
          <w:rStyle w:val="FootnoteReference"/>
          <w:szCs w:val="22"/>
        </w:rPr>
        <w:footnoteReference w:id="2"/>
      </w:r>
      <w:r w:rsidR="00AF14DE">
        <w:rPr>
          <w:szCs w:val="22"/>
        </w:rPr>
        <w:t xml:space="preserve">  </w:t>
      </w:r>
      <w:r w:rsidR="00BD27C6">
        <w:rPr>
          <w:szCs w:val="22"/>
        </w:rPr>
        <w:t xml:space="preserve">The Commission received </w:t>
      </w:r>
      <w:r w:rsidR="00610FE7">
        <w:rPr>
          <w:szCs w:val="22"/>
        </w:rPr>
        <w:t>ten</w:t>
      </w:r>
      <w:r w:rsidR="00BD27C6">
        <w:rPr>
          <w:szCs w:val="22"/>
        </w:rPr>
        <w:t xml:space="preserve"> comments </w:t>
      </w:r>
      <w:r w:rsidR="00610FE7">
        <w:rPr>
          <w:szCs w:val="22"/>
        </w:rPr>
        <w:t>and one informal complaint in response</w:t>
      </w:r>
      <w:r w:rsidR="00BD27C6">
        <w:rPr>
          <w:szCs w:val="22"/>
        </w:rPr>
        <w:t xml:space="preserve"> to </w:t>
      </w:r>
      <w:r w:rsidR="00610FE7">
        <w:rPr>
          <w:szCs w:val="22"/>
        </w:rPr>
        <w:t>MTA’s</w:t>
      </w:r>
      <w:r w:rsidR="00BD27C6">
        <w:rPr>
          <w:szCs w:val="22"/>
        </w:rPr>
        <w:t xml:space="preserve"> proposed discontinuance</w:t>
      </w:r>
      <w:r w:rsidR="008C6886">
        <w:rPr>
          <w:szCs w:val="22"/>
        </w:rPr>
        <w:t xml:space="preserve"> and requires additional time to consider them.</w:t>
      </w:r>
      <w:r>
        <w:rPr>
          <w:rStyle w:val="FootnoteReference"/>
          <w:szCs w:val="22"/>
        </w:rPr>
        <w:footnoteReference w:id="3"/>
      </w:r>
      <w:r w:rsidR="008C6886">
        <w:rPr>
          <w:szCs w:val="22"/>
        </w:rPr>
        <w:t xml:space="preserve">  Accordingly, </w:t>
      </w:r>
      <w:r w:rsidR="00AF14DE">
        <w:rPr>
          <w:szCs w:val="22"/>
        </w:rPr>
        <w:t xml:space="preserve">the </w:t>
      </w:r>
      <w:r w:rsidR="003B6780">
        <w:rPr>
          <w:szCs w:val="22"/>
        </w:rPr>
        <w:t>A</w:t>
      </w:r>
      <w:r w:rsidR="003B75AC">
        <w:rPr>
          <w:szCs w:val="22"/>
        </w:rPr>
        <w:t>pplication will not be automatically granted</w:t>
      </w:r>
      <w:r w:rsidR="00BD27C6">
        <w:rPr>
          <w:szCs w:val="22"/>
        </w:rPr>
        <w:t>.</w:t>
      </w:r>
      <w:r>
        <w:rPr>
          <w:rStyle w:val="FootnoteReference"/>
          <w:szCs w:val="22"/>
        </w:rPr>
        <w:footnoteReference w:id="4"/>
      </w:r>
      <w:r w:rsidR="008C6886">
        <w:rPr>
          <w:szCs w:val="22"/>
        </w:rPr>
        <w:t xml:space="preserve">  We emphasize that our removal of </w:t>
      </w:r>
      <w:r w:rsidR="001E2F9B">
        <w:rPr>
          <w:szCs w:val="22"/>
        </w:rPr>
        <w:t>MTA</w:t>
      </w:r>
      <w:r w:rsidR="008C6886">
        <w:rPr>
          <w:szCs w:val="22"/>
        </w:rPr>
        <w:t xml:space="preserve">’s application from the automatic grant process should not be construed as a final determination on the merits of </w:t>
      </w:r>
      <w:r w:rsidR="001E2F9B">
        <w:rPr>
          <w:szCs w:val="22"/>
        </w:rPr>
        <w:t>MTA</w:t>
      </w:r>
      <w:r w:rsidR="008C6886">
        <w:rPr>
          <w:szCs w:val="22"/>
        </w:rPr>
        <w:t>’s request for authority to discontinue service.</w:t>
      </w:r>
    </w:p>
    <w:p w:rsidR="001526BB" w:rsidP="001526B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 </w:t>
      </w:r>
    </w:p>
    <w:p w:rsidR="001526BB" w:rsidRPr="003B75AC" w:rsidP="001526B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For further information, contact </w:t>
      </w:r>
      <w:r w:rsidR="00D35AC5">
        <w:rPr>
          <w:szCs w:val="22"/>
        </w:rPr>
        <w:t xml:space="preserve">Kimberly Jackson, (202) 418-7393 (voice), </w:t>
      </w:r>
      <w:r w:rsidR="00D35AC5">
        <w:rPr>
          <w:color w:val="000000"/>
          <w:u w:val="single"/>
        </w:rPr>
        <w:t>Kimberly.Jackson@fcc.gov</w:t>
      </w:r>
      <w:r w:rsidR="00D35AC5">
        <w:rPr>
          <w:color w:val="000000"/>
        </w:rPr>
        <w:t>,</w:t>
      </w:r>
      <w:r w:rsidR="00D35AC5">
        <w:rPr>
          <w:szCs w:val="22"/>
        </w:rPr>
        <w:t xml:space="preserve"> or </w:t>
      </w:r>
      <w:r>
        <w:rPr>
          <w:szCs w:val="22"/>
        </w:rPr>
        <w:t xml:space="preserve">Carmell Weathers, (202) 418-2325 (voice), </w:t>
      </w:r>
      <w:r>
        <w:rPr>
          <w:szCs w:val="22"/>
          <w:u w:val="single"/>
        </w:rPr>
        <w:t>Carmell.Weathers@fcc.gov</w:t>
      </w:r>
      <w:r>
        <w:rPr>
          <w:szCs w:val="22"/>
        </w:rPr>
        <w:t>, of the Competition Policy Division,</w:t>
      </w:r>
      <w:r w:rsidR="00F15F82">
        <w:rPr>
          <w:szCs w:val="22"/>
        </w:rPr>
        <w:t xml:space="preserve"> Wireline Competition Bureau.  </w:t>
      </w:r>
      <w:r w:rsidRPr="00665F81" w:rsidR="00F15F82">
        <w:rPr>
          <w:szCs w:val="22"/>
        </w:rPr>
        <w:t xml:space="preserve">The tty number is </w:t>
      </w:r>
      <w:r w:rsidR="00F15F82">
        <w:rPr>
          <w:szCs w:val="22"/>
        </w:rPr>
        <w:t>(888) 835-5322</w:t>
      </w:r>
      <w:r w:rsidRPr="00665F81" w:rsidR="00F15F82">
        <w:rPr>
          <w:szCs w:val="22"/>
        </w:rPr>
        <w:t xml:space="preserve">.  For further information on procedures regarding section 214 </w:t>
      </w:r>
      <w:r w:rsidR="003B6780">
        <w:rPr>
          <w:szCs w:val="22"/>
        </w:rPr>
        <w:t xml:space="preserve">applications, </w:t>
      </w:r>
      <w:r w:rsidRPr="00665F81" w:rsidR="00F15F82">
        <w:rPr>
          <w:szCs w:val="22"/>
        </w:rPr>
        <w:t xml:space="preserve">please visit </w:t>
      </w:r>
      <w:r>
        <w:fldChar w:fldCharType="begin"/>
      </w:r>
      <w:r>
        <w:instrText xml:space="preserve"> HYPERLINK "https://www.fcc.gov/encyclopedia/domestic-section-214-discontinuance-service" </w:instrText>
      </w:r>
      <w:r>
        <w:fldChar w:fldCharType="separate"/>
      </w:r>
      <w:r w:rsidRPr="0034665D" w:rsidR="00F15F82">
        <w:rPr>
          <w:rStyle w:val="Hyperlink"/>
          <w:szCs w:val="22"/>
        </w:rPr>
        <w:t>https://www.fcc.gov/encyclopedia/domestic-section-214-discontinuance-service</w:t>
      </w:r>
      <w:r>
        <w:fldChar w:fldCharType="end"/>
      </w:r>
      <w:r w:rsidR="00F15F82">
        <w:rPr>
          <w:szCs w:val="22"/>
        </w:rPr>
        <w:t>.</w:t>
      </w:r>
    </w:p>
    <w:p w:rsidR="001526BB" w:rsidP="001526B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5D3B" w:rsidRPr="00FA1648" w:rsidP="0060040C">
      <w:pPr>
        <w:jc w:val="center"/>
        <w:rPr>
          <w:b/>
        </w:rPr>
      </w:pPr>
      <w:r w:rsidRPr="00FA1648">
        <w:rPr>
          <w:b/>
          <w:color w:val="000000"/>
          <w:szCs w:val="22"/>
        </w:rPr>
        <w:t>– FCC</w:t>
      </w:r>
      <w:r w:rsidRPr="005C1C4A">
        <w:rPr>
          <w:b/>
          <w:color w:val="000000"/>
          <w:szCs w:val="22"/>
        </w:rPr>
        <w:t xml:space="preserve"> </w:t>
      </w:r>
      <w:r w:rsidRPr="00FA1648">
        <w:rPr>
          <w:b/>
          <w:color w:val="000000"/>
          <w:szCs w:val="22"/>
        </w:rPr>
        <w:t>–</w:t>
      </w:r>
    </w:p>
    <w:sectPr w:rsidSect="00C2630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7AAF">
    <w:pPr>
      <w:pStyle w:val="Footer"/>
      <w:jc w:val="center"/>
    </w:pPr>
    <w:r>
      <w:rPr>
        <w:rStyle w:val="PageNumber"/>
      </w:rPr>
      <w:fldChar w:fldCharType="begin"/>
    </w:r>
    <w:r>
      <w:rPr>
        <w:rStyle w:val="PageNumber"/>
      </w:rPr>
      <w:instrText xml:space="preserve"> PAGE </w:instrText>
    </w:r>
    <w:r>
      <w:rPr>
        <w:rStyle w:val="PageNumber"/>
      </w:rPr>
      <w:fldChar w:fldCharType="separate"/>
    </w:r>
    <w:r w:rsidR="00610FE7">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418F">
      <w:r>
        <w:separator/>
      </w:r>
    </w:p>
  </w:footnote>
  <w:footnote w:type="continuationSeparator" w:id="1">
    <w:p w:rsidR="0018418F">
      <w:r>
        <w:continuationSeparator/>
      </w:r>
    </w:p>
  </w:footnote>
  <w:footnote w:id="2">
    <w:p w:rsidR="00AD53B5" w:rsidP="00A11FBF">
      <w:pPr>
        <w:pStyle w:val="FootnoteText"/>
        <w:spacing w:after="120"/>
      </w:pPr>
      <w:r>
        <w:rPr>
          <w:rStyle w:val="FootnoteReference"/>
        </w:rPr>
        <w:footnoteRef/>
      </w:r>
      <w:r>
        <w:t xml:space="preserve"> </w:t>
      </w:r>
      <w:r w:rsidRPr="00AD53B5">
        <w:rPr>
          <w:i/>
          <w:sz w:val="20"/>
        </w:rPr>
        <w:t>See</w:t>
      </w:r>
      <w:r w:rsidRPr="00AD53B5">
        <w:rPr>
          <w:sz w:val="20"/>
        </w:rPr>
        <w:t xml:space="preserve"> Section 63.71 Application of </w:t>
      </w:r>
      <w:r w:rsidR="00610FE7">
        <w:rPr>
          <w:sz w:val="20"/>
        </w:rPr>
        <w:t>Matanuska Telephone Association, Inc.</w:t>
      </w:r>
      <w:r w:rsidRPr="00AD53B5">
        <w:rPr>
          <w:sz w:val="20"/>
        </w:rPr>
        <w:t>, WC Docket No. 1</w:t>
      </w:r>
      <w:r w:rsidR="00610FE7">
        <w:rPr>
          <w:sz w:val="20"/>
        </w:rPr>
        <w:t>7</w:t>
      </w:r>
      <w:r w:rsidRPr="00AD53B5">
        <w:rPr>
          <w:sz w:val="20"/>
        </w:rPr>
        <w:t>-</w:t>
      </w:r>
      <w:r w:rsidR="00610FE7">
        <w:rPr>
          <w:sz w:val="20"/>
        </w:rPr>
        <w:t>363</w:t>
      </w:r>
      <w:r w:rsidRPr="00AD53B5">
        <w:rPr>
          <w:sz w:val="20"/>
        </w:rPr>
        <w:t xml:space="preserve"> (filed</w:t>
      </w:r>
      <w:r w:rsidR="00610FE7">
        <w:rPr>
          <w:sz w:val="20"/>
        </w:rPr>
        <w:t xml:space="preserve"> Dec.</w:t>
      </w:r>
      <w:r w:rsidRPr="00AD53B5">
        <w:rPr>
          <w:sz w:val="20"/>
        </w:rPr>
        <w:t>1</w:t>
      </w:r>
      <w:r w:rsidR="00610FE7">
        <w:rPr>
          <w:sz w:val="20"/>
        </w:rPr>
        <w:t>5</w:t>
      </w:r>
      <w:r w:rsidRPr="00AD53B5">
        <w:rPr>
          <w:sz w:val="20"/>
        </w:rPr>
        <w:t>, 201</w:t>
      </w:r>
      <w:r w:rsidR="004B4195">
        <w:rPr>
          <w:sz w:val="20"/>
        </w:rPr>
        <w:t>7</w:t>
      </w:r>
      <w:r w:rsidRPr="00AD53B5">
        <w:rPr>
          <w:sz w:val="20"/>
        </w:rPr>
        <w:t>) (Application</w:t>
      </w:r>
      <w:r w:rsidRPr="00A11FBF">
        <w:rPr>
          <w:sz w:val="20"/>
        </w:rPr>
        <w:t xml:space="preserve">). </w:t>
      </w:r>
    </w:p>
  </w:footnote>
  <w:footnote w:id="3">
    <w:p w:rsidR="008C6886" w:rsidRPr="00610FE7" w:rsidP="00FA1648">
      <w:pPr>
        <w:pStyle w:val="FootnoteText"/>
        <w:spacing w:after="120"/>
        <w:rPr>
          <w:i/>
        </w:rPr>
      </w:pPr>
      <w:r>
        <w:rPr>
          <w:rStyle w:val="FootnoteReference"/>
        </w:rPr>
        <w:footnoteRef/>
      </w:r>
      <w:r>
        <w:t xml:space="preserve"> </w:t>
      </w:r>
      <w:r w:rsidRPr="007937FD">
        <w:rPr>
          <w:i/>
          <w:sz w:val="20"/>
        </w:rPr>
        <w:t>See</w:t>
      </w:r>
      <w:r w:rsidR="00610FE7">
        <w:rPr>
          <w:i/>
          <w:sz w:val="20"/>
        </w:rPr>
        <w:t>,</w:t>
      </w:r>
      <w:r w:rsidRPr="00610FE7" w:rsidR="00610FE7">
        <w:t xml:space="preserve"> </w:t>
      </w:r>
      <w:r>
        <w:fldChar w:fldCharType="begin"/>
      </w:r>
      <w:r>
        <w:instrText xml:space="preserve"> HYPERLINK "https://www.fcc.gov/ecfs/search/filings?proceedings_name=17-363&amp;sort=date_disseminated,DESC" </w:instrText>
      </w:r>
      <w:r>
        <w:fldChar w:fldCharType="separate"/>
      </w:r>
      <w:r w:rsidRPr="00610FE7" w:rsidR="00610FE7">
        <w:rPr>
          <w:rStyle w:val="Hyperlink"/>
          <w:sz w:val="20"/>
        </w:rPr>
        <w:t>https://www.fcc.gov/ecfs/search/filings?proceedings_name=17-363&amp;sort=date_disseminated,DESC</w:t>
      </w:r>
      <w:r>
        <w:fldChar w:fldCharType="end"/>
      </w:r>
      <w:r w:rsidR="00610FE7">
        <w:rPr>
          <w:sz w:val="20"/>
        </w:rPr>
        <w:t>.</w:t>
      </w:r>
    </w:p>
  </w:footnote>
  <w:footnote w:id="4">
    <w:p w:rsidR="000514CE" w:rsidP="00FA1648">
      <w:pPr>
        <w:pStyle w:val="FootnoteText"/>
        <w:spacing w:after="120"/>
      </w:pPr>
      <w:r>
        <w:rPr>
          <w:rStyle w:val="FootnoteReference"/>
        </w:rPr>
        <w:footnoteRef/>
      </w:r>
      <w:r>
        <w:t xml:space="preserve"> </w:t>
      </w:r>
      <w:r w:rsidRPr="0045026E">
        <w:rPr>
          <w:spacing w:val="-3"/>
          <w:sz w:val="20"/>
        </w:rPr>
        <w:t>Section 63.71(</w:t>
      </w:r>
      <w:r w:rsidR="001E2F9B">
        <w:rPr>
          <w:spacing w:val="-3"/>
          <w:sz w:val="20"/>
        </w:rPr>
        <w:t>f</w:t>
      </w:r>
      <w:r w:rsidRPr="0045026E">
        <w:rPr>
          <w:spacing w:val="-3"/>
          <w:sz w:val="20"/>
        </w:rPr>
        <w:t>) of the Commission’s rules states, in relevant part, that such applications to discontinue, reduce or impair service “shall be automatically granted on the 31st day… unless the Commission has notified the applicant that the grant will not be automatically effective.”</w:t>
      </w:r>
      <w:r>
        <w:rPr>
          <w:spacing w:val="-3"/>
          <w:sz w:val="20"/>
        </w:rPr>
        <w:t xml:space="preserve">  </w:t>
      </w:r>
      <w:r>
        <w:rPr>
          <w:sz w:val="20"/>
        </w:rPr>
        <w:t>47 C.F.R. § 63.71(</w:t>
      </w:r>
      <w:r w:rsidR="001E2F9B">
        <w:rPr>
          <w:sz w:val="20"/>
        </w:rPr>
        <w:t>f</w:t>
      </w:r>
      <w:r>
        <w:rPr>
          <w:sz w:val="20"/>
        </w:rPr>
        <w:t>).</w:t>
      </w:r>
    </w:p>
    <w:p w:rsidR="000514C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7AAF" w:rsidP="003C4231">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28575</wp:posOffset>
          </wp:positionH>
          <wp:positionV relativeFrom="paragraph">
            <wp:posOffset>104775</wp:posOffset>
          </wp:positionV>
          <wp:extent cx="530225" cy="530225"/>
          <wp:effectExtent l="0" t="0" r="3175" b="3175"/>
          <wp:wrapSquare wrapText="bothSides"/>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038209"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127AAF">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13970</wp:posOffset>
              </wp:positionV>
              <wp:extent cx="3108960" cy="640080"/>
              <wp:effectExtent l="0" t="0" r="0" b="762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27AAF">
                          <w:pPr>
                            <w:rPr>
                              <w:rFonts w:ascii="Arial" w:hAnsi="Arial"/>
                              <w:b/>
                            </w:rPr>
                          </w:pPr>
                          <w:r>
                            <w:rPr>
                              <w:rFonts w:ascii="Arial" w:hAnsi="Arial"/>
                              <w:b/>
                            </w:rPr>
                            <w:t>Federal Communications Commission</w:t>
                          </w:r>
                        </w:p>
                        <w:p w:rsidR="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44.8pt;height:50.4pt;margin-top:1.1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59264" stroked="f">
              <v:textbox>
                <w:txbxContent>
                  <w:p w:rsidR="00127AAF">
                    <w:pPr>
                      <w:rPr>
                        <w:rFonts w:ascii="Arial" w:hAnsi="Arial"/>
                        <w:b/>
                      </w:rPr>
                    </w:pPr>
                    <w:r>
                      <w:rPr>
                        <w:rFonts w:ascii="Arial" w:hAnsi="Arial"/>
                        <w:b/>
                      </w:rPr>
                      <w:t>Federal Communications Commission</w:t>
                    </w:r>
                  </w:p>
                  <w:p w:rsidR="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pPr>
                      <w:rPr>
                        <w:rFonts w:ascii="Arial" w:hAnsi="Arial"/>
                        <w:sz w:val="24"/>
                      </w:rPr>
                    </w:pPr>
                    <w:r>
                      <w:rPr>
                        <w:rFonts w:ascii="Arial" w:hAnsi="Arial"/>
                        <w:b/>
                      </w:rPr>
                      <w:t>Washington, D.C. 20554</w:t>
                    </w:r>
                  </w:p>
                </w:txbxContent>
              </v:textbox>
              <w10:wrap anchorx="margin"/>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3023235</wp:posOffset>
              </wp:positionH>
              <wp:positionV relativeFrom="paragraph">
                <wp:posOffset>76200</wp:posOffset>
              </wp:positionV>
              <wp:extent cx="2971800" cy="54864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718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27AAF">
                          <w:pPr>
                            <w:spacing w:before="40"/>
                            <w:jc w:val="right"/>
                            <w:rPr>
                              <w:rFonts w:ascii="Arial" w:hAnsi="Arial"/>
                              <w:b/>
                              <w:sz w:val="16"/>
                              <w:szCs w:val="16"/>
                            </w:rPr>
                          </w:pPr>
                          <w:r>
                            <w:rPr>
                              <w:rFonts w:ascii="Arial" w:hAnsi="Arial"/>
                              <w:b/>
                              <w:sz w:val="16"/>
                              <w:szCs w:val="16"/>
                            </w:rPr>
                            <w:t>News Media Information 202 / 418-0500</w:t>
                          </w:r>
                        </w:p>
                        <w:p w:rsidR="00127AAF">
                          <w:pPr>
                            <w:jc w:val="right"/>
                            <w:rPr>
                              <w:rFonts w:ascii="Arial" w:hAnsi="Arial"/>
                              <w:b/>
                              <w:sz w:val="16"/>
                              <w:szCs w:val="16"/>
                            </w:rPr>
                          </w:pPr>
                          <w:r>
                            <w:rPr>
                              <w:rFonts w:ascii="Arial" w:hAnsi="Arial"/>
                              <w:b/>
                              <w:sz w:val="16"/>
                              <w:szCs w:val="16"/>
                            </w:rPr>
                            <w:tab/>
                            <w:t xml:space="preserve">Internet: </w:t>
                          </w:r>
                          <w:bookmarkStart w:id="1" w:name="_Hlt233824"/>
                          <w:r>
                            <w:rPr>
                              <w:rFonts w:ascii="Arial" w:hAnsi="Arial"/>
                              <w:b/>
                              <w:sz w:val="16"/>
                              <w:szCs w:val="16"/>
                            </w:rPr>
                            <w:t>h</w:t>
                          </w:r>
                          <w:bookmarkEnd w:id="1"/>
                          <w:r>
                            <w:rPr>
                              <w:rFonts w:ascii="Arial" w:hAnsi="Arial"/>
                              <w:b/>
                              <w:sz w:val="16"/>
                              <w:szCs w:val="16"/>
                            </w:rPr>
                            <w:t>ttp://www.fcc.gov</w:t>
                          </w:r>
                        </w:p>
                        <w:p w:rsidR="00127AAF">
                          <w:pPr>
                            <w:jc w:val="right"/>
                            <w:rPr>
                              <w:rFonts w:ascii="Arial" w:hAnsi="Arial"/>
                              <w:b/>
                              <w:szCs w:val="22"/>
                            </w:rPr>
                          </w:pPr>
                          <w:r>
                            <w:rPr>
                              <w:rFonts w:ascii="Arial" w:hAnsi="Arial"/>
                              <w:b/>
                              <w:sz w:val="16"/>
                              <w:szCs w:val="16"/>
                            </w:rPr>
                            <w:t>TTY: 1-888-835-5322</w:t>
                          </w:r>
                        </w:p>
                        <w:p w:rsidR="00127AAF">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34pt;height:43.2pt;margin-top:6pt;margin-left:238.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127AAF">
                    <w:pPr>
                      <w:spacing w:before="40"/>
                      <w:jc w:val="right"/>
                      <w:rPr>
                        <w:rFonts w:ascii="Arial" w:hAnsi="Arial"/>
                        <w:b/>
                        <w:sz w:val="16"/>
                        <w:szCs w:val="16"/>
                      </w:rPr>
                    </w:pPr>
                    <w:r>
                      <w:rPr>
                        <w:rFonts w:ascii="Arial" w:hAnsi="Arial"/>
                        <w:b/>
                        <w:sz w:val="16"/>
                        <w:szCs w:val="16"/>
                      </w:rPr>
                      <w:t>News Media Information 202 / 418-0500</w:t>
                    </w:r>
                  </w:p>
                  <w:p w:rsidR="00127AAF">
                    <w:pPr>
                      <w:jc w:val="right"/>
                      <w:rPr>
                        <w:rFonts w:ascii="Arial" w:hAnsi="Arial"/>
                        <w:b/>
                        <w:sz w:val="16"/>
                        <w:szCs w:val="16"/>
                      </w:rPr>
                    </w:pPr>
                    <w:r>
                      <w:rPr>
                        <w:rFonts w:ascii="Arial" w:hAnsi="Arial"/>
                        <w:b/>
                        <w:sz w:val="16"/>
                        <w:szCs w:val="16"/>
                      </w:rPr>
                      <w:tab/>
                      <w:t xml:space="preserve">Internet: </w:t>
                    </w:r>
                    <w:bookmarkStart w:id="1" w:name="_Hlt233824"/>
                    <w:r>
                      <w:rPr>
                        <w:rFonts w:ascii="Arial" w:hAnsi="Arial"/>
                        <w:b/>
                        <w:sz w:val="16"/>
                        <w:szCs w:val="16"/>
                      </w:rPr>
                      <w:t>h</w:t>
                    </w:r>
                    <w:bookmarkEnd w:id="1"/>
                    <w:r>
                      <w:rPr>
                        <w:rFonts w:ascii="Arial" w:hAnsi="Arial"/>
                        <w:b/>
                        <w:sz w:val="16"/>
                        <w:szCs w:val="16"/>
                      </w:rPr>
                      <w:t>ttp://www.fcc.gov</w:t>
                    </w:r>
                  </w:p>
                  <w:p w:rsidR="00127AAF">
                    <w:pPr>
                      <w:jc w:val="right"/>
                      <w:rPr>
                        <w:rFonts w:ascii="Arial" w:hAnsi="Arial"/>
                        <w:b/>
                        <w:szCs w:val="22"/>
                      </w:rPr>
                    </w:pPr>
                    <w:r>
                      <w:rPr>
                        <w:rFonts w:ascii="Arial" w:hAnsi="Arial"/>
                        <w:b/>
                        <w:sz w:val="16"/>
                        <w:szCs w:val="16"/>
                      </w:rPr>
                      <w:t>TTY: 1-888-835-5322</w:t>
                    </w:r>
                  </w:p>
                  <w:p w:rsidR="00127AAF">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-291465</wp:posOffset>
              </wp:positionH>
              <wp:positionV relativeFrom="paragraph">
                <wp:posOffset>647700</wp:posOffset>
              </wp:positionV>
              <wp:extent cx="6515100" cy="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5151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22.95pt,51pt" to="490.05pt,51pt"/>
          </w:pict>
        </mc:Fallback>
      </mc:AlternateContent>
    </w:r>
  </w:p>
  <w:p w:rsidR="00127AAF">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73240AF3"/>
    <w:multiLevelType w:val="hybridMultilevel"/>
    <w:tmpl w:val="8FC2A8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D3"/>
    <w:rsid w:val="000005DE"/>
    <w:rsid w:val="00010A79"/>
    <w:rsid w:val="000242C2"/>
    <w:rsid w:val="00027F04"/>
    <w:rsid w:val="0003060D"/>
    <w:rsid w:val="000329DA"/>
    <w:rsid w:val="000404D4"/>
    <w:rsid w:val="00044E88"/>
    <w:rsid w:val="00047B6F"/>
    <w:rsid w:val="00047DA3"/>
    <w:rsid w:val="000514CE"/>
    <w:rsid w:val="00053F1E"/>
    <w:rsid w:val="00060761"/>
    <w:rsid w:val="00060C50"/>
    <w:rsid w:val="00062396"/>
    <w:rsid w:val="00071E13"/>
    <w:rsid w:val="00076777"/>
    <w:rsid w:val="000823F8"/>
    <w:rsid w:val="00083253"/>
    <w:rsid w:val="00090F0A"/>
    <w:rsid w:val="0009343F"/>
    <w:rsid w:val="000960B5"/>
    <w:rsid w:val="000A347B"/>
    <w:rsid w:val="000A7FAE"/>
    <w:rsid w:val="000B0538"/>
    <w:rsid w:val="000B09C9"/>
    <w:rsid w:val="000B0CE8"/>
    <w:rsid w:val="000B12E0"/>
    <w:rsid w:val="000B4B5E"/>
    <w:rsid w:val="000C2B4F"/>
    <w:rsid w:val="000D135D"/>
    <w:rsid w:val="000D1929"/>
    <w:rsid w:val="000D1D22"/>
    <w:rsid w:val="000D3F6A"/>
    <w:rsid w:val="000D70F1"/>
    <w:rsid w:val="000E6D4E"/>
    <w:rsid w:val="000E7E27"/>
    <w:rsid w:val="000F3B9E"/>
    <w:rsid w:val="000F3EC3"/>
    <w:rsid w:val="000F7FAA"/>
    <w:rsid w:val="00103F94"/>
    <w:rsid w:val="00106749"/>
    <w:rsid w:val="00107BFF"/>
    <w:rsid w:val="00116F19"/>
    <w:rsid w:val="00117698"/>
    <w:rsid w:val="0012085F"/>
    <w:rsid w:val="00122CC2"/>
    <w:rsid w:val="0012745C"/>
    <w:rsid w:val="00127AAF"/>
    <w:rsid w:val="00132C43"/>
    <w:rsid w:val="00133A5F"/>
    <w:rsid w:val="00134107"/>
    <w:rsid w:val="001373CF"/>
    <w:rsid w:val="00143585"/>
    <w:rsid w:val="00145D3B"/>
    <w:rsid w:val="001526BB"/>
    <w:rsid w:val="0015558B"/>
    <w:rsid w:val="00161EDE"/>
    <w:rsid w:val="00163CEF"/>
    <w:rsid w:val="001650B3"/>
    <w:rsid w:val="00167D19"/>
    <w:rsid w:val="00170E42"/>
    <w:rsid w:val="00180745"/>
    <w:rsid w:val="00180BB0"/>
    <w:rsid w:val="0018204A"/>
    <w:rsid w:val="0018418F"/>
    <w:rsid w:val="001863BA"/>
    <w:rsid w:val="00187ED3"/>
    <w:rsid w:val="00195E15"/>
    <w:rsid w:val="001966D6"/>
    <w:rsid w:val="00197387"/>
    <w:rsid w:val="001A23BB"/>
    <w:rsid w:val="001A2C3B"/>
    <w:rsid w:val="001B6F21"/>
    <w:rsid w:val="001C094F"/>
    <w:rsid w:val="001C3E9F"/>
    <w:rsid w:val="001D0C39"/>
    <w:rsid w:val="001D1B66"/>
    <w:rsid w:val="001D34DE"/>
    <w:rsid w:val="001D672B"/>
    <w:rsid w:val="001E2F9B"/>
    <w:rsid w:val="001E506A"/>
    <w:rsid w:val="001F0D39"/>
    <w:rsid w:val="001F3F3D"/>
    <w:rsid w:val="001F4F14"/>
    <w:rsid w:val="001F5723"/>
    <w:rsid w:val="001F5917"/>
    <w:rsid w:val="001F773D"/>
    <w:rsid w:val="00203F89"/>
    <w:rsid w:val="00210F75"/>
    <w:rsid w:val="00212410"/>
    <w:rsid w:val="0021760B"/>
    <w:rsid w:val="0023280F"/>
    <w:rsid w:val="00234333"/>
    <w:rsid w:val="0024085A"/>
    <w:rsid w:val="002431BD"/>
    <w:rsid w:val="002448B7"/>
    <w:rsid w:val="0025111E"/>
    <w:rsid w:val="00264651"/>
    <w:rsid w:val="00273BCE"/>
    <w:rsid w:val="00273F9B"/>
    <w:rsid w:val="0028134C"/>
    <w:rsid w:val="002818A7"/>
    <w:rsid w:val="00281BFC"/>
    <w:rsid w:val="00296F59"/>
    <w:rsid w:val="002A353F"/>
    <w:rsid w:val="002A465F"/>
    <w:rsid w:val="002A5329"/>
    <w:rsid w:val="002A75FF"/>
    <w:rsid w:val="002A78AD"/>
    <w:rsid w:val="002B45DE"/>
    <w:rsid w:val="002B5C67"/>
    <w:rsid w:val="002B66CE"/>
    <w:rsid w:val="002B7BAA"/>
    <w:rsid w:val="002C2303"/>
    <w:rsid w:val="002C6354"/>
    <w:rsid w:val="002C69D0"/>
    <w:rsid w:val="002D4333"/>
    <w:rsid w:val="002E1116"/>
    <w:rsid w:val="002E2D8A"/>
    <w:rsid w:val="002E3157"/>
    <w:rsid w:val="002E475A"/>
    <w:rsid w:val="003015B6"/>
    <w:rsid w:val="00306E0F"/>
    <w:rsid w:val="00307AFD"/>
    <w:rsid w:val="0031210A"/>
    <w:rsid w:val="0032410F"/>
    <w:rsid w:val="00324172"/>
    <w:rsid w:val="00324E8E"/>
    <w:rsid w:val="0034665D"/>
    <w:rsid w:val="00347932"/>
    <w:rsid w:val="00351555"/>
    <w:rsid w:val="003565B4"/>
    <w:rsid w:val="0036357A"/>
    <w:rsid w:val="00367051"/>
    <w:rsid w:val="003672B0"/>
    <w:rsid w:val="00371002"/>
    <w:rsid w:val="003710F3"/>
    <w:rsid w:val="00380ECC"/>
    <w:rsid w:val="00382C8E"/>
    <w:rsid w:val="00390A63"/>
    <w:rsid w:val="003A08A1"/>
    <w:rsid w:val="003A41D0"/>
    <w:rsid w:val="003B25CE"/>
    <w:rsid w:val="003B2C56"/>
    <w:rsid w:val="003B42A8"/>
    <w:rsid w:val="003B6780"/>
    <w:rsid w:val="003B75AC"/>
    <w:rsid w:val="003C26D5"/>
    <w:rsid w:val="003C4231"/>
    <w:rsid w:val="003C4EF5"/>
    <w:rsid w:val="003D010B"/>
    <w:rsid w:val="003D4900"/>
    <w:rsid w:val="003E20C5"/>
    <w:rsid w:val="003E21A8"/>
    <w:rsid w:val="003F1A9F"/>
    <w:rsid w:val="003F3B79"/>
    <w:rsid w:val="003F418F"/>
    <w:rsid w:val="003F41AF"/>
    <w:rsid w:val="003F7E3C"/>
    <w:rsid w:val="00402032"/>
    <w:rsid w:val="004037D8"/>
    <w:rsid w:val="00403878"/>
    <w:rsid w:val="00407225"/>
    <w:rsid w:val="00410BC6"/>
    <w:rsid w:val="00410CE4"/>
    <w:rsid w:val="00413330"/>
    <w:rsid w:val="004174CF"/>
    <w:rsid w:val="00422B70"/>
    <w:rsid w:val="0045026E"/>
    <w:rsid w:val="00454741"/>
    <w:rsid w:val="00463967"/>
    <w:rsid w:val="00464670"/>
    <w:rsid w:val="004654C6"/>
    <w:rsid w:val="0047320F"/>
    <w:rsid w:val="00483C3B"/>
    <w:rsid w:val="00487E6E"/>
    <w:rsid w:val="00490021"/>
    <w:rsid w:val="00494B6D"/>
    <w:rsid w:val="00495AF7"/>
    <w:rsid w:val="004A03B3"/>
    <w:rsid w:val="004A5008"/>
    <w:rsid w:val="004B4195"/>
    <w:rsid w:val="004C2C8D"/>
    <w:rsid w:val="004C60F2"/>
    <w:rsid w:val="004D0C9A"/>
    <w:rsid w:val="004D1C70"/>
    <w:rsid w:val="004D6529"/>
    <w:rsid w:val="004D6DE9"/>
    <w:rsid w:val="004E006F"/>
    <w:rsid w:val="004E258B"/>
    <w:rsid w:val="004E3E6C"/>
    <w:rsid w:val="004E50CF"/>
    <w:rsid w:val="004F00F9"/>
    <w:rsid w:val="005025FF"/>
    <w:rsid w:val="00511162"/>
    <w:rsid w:val="0051494D"/>
    <w:rsid w:val="00521CDE"/>
    <w:rsid w:val="0052226C"/>
    <w:rsid w:val="00525153"/>
    <w:rsid w:val="00526823"/>
    <w:rsid w:val="00530CE9"/>
    <w:rsid w:val="0053103E"/>
    <w:rsid w:val="0053255D"/>
    <w:rsid w:val="005328EE"/>
    <w:rsid w:val="00544D03"/>
    <w:rsid w:val="00546DAC"/>
    <w:rsid w:val="005549CE"/>
    <w:rsid w:val="00560872"/>
    <w:rsid w:val="0056304E"/>
    <w:rsid w:val="00563E1E"/>
    <w:rsid w:val="005703E8"/>
    <w:rsid w:val="0057771F"/>
    <w:rsid w:val="00591EAA"/>
    <w:rsid w:val="00594C2C"/>
    <w:rsid w:val="005A536E"/>
    <w:rsid w:val="005A76F8"/>
    <w:rsid w:val="005B226F"/>
    <w:rsid w:val="005B6242"/>
    <w:rsid w:val="005B7761"/>
    <w:rsid w:val="005C1C4A"/>
    <w:rsid w:val="005C20A4"/>
    <w:rsid w:val="005C6053"/>
    <w:rsid w:val="005E3913"/>
    <w:rsid w:val="005E5B75"/>
    <w:rsid w:val="005F109B"/>
    <w:rsid w:val="005F3014"/>
    <w:rsid w:val="005F6B65"/>
    <w:rsid w:val="0060040C"/>
    <w:rsid w:val="00607778"/>
    <w:rsid w:val="00610FE7"/>
    <w:rsid w:val="00612EBF"/>
    <w:rsid w:val="00617209"/>
    <w:rsid w:val="00622475"/>
    <w:rsid w:val="0062794E"/>
    <w:rsid w:val="0063274C"/>
    <w:rsid w:val="00642759"/>
    <w:rsid w:val="0064305C"/>
    <w:rsid w:val="0065159A"/>
    <w:rsid w:val="00656693"/>
    <w:rsid w:val="00657392"/>
    <w:rsid w:val="006575E5"/>
    <w:rsid w:val="00662718"/>
    <w:rsid w:val="0066381F"/>
    <w:rsid w:val="00665F81"/>
    <w:rsid w:val="00672434"/>
    <w:rsid w:val="006804A2"/>
    <w:rsid w:val="00691728"/>
    <w:rsid w:val="00691BCF"/>
    <w:rsid w:val="006920F7"/>
    <w:rsid w:val="006932D7"/>
    <w:rsid w:val="00694B84"/>
    <w:rsid w:val="006A1495"/>
    <w:rsid w:val="006A1F28"/>
    <w:rsid w:val="006A6795"/>
    <w:rsid w:val="006A687C"/>
    <w:rsid w:val="006B30C7"/>
    <w:rsid w:val="006B78A4"/>
    <w:rsid w:val="006C3D81"/>
    <w:rsid w:val="006C43BB"/>
    <w:rsid w:val="006C5CF0"/>
    <w:rsid w:val="006D592C"/>
    <w:rsid w:val="006E0667"/>
    <w:rsid w:val="006E7AE8"/>
    <w:rsid w:val="006F4998"/>
    <w:rsid w:val="00700E75"/>
    <w:rsid w:val="007043C1"/>
    <w:rsid w:val="00704FE8"/>
    <w:rsid w:val="00705EE4"/>
    <w:rsid w:val="00705FE8"/>
    <w:rsid w:val="00706C1B"/>
    <w:rsid w:val="007075AC"/>
    <w:rsid w:val="007153EC"/>
    <w:rsid w:val="00715729"/>
    <w:rsid w:val="00723A54"/>
    <w:rsid w:val="0073065D"/>
    <w:rsid w:val="00732A5B"/>
    <w:rsid w:val="00740965"/>
    <w:rsid w:val="00745935"/>
    <w:rsid w:val="00747126"/>
    <w:rsid w:val="007500F8"/>
    <w:rsid w:val="007512A2"/>
    <w:rsid w:val="00762F70"/>
    <w:rsid w:val="00763867"/>
    <w:rsid w:val="007655F2"/>
    <w:rsid w:val="00766866"/>
    <w:rsid w:val="00777BD3"/>
    <w:rsid w:val="00780539"/>
    <w:rsid w:val="00783BE8"/>
    <w:rsid w:val="00790A3C"/>
    <w:rsid w:val="00792B69"/>
    <w:rsid w:val="007937FD"/>
    <w:rsid w:val="0079511C"/>
    <w:rsid w:val="007955FC"/>
    <w:rsid w:val="00797567"/>
    <w:rsid w:val="007A1D7C"/>
    <w:rsid w:val="007A2751"/>
    <w:rsid w:val="007A3A90"/>
    <w:rsid w:val="007A70A1"/>
    <w:rsid w:val="007B100F"/>
    <w:rsid w:val="007B101A"/>
    <w:rsid w:val="007C58A9"/>
    <w:rsid w:val="007D4A47"/>
    <w:rsid w:val="007D6E2D"/>
    <w:rsid w:val="007D78F6"/>
    <w:rsid w:val="007E3098"/>
    <w:rsid w:val="007E415F"/>
    <w:rsid w:val="007E6329"/>
    <w:rsid w:val="007E69DF"/>
    <w:rsid w:val="007E7D8B"/>
    <w:rsid w:val="0080274C"/>
    <w:rsid w:val="00804B25"/>
    <w:rsid w:val="00806F7F"/>
    <w:rsid w:val="00815270"/>
    <w:rsid w:val="00815C19"/>
    <w:rsid w:val="008203FA"/>
    <w:rsid w:val="008217F3"/>
    <w:rsid w:val="008230B3"/>
    <w:rsid w:val="00823C7D"/>
    <w:rsid w:val="008356C4"/>
    <w:rsid w:val="00840CB8"/>
    <w:rsid w:val="008420E8"/>
    <w:rsid w:val="008431AA"/>
    <w:rsid w:val="00847739"/>
    <w:rsid w:val="00850583"/>
    <w:rsid w:val="00855E21"/>
    <w:rsid w:val="0085750C"/>
    <w:rsid w:val="008575C7"/>
    <w:rsid w:val="008616B4"/>
    <w:rsid w:val="00862B45"/>
    <w:rsid w:val="00863704"/>
    <w:rsid w:val="00866ADE"/>
    <w:rsid w:val="0087290D"/>
    <w:rsid w:val="00874480"/>
    <w:rsid w:val="00875199"/>
    <w:rsid w:val="008767ED"/>
    <w:rsid w:val="00881822"/>
    <w:rsid w:val="008834D3"/>
    <w:rsid w:val="00887F29"/>
    <w:rsid w:val="00897B1A"/>
    <w:rsid w:val="00897DC3"/>
    <w:rsid w:val="008A5248"/>
    <w:rsid w:val="008B0A2A"/>
    <w:rsid w:val="008B5AF5"/>
    <w:rsid w:val="008B6798"/>
    <w:rsid w:val="008B6D06"/>
    <w:rsid w:val="008C1E5D"/>
    <w:rsid w:val="008C3D6E"/>
    <w:rsid w:val="008C6886"/>
    <w:rsid w:val="008C6DFE"/>
    <w:rsid w:val="008D5576"/>
    <w:rsid w:val="008F7E96"/>
    <w:rsid w:val="008F7ED7"/>
    <w:rsid w:val="00904CF1"/>
    <w:rsid w:val="00917A52"/>
    <w:rsid w:val="00920D95"/>
    <w:rsid w:val="00922E49"/>
    <w:rsid w:val="00924546"/>
    <w:rsid w:val="00925241"/>
    <w:rsid w:val="00930830"/>
    <w:rsid w:val="00931981"/>
    <w:rsid w:val="00933E9D"/>
    <w:rsid w:val="00934874"/>
    <w:rsid w:val="00935506"/>
    <w:rsid w:val="0094012C"/>
    <w:rsid w:val="00944369"/>
    <w:rsid w:val="009563F9"/>
    <w:rsid w:val="00966773"/>
    <w:rsid w:val="00966AE9"/>
    <w:rsid w:val="0097454D"/>
    <w:rsid w:val="00976D6C"/>
    <w:rsid w:val="0098004C"/>
    <w:rsid w:val="009820E0"/>
    <w:rsid w:val="009831D4"/>
    <w:rsid w:val="00983D9F"/>
    <w:rsid w:val="00984703"/>
    <w:rsid w:val="00985A2E"/>
    <w:rsid w:val="009874C8"/>
    <w:rsid w:val="009912EB"/>
    <w:rsid w:val="0099286E"/>
    <w:rsid w:val="00993248"/>
    <w:rsid w:val="009942DC"/>
    <w:rsid w:val="00995D98"/>
    <w:rsid w:val="009962E5"/>
    <w:rsid w:val="009A0214"/>
    <w:rsid w:val="009A512A"/>
    <w:rsid w:val="009B02D4"/>
    <w:rsid w:val="009B10B5"/>
    <w:rsid w:val="009C72D6"/>
    <w:rsid w:val="009C7D0A"/>
    <w:rsid w:val="009D0C19"/>
    <w:rsid w:val="009D0D17"/>
    <w:rsid w:val="009D2B27"/>
    <w:rsid w:val="009D339C"/>
    <w:rsid w:val="009D568C"/>
    <w:rsid w:val="009D6419"/>
    <w:rsid w:val="009E1D46"/>
    <w:rsid w:val="009F0CE0"/>
    <w:rsid w:val="009F65A5"/>
    <w:rsid w:val="00A000F4"/>
    <w:rsid w:val="00A00478"/>
    <w:rsid w:val="00A00B98"/>
    <w:rsid w:val="00A11FBF"/>
    <w:rsid w:val="00A275CC"/>
    <w:rsid w:val="00A30A37"/>
    <w:rsid w:val="00A34387"/>
    <w:rsid w:val="00A41C45"/>
    <w:rsid w:val="00A47AE3"/>
    <w:rsid w:val="00A51697"/>
    <w:rsid w:val="00A56D07"/>
    <w:rsid w:val="00A61EAF"/>
    <w:rsid w:val="00A6532B"/>
    <w:rsid w:val="00A66764"/>
    <w:rsid w:val="00A6773C"/>
    <w:rsid w:val="00A71686"/>
    <w:rsid w:val="00A73663"/>
    <w:rsid w:val="00A74516"/>
    <w:rsid w:val="00A76A65"/>
    <w:rsid w:val="00A823B9"/>
    <w:rsid w:val="00A83D29"/>
    <w:rsid w:val="00A8590C"/>
    <w:rsid w:val="00A86981"/>
    <w:rsid w:val="00A92D19"/>
    <w:rsid w:val="00AA0A5A"/>
    <w:rsid w:val="00AA6211"/>
    <w:rsid w:val="00AB1B7A"/>
    <w:rsid w:val="00AB7116"/>
    <w:rsid w:val="00AC70F4"/>
    <w:rsid w:val="00AD1D06"/>
    <w:rsid w:val="00AD3498"/>
    <w:rsid w:val="00AD508C"/>
    <w:rsid w:val="00AD53B5"/>
    <w:rsid w:val="00AE256D"/>
    <w:rsid w:val="00AE43F5"/>
    <w:rsid w:val="00AE695B"/>
    <w:rsid w:val="00AF14DE"/>
    <w:rsid w:val="00AF2275"/>
    <w:rsid w:val="00AF3684"/>
    <w:rsid w:val="00AF51B8"/>
    <w:rsid w:val="00AF7BDE"/>
    <w:rsid w:val="00B024B3"/>
    <w:rsid w:val="00B11A19"/>
    <w:rsid w:val="00B12735"/>
    <w:rsid w:val="00B135D0"/>
    <w:rsid w:val="00B26C94"/>
    <w:rsid w:val="00B27D07"/>
    <w:rsid w:val="00B35D8F"/>
    <w:rsid w:val="00B4436F"/>
    <w:rsid w:val="00B4475F"/>
    <w:rsid w:val="00B47E85"/>
    <w:rsid w:val="00B53CED"/>
    <w:rsid w:val="00B554BA"/>
    <w:rsid w:val="00B574B4"/>
    <w:rsid w:val="00B619FD"/>
    <w:rsid w:val="00B647E9"/>
    <w:rsid w:val="00B64EDB"/>
    <w:rsid w:val="00B75149"/>
    <w:rsid w:val="00B75742"/>
    <w:rsid w:val="00B872D0"/>
    <w:rsid w:val="00B92496"/>
    <w:rsid w:val="00B942BF"/>
    <w:rsid w:val="00BA00E7"/>
    <w:rsid w:val="00BA1732"/>
    <w:rsid w:val="00BA213A"/>
    <w:rsid w:val="00BA4791"/>
    <w:rsid w:val="00BB2E61"/>
    <w:rsid w:val="00BB3E89"/>
    <w:rsid w:val="00BB4558"/>
    <w:rsid w:val="00BB6765"/>
    <w:rsid w:val="00BB7149"/>
    <w:rsid w:val="00BB7368"/>
    <w:rsid w:val="00BB7DE8"/>
    <w:rsid w:val="00BC0DDA"/>
    <w:rsid w:val="00BC5D5C"/>
    <w:rsid w:val="00BD27C6"/>
    <w:rsid w:val="00BE09E6"/>
    <w:rsid w:val="00BE26EA"/>
    <w:rsid w:val="00BF701D"/>
    <w:rsid w:val="00BF7E75"/>
    <w:rsid w:val="00C01FB9"/>
    <w:rsid w:val="00C020DB"/>
    <w:rsid w:val="00C111CB"/>
    <w:rsid w:val="00C11E29"/>
    <w:rsid w:val="00C220F7"/>
    <w:rsid w:val="00C26305"/>
    <w:rsid w:val="00C2774C"/>
    <w:rsid w:val="00C3095B"/>
    <w:rsid w:val="00C317AC"/>
    <w:rsid w:val="00C34DA9"/>
    <w:rsid w:val="00C3686B"/>
    <w:rsid w:val="00C44DA7"/>
    <w:rsid w:val="00C458F2"/>
    <w:rsid w:val="00C509E0"/>
    <w:rsid w:val="00C5178F"/>
    <w:rsid w:val="00C52F40"/>
    <w:rsid w:val="00C6174F"/>
    <w:rsid w:val="00C61B44"/>
    <w:rsid w:val="00C62501"/>
    <w:rsid w:val="00C63F11"/>
    <w:rsid w:val="00C65629"/>
    <w:rsid w:val="00C70D1F"/>
    <w:rsid w:val="00C72245"/>
    <w:rsid w:val="00C73040"/>
    <w:rsid w:val="00C73335"/>
    <w:rsid w:val="00C863D5"/>
    <w:rsid w:val="00C92D7F"/>
    <w:rsid w:val="00C965B0"/>
    <w:rsid w:val="00CA1AAA"/>
    <w:rsid w:val="00CA2008"/>
    <w:rsid w:val="00CA2FE8"/>
    <w:rsid w:val="00CA3984"/>
    <w:rsid w:val="00CA57C3"/>
    <w:rsid w:val="00CA6BA5"/>
    <w:rsid w:val="00CB31CB"/>
    <w:rsid w:val="00CB4DAB"/>
    <w:rsid w:val="00CB51CB"/>
    <w:rsid w:val="00CB5556"/>
    <w:rsid w:val="00CC6345"/>
    <w:rsid w:val="00CC73E9"/>
    <w:rsid w:val="00CD0988"/>
    <w:rsid w:val="00CD6B34"/>
    <w:rsid w:val="00CD6F0D"/>
    <w:rsid w:val="00CD7722"/>
    <w:rsid w:val="00CE609A"/>
    <w:rsid w:val="00CF0B4D"/>
    <w:rsid w:val="00CF3762"/>
    <w:rsid w:val="00CF4709"/>
    <w:rsid w:val="00CF5811"/>
    <w:rsid w:val="00CF5FC0"/>
    <w:rsid w:val="00D01308"/>
    <w:rsid w:val="00D10C19"/>
    <w:rsid w:val="00D15BEA"/>
    <w:rsid w:val="00D15D4A"/>
    <w:rsid w:val="00D15D66"/>
    <w:rsid w:val="00D232F4"/>
    <w:rsid w:val="00D278D2"/>
    <w:rsid w:val="00D330E1"/>
    <w:rsid w:val="00D334D5"/>
    <w:rsid w:val="00D339C6"/>
    <w:rsid w:val="00D35453"/>
    <w:rsid w:val="00D356FE"/>
    <w:rsid w:val="00D35AC5"/>
    <w:rsid w:val="00D3789D"/>
    <w:rsid w:val="00D44FCD"/>
    <w:rsid w:val="00D46EC4"/>
    <w:rsid w:val="00D47AAA"/>
    <w:rsid w:val="00D605C9"/>
    <w:rsid w:val="00D677FD"/>
    <w:rsid w:val="00D72128"/>
    <w:rsid w:val="00D73910"/>
    <w:rsid w:val="00D76220"/>
    <w:rsid w:val="00D76EC0"/>
    <w:rsid w:val="00D771AD"/>
    <w:rsid w:val="00D85819"/>
    <w:rsid w:val="00D8601F"/>
    <w:rsid w:val="00D921C2"/>
    <w:rsid w:val="00D96593"/>
    <w:rsid w:val="00DA5992"/>
    <w:rsid w:val="00DA7B4A"/>
    <w:rsid w:val="00DB068C"/>
    <w:rsid w:val="00DB2D75"/>
    <w:rsid w:val="00DC4B16"/>
    <w:rsid w:val="00DD1CBC"/>
    <w:rsid w:val="00DD3FAF"/>
    <w:rsid w:val="00DD4638"/>
    <w:rsid w:val="00DD5112"/>
    <w:rsid w:val="00DD5708"/>
    <w:rsid w:val="00DD5976"/>
    <w:rsid w:val="00DE31DE"/>
    <w:rsid w:val="00DE5883"/>
    <w:rsid w:val="00DE6881"/>
    <w:rsid w:val="00DF1B07"/>
    <w:rsid w:val="00DF7447"/>
    <w:rsid w:val="00E01346"/>
    <w:rsid w:val="00E05659"/>
    <w:rsid w:val="00E05B3F"/>
    <w:rsid w:val="00E12407"/>
    <w:rsid w:val="00E14A52"/>
    <w:rsid w:val="00E22403"/>
    <w:rsid w:val="00E2419F"/>
    <w:rsid w:val="00E25A2B"/>
    <w:rsid w:val="00E25EBC"/>
    <w:rsid w:val="00E3238F"/>
    <w:rsid w:val="00E34B7A"/>
    <w:rsid w:val="00E359B9"/>
    <w:rsid w:val="00E46E47"/>
    <w:rsid w:val="00E50140"/>
    <w:rsid w:val="00E51F23"/>
    <w:rsid w:val="00E54A7A"/>
    <w:rsid w:val="00E55E8C"/>
    <w:rsid w:val="00E574A9"/>
    <w:rsid w:val="00E576A8"/>
    <w:rsid w:val="00E7016E"/>
    <w:rsid w:val="00E7335F"/>
    <w:rsid w:val="00E7427B"/>
    <w:rsid w:val="00E74679"/>
    <w:rsid w:val="00E74798"/>
    <w:rsid w:val="00E74E6A"/>
    <w:rsid w:val="00E80949"/>
    <w:rsid w:val="00E83643"/>
    <w:rsid w:val="00E84873"/>
    <w:rsid w:val="00E93987"/>
    <w:rsid w:val="00E951C8"/>
    <w:rsid w:val="00EA1ED6"/>
    <w:rsid w:val="00EA3937"/>
    <w:rsid w:val="00EA5382"/>
    <w:rsid w:val="00EA66AD"/>
    <w:rsid w:val="00EB1E9F"/>
    <w:rsid w:val="00EB3CE0"/>
    <w:rsid w:val="00EC000C"/>
    <w:rsid w:val="00EC0B3A"/>
    <w:rsid w:val="00EC1824"/>
    <w:rsid w:val="00EC257C"/>
    <w:rsid w:val="00EC63E3"/>
    <w:rsid w:val="00ED16D7"/>
    <w:rsid w:val="00EE052F"/>
    <w:rsid w:val="00EE0603"/>
    <w:rsid w:val="00EE61EF"/>
    <w:rsid w:val="00EE7537"/>
    <w:rsid w:val="00EF1F1A"/>
    <w:rsid w:val="00EF216A"/>
    <w:rsid w:val="00EF4F6E"/>
    <w:rsid w:val="00EF7FBD"/>
    <w:rsid w:val="00F02C4A"/>
    <w:rsid w:val="00F0536A"/>
    <w:rsid w:val="00F10FBF"/>
    <w:rsid w:val="00F1150F"/>
    <w:rsid w:val="00F12616"/>
    <w:rsid w:val="00F13A84"/>
    <w:rsid w:val="00F14143"/>
    <w:rsid w:val="00F15F82"/>
    <w:rsid w:val="00F16385"/>
    <w:rsid w:val="00F20DC5"/>
    <w:rsid w:val="00F25497"/>
    <w:rsid w:val="00F272F8"/>
    <w:rsid w:val="00F36CED"/>
    <w:rsid w:val="00F37C4D"/>
    <w:rsid w:val="00F423C1"/>
    <w:rsid w:val="00F43BA5"/>
    <w:rsid w:val="00F472B7"/>
    <w:rsid w:val="00F65785"/>
    <w:rsid w:val="00F74192"/>
    <w:rsid w:val="00F74CCB"/>
    <w:rsid w:val="00F805A5"/>
    <w:rsid w:val="00F877F9"/>
    <w:rsid w:val="00F9086F"/>
    <w:rsid w:val="00F92D2F"/>
    <w:rsid w:val="00F960E2"/>
    <w:rsid w:val="00FA1648"/>
    <w:rsid w:val="00FB0AD5"/>
    <w:rsid w:val="00FB1228"/>
    <w:rsid w:val="00FB217A"/>
    <w:rsid w:val="00FB731F"/>
    <w:rsid w:val="00FC56DB"/>
    <w:rsid w:val="00FC6A04"/>
    <w:rsid w:val="00FC75DE"/>
    <w:rsid w:val="00FC7A58"/>
    <w:rsid w:val="00FD5B33"/>
    <w:rsid w:val="00FD6866"/>
    <w:rsid w:val="00FD6D55"/>
    <w:rsid w:val="00FE226F"/>
    <w:rsid w:val="00FE377E"/>
    <w:rsid w:val="00FE4140"/>
    <w:rsid w:val="00FE4902"/>
    <w:rsid w:val="00FE75A6"/>
    <w:rsid w:val="00FE765B"/>
    <w:rsid w:val="00FF1029"/>
    <w:rsid w:val="00FF18A1"/>
    <w:rsid w:val="00FF6E5B"/>
    <w:rsid w:val="00FF6F6F"/>
    <w:rsid w:val="00FF71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 w:type="character" w:styleId="FollowedHyperlink">
    <w:name w:val="FollowedHyperlink"/>
    <w:basedOn w:val="DefaultParagraphFont"/>
    <w:semiHidden/>
    <w:unhideWhenUsed/>
    <w:rsid w:val="00993248"/>
    <w:rPr>
      <w:color w:val="800080" w:themeColor="followedHyperlink"/>
      <w:u w:val="single"/>
    </w:rPr>
  </w:style>
  <w:style w:type="character" w:styleId="CommentReference">
    <w:name w:val="annotation reference"/>
    <w:basedOn w:val="DefaultParagraphFont"/>
    <w:semiHidden/>
    <w:unhideWhenUsed/>
    <w:rsid w:val="00D278D2"/>
    <w:rPr>
      <w:sz w:val="16"/>
      <w:szCs w:val="16"/>
    </w:rPr>
  </w:style>
  <w:style w:type="paragraph" w:styleId="CommentText">
    <w:name w:val="annotation text"/>
    <w:basedOn w:val="Normal"/>
    <w:link w:val="CommentTextChar"/>
    <w:semiHidden/>
    <w:unhideWhenUsed/>
    <w:rsid w:val="00D278D2"/>
    <w:rPr>
      <w:sz w:val="20"/>
    </w:rPr>
  </w:style>
  <w:style w:type="character" w:customStyle="1" w:styleId="CommentTextChar">
    <w:name w:val="Comment Text Char"/>
    <w:basedOn w:val="DefaultParagraphFont"/>
    <w:link w:val="CommentText"/>
    <w:semiHidden/>
    <w:rsid w:val="00D278D2"/>
    <w:rPr>
      <w:rFonts w:eastAsia="Times New Roman"/>
    </w:rPr>
  </w:style>
  <w:style w:type="paragraph" w:styleId="CommentSubject">
    <w:name w:val="annotation subject"/>
    <w:basedOn w:val="CommentText"/>
    <w:next w:val="CommentText"/>
    <w:link w:val="CommentSubjectChar"/>
    <w:semiHidden/>
    <w:unhideWhenUsed/>
    <w:rsid w:val="00D278D2"/>
    <w:rPr>
      <w:b/>
      <w:bCs/>
    </w:rPr>
  </w:style>
  <w:style w:type="character" w:customStyle="1" w:styleId="CommentSubjectChar">
    <w:name w:val="Comment Subject Char"/>
    <w:basedOn w:val="CommentTextChar"/>
    <w:link w:val="CommentSubject"/>
    <w:semiHidden/>
    <w:rsid w:val="00D278D2"/>
    <w:rPr>
      <w:rFonts w:eastAsia="Times New Roman"/>
      <w:b/>
      <w:bCs/>
    </w:rPr>
  </w:style>
  <w:style w:type="character" w:customStyle="1" w:styleId="UnresolvedMention">
    <w:name w:val="Unresolved Mention"/>
    <w:basedOn w:val="DefaultParagraphFont"/>
    <w:uiPriority w:val="99"/>
    <w:semiHidden/>
    <w:unhideWhenUsed/>
    <w:rsid w:val="00610F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26307-384A-4CB8-BF41-0F36650E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2018-03-14T20:43:24Z</dcterms:created>
  <dcterms:modified xsi:type="dcterms:W3CDTF">2018-03-14T20:43:24Z</dcterms:modified>
</cp:coreProperties>
</file>