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42152" w:rsidRPr="007A1052" w14:paraId="4E485848" w14:textId="60F6BADD">
      <w:pPr>
        <w:jc w:val="center"/>
        <w:rPr>
          <w:b/>
          <w:szCs w:val="22"/>
        </w:rPr>
      </w:pPr>
      <w:bookmarkStart w:id="0" w:name="_GoBack"/>
      <w:bookmarkEnd w:id="0"/>
      <w:r w:rsidRPr="007A1052">
        <w:rPr>
          <w:b/>
          <w:szCs w:val="22"/>
        </w:rPr>
        <w:t>Before the</w:t>
      </w:r>
    </w:p>
    <w:p w:rsidR="00742152" w:rsidRPr="007A1052" w14:paraId="486F9CE5" w14:textId="77777777">
      <w:pPr>
        <w:jc w:val="center"/>
        <w:rPr>
          <w:b/>
          <w:szCs w:val="22"/>
        </w:rPr>
      </w:pPr>
      <w:r w:rsidRPr="007A1052">
        <w:rPr>
          <w:b/>
          <w:szCs w:val="22"/>
        </w:rPr>
        <w:t>Federal Communications Commission</w:t>
      </w:r>
    </w:p>
    <w:p w:rsidR="00742152" w:rsidRPr="007A1052" w14:paraId="7CE2D5C1" w14:textId="77777777">
      <w:pPr>
        <w:jc w:val="center"/>
        <w:rPr>
          <w:b/>
          <w:szCs w:val="22"/>
        </w:rPr>
      </w:pPr>
      <w:r w:rsidRPr="007A1052">
        <w:rPr>
          <w:b/>
          <w:szCs w:val="22"/>
        </w:rPr>
        <w:t>Washington, D.C. 20554</w:t>
      </w:r>
    </w:p>
    <w:p w:rsidR="00742152" w:rsidRPr="007A1052" w14:paraId="252F41C7" w14:textId="77777777">
      <w:pPr>
        <w:rPr>
          <w:szCs w:val="22"/>
        </w:rPr>
      </w:pPr>
    </w:p>
    <w:p w:rsidR="00742152" w:rsidRPr="007A1052" w14:paraId="20FB4217" w14:textId="77777777">
      <w:pPr>
        <w:rPr>
          <w:szCs w:val="22"/>
        </w:rPr>
      </w:pPr>
    </w:p>
    <w:tbl>
      <w:tblPr>
        <w:tblW w:w="9648" w:type="dxa"/>
        <w:tblInd w:w="0" w:type="dxa"/>
        <w:tblCellMar>
          <w:top w:w="0" w:type="dxa"/>
          <w:left w:w="108" w:type="dxa"/>
          <w:bottom w:w="0" w:type="dxa"/>
          <w:right w:w="108" w:type="dxa"/>
        </w:tblCellMar>
        <w:tblLook w:val="0000"/>
      </w:tblPr>
      <w:tblGrid>
        <w:gridCol w:w="4698"/>
        <w:gridCol w:w="720"/>
        <w:gridCol w:w="4230"/>
      </w:tblGrid>
      <w:tr w14:paraId="5FC943AB" w14:textId="77777777" w:rsidTr="00EB1758">
        <w:tblPrEx>
          <w:tblW w:w="9648" w:type="dxa"/>
          <w:tblInd w:w="0" w:type="dxa"/>
          <w:tblCellMar>
            <w:top w:w="0" w:type="dxa"/>
            <w:left w:w="108" w:type="dxa"/>
            <w:bottom w:w="0" w:type="dxa"/>
            <w:right w:w="108" w:type="dxa"/>
          </w:tblCellMar>
          <w:tblLook w:val="0000"/>
        </w:tblPrEx>
        <w:tc>
          <w:tcPr>
            <w:tcW w:w="4698" w:type="dxa"/>
          </w:tcPr>
          <w:p w:rsidR="00742152" w:rsidRPr="007A1052" w14:paraId="62233B2E" w14:textId="77777777">
            <w:pPr>
              <w:tabs>
                <w:tab w:val="center" w:pos="4680"/>
              </w:tabs>
              <w:suppressAutoHyphens/>
              <w:rPr>
                <w:rStyle w:val="DefaultParagraphFont"/>
                <w:spacing w:val="-2"/>
                <w:sz w:val="22"/>
                <w:szCs w:val="22"/>
                <w:lang w:val="en-US" w:eastAsia="en-US" w:bidi="ar-SA"/>
              </w:rPr>
            </w:pPr>
            <w:r w:rsidRPr="007A1052">
              <w:rPr>
                <w:spacing w:val="-2"/>
                <w:sz w:val="22"/>
                <w:szCs w:val="22"/>
                <w:lang w:val="en-US" w:eastAsia="en-US" w:bidi="ar-SA"/>
              </w:rPr>
              <w:t>In the Matter of</w:t>
            </w:r>
          </w:p>
          <w:p w:rsidR="00742152" w:rsidRPr="007A1052" w:rsidP="00F84F1A" w14:paraId="7CA230D8" w14:textId="77777777">
            <w:pPr>
              <w:tabs>
                <w:tab w:val="left" w:pos="1545"/>
              </w:tabs>
              <w:suppressAutoHyphens/>
              <w:rPr>
                <w:rStyle w:val="DefaultParagraphFont"/>
                <w:spacing w:val="-2"/>
                <w:sz w:val="22"/>
                <w:szCs w:val="22"/>
                <w:lang w:val="en-US" w:eastAsia="en-US" w:bidi="ar-SA"/>
              </w:rPr>
            </w:pPr>
            <w:r w:rsidRPr="007A1052">
              <w:rPr>
                <w:spacing w:val="-2"/>
                <w:sz w:val="22"/>
                <w:szCs w:val="22"/>
                <w:lang w:val="en-US" w:eastAsia="en-US" w:bidi="ar-SA"/>
              </w:rPr>
              <w:tab/>
            </w:r>
          </w:p>
          <w:p w:rsidR="00742152" w:rsidRPr="007A1052" w:rsidP="009C2144" w14:paraId="7538C634" w14:textId="77777777">
            <w:pPr>
              <w:rPr>
                <w:rStyle w:val="DefaultParagraphFont"/>
                <w:sz w:val="22"/>
                <w:szCs w:val="22"/>
                <w:lang w:val="en-US" w:eastAsia="en-US" w:bidi="ar-SA"/>
              </w:rPr>
            </w:pPr>
            <w:r w:rsidRPr="007A1052">
              <w:rPr>
                <w:sz w:val="22"/>
                <w:szCs w:val="22"/>
                <w:lang w:val="en-US" w:eastAsia="en-US" w:bidi="ar-SA"/>
              </w:rPr>
              <w:t xml:space="preserve">Improving Wireless Emergency Alerts and Community-Initiated Alerting </w:t>
            </w:r>
          </w:p>
          <w:p w:rsidR="00F745A9" w:rsidRPr="007A1052" w:rsidP="00C737C5" w14:paraId="1E189CEC" w14:textId="77777777">
            <w:pPr>
              <w:rPr>
                <w:rStyle w:val="DefaultParagraphFont"/>
                <w:sz w:val="22"/>
                <w:szCs w:val="22"/>
                <w:lang w:val="en-US" w:eastAsia="en-US" w:bidi="ar-SA"/>
              </w:rPr>
            </w:pPr>
          </w:p>
        </w:tc>
        <w:tc>
          <w:tcPr>
            <w:tcW w:w="720" w:type="dxa"/>
          </w:tcPr>
          <w:p w:rsidR="00742152" w:rsidRPr="007A1052" w14:paraId="3148D018" w14:textId="77777777">
            <w:pPr>
              <w:rPr>
                <w:rStyle w:val="DefaultParagraphFont"/>
                <w:sz w:val="22"/>
                <w:szCs w:val="22"/>
                <w:lang w:val="en-US" w:eastAsia="en-US" w:bidi="ar-SA"/>
              </w:rPr>
            </w:pPr>
            <w:r w:rsidRPr="007A1052">
              <w:rPr>
                <w:sz w:val="22"/>
                <w:szCs w:val="22"/>
                <w:lang w:val="en-US" w:eastAsia="en-US" w:bidi="ar-SA"/>
              </w:rPr>
              <w:t>)</w:t>
            </w:r>
          </w:p>
          <w:p w:rsidR="00742152" w:rsidRPr="007A1052" w14:paraId="5163F1B3" w14:textId="77777777">
            <w:pPr>
              <w:rPr>
                <w:rStyle w:val="DefaultParagraphFont"/>
                <w:sz w:val="22"/>
                <w:szCs w:val="22"/>
                <w:lang w:val="en-US" w:eastAsia="en-US" w:bidi="ar-SA"/>
              </w:rPr>
            </w:pPr>
            <w:r w:rsidRPr="007A1052">
              <w:rPr>
                <w:sz w:val="22"/>
                <w:szCs w:val="22"/>
                <w:lang w:val="en-US" w:eastAsia="en-US" w:bidi="ar-SA"/>
              </w:rPr>
              <w:t>)</w:t>
            </w:r>
          </w:p>
          <w:p w:rsidR="00742152" w:rsidRPr="007A1052" w14:paraId="023C36B9" w14:textId="77777777">
            <w:pPr>
              <w:rPr>
                <w:rStyle w:val="DefaultParagraphFont"/>
                <w:sz w:val="22"/>
                <w:szCs w:val="22"/>
                <w:lang w:val="en-US" w:eastAsia="en-US" w:bidi="ar-SA"/>
              </w:rPr>
            </w:pPr>
            <w:r w:rsidRPr="007A1052">
              <w:rPr>
                <w:sz w:val="22"/>
                <w:szCs w:val="22"/>
                <w:lang w:val="en-US" w:eastAsia="en-US" w:bidi="ar-SA"/>
              </w:rPr>
              <w:t>)</w:t>
            </w:r>
          </w:p>
          <w:p w:rsidR="0090768B" w:rsidRPr="007A1052" w:rsidP="0090768B" w14:paraId="5B0C10C0" w14:textId="77777777">
            <w:pPr>
              <w:rPr>
                <w:rStyle w:val="DefaultParagraphFont"/>
                <w:sz w:val="22"/>
                <w:szCs w:val="22"/>
                <w:lang w:val="en-US" w:eastAsia="en-US" w:bidi="ar-SA"/>
              </w:rPr>
            </w:pPr>
            <w:r w:rsidRPr="007A1052">
              <w:rPr>
                <w:sz w:val="22"/>
                <w:szCs w:val="22"/>
                <w:lang w:val="en-US" w:eastAsia="en-US" w:bidi="ar-SA"/>
              </w:rPr>
              <w:t>)</w:t>
            </w:r>
          </w:p>
          <w:p w:rsidR="001D22E9" w:rsidRPr="007A1052" w:rsidP="009C2144" w14:paraId="78EB82C5" w14:textId="77777777">
            <w:pPr>
              <w:rPr>
                <w:rStyle w:val="DefaultParagraphFont"/>
                <w:sz w:val="22"/>
                <w:szCs w:val="22"/>
                <w:lang w:val="en-US" w:eastAsia="en-US" w:bidi="ar-SA"/>
              </w:rPr>
            </w:pPr>
            <w:r w:rsidRPr="007A1052">
              <w:rPr>
                <w:sz w:val="22"/>
                <w:szCs w:val="22"/>
                <w:lang w:val="en-US" w:eastAsia="en-US" w:bidi="ar-SA"/>
              </w:rPr>
              <w:t>)</w:t>
            </w:r>
          </w:p>
          <w:p w:rsidR="00F745A9" w:rsidRPr="007A1052" w:rsidP="00C737C5" w14:paraId="7E04BB6B" w14:textId="77777777">
            <w:pPr>
              <w:rPr>
                <w:rStyle w:val="DefaultParagraphFont"/>
                <w:sz w:val="22"/>
                <w:szCs w:val="22"/>
                <w:lang w:val="en-US" w:eastAsia="en-US" w:bidi="ar-SA"/>
              </w:rPr>
            </w:pPr>
          </w:p>
        </w:tc>
        <w:tc>
          <w:tcPr>
            <w:tcW w:w="4230" w:type="dxa"/>
          </w:tcPr>
          <w:p w:rsidR="00742152" w:rsidRPr="007A1052" w14:paraId="169701D1" w14:textId="77777777">
            <w:pPr>
              <w:rPr>
                <w:rStyle w:val="DefaultParagraphFont"/>
                <w:sz w:val="22"/>
                <w:szCs w:val="22"/>
                <w:lang w:val="en-US" w:eastAsia="en-US" w:bidi="ar-SA"/>
              </w:rPr>
            </w:pPr>
          </w:p>
          <w:p w:rsidR="00742152" w:rsidRPr="007A1052" w14:paraId="3A2D71D6" w14:textId="77777777">
            <w:pPr>
              <w:rPr>
                <w:rStyle w:val="DefaultParagraphFont"/>
                <w:sz w:val="22"/>
                <w:szCs w:val="22"/>
                <w:lang w:val="en-US" w:eastAsia="en-US" w:bidi="ar-SA"/>
              </w:rPr>
            </w:pPr>
          </w:p>
          <w:p w:rsidR="001D22E9" w:rsidRPr="007A1052" w:rsidP="0090768B" w14:paraId="7C750072" w14:textId="77777777">
            <w:pPr>
              <w:tabs>
                <w:tab w:val="left" w:pos="5760"/>
              </w:tabs>
              <w:rPr>
                <w:rStyle w:val="DefaultParagraphFont"/>
                <w:b/>
                <w:sz w:val="22"/>
                <w:szCs w:val="22"/>
                <w:lang w:val="en-US" w:eastAsia="en-US" w:bidi="ar-SA"/>
              </w:rPr>
            </w:pPr>
            <w:r w:rsidRPr="007A1052">
              <w:rPr>
                <w:sz w:val="22"/>
                <w:szCs w:val="22"/>
                <w:lang w:val="en-US" w:eastAsia="en-US" w:bidi="ar-SA"/>
              </w:rPr>
              <w:t xml:space="preserve">PS Docket No. </w:t>
            </w:r>
            <w:r w:rsidRPr="007A1052">
              <w:rPr>
                <w:sz w:val="22"/>
                <w:szCs w:val="22"/>
                <w:lang w:val="en-US" w:eastAsia="en-US" w:bidi="ar-SA"/>
              </w:rPr>
              <w:t>15-91</w:t>
            </w:r>
            <w:r w:rsidRPr="007A1052">
              <w:rPr>
                <w:b/>
                <w:sz w:val="22"/>
                <w:szCs w:val="22"/>
                <w:lang w:val="en-US" w:eastAsia="en-US" w:bidi="ar-SA"/>
              </w:rPr>
              <w:t xml:space="preserve"> </w:t>
            </w:r>
          </w:p>
          <w:p w:rsidR="00F745A9" w:rsidRPr="007A1052" w:rsidP="0090768B" w14:paraId="2F9F1039" w14:textId="77777777">
            <w:pPr>
              <w:tabs>
                <w:tab w:val="left" w:pos="5760"/>
              </w:tabs>
              <w:rPr>
                <w:rStyle w:val="DefaultParagraphFont"/>
                <w:b/>
                <w:sz w:val="22"/>
                <w:szCs w:val="22"/>
                <w:lang w:val="en-US" w:eastAsia="en-US" w:bidi="ar-SA"/>
              </w:rPr>
            </w:pPr>
          </w:p>
          <w:p w:rsidR="00F745A9" w:rsidRPr="007A1052" w:rsidP="0090768B" w14:paraId="043E2976" w14:textId="77777777">
            <w:pPr>
              <w:tabs>
                <w:tab w:val="left" w:pos="5760"/>
              </w:tabs>
              <w:rPr>
                <w:rStyle w:val="DefaultParagraphFont"/>
                <w:sz w:val="22"/>
                <w:szCs w:val="22"/>
                <w:lang w:val="en-US" w:eastAsia="en-US" w:bidi="ar-SA"/>
              </w:rPr>
            </w:pPr>
          </w:p>
        </w:tc>
      </w:tr>
    </w:tbl>
    <w:p w:rsidR="00742152" w:rsidRPr="007A1052" w:rsidP="00ED0208" w14:paraId="4735F2FA" w14:textId="77777777">
      <w:pPr>
        <w:tabs>
          <w:tab w:val="center" w:pos="4680"/>
          <w:tab w:val="left" w:pos="6670"/>
        </w:tabs>
        <w:spacing w:before="120"/>
        <w:jc w:val="center"/>
        <w:rPr>
          <w:b/>
          <w:szCs w:val="22"/>
        </w:rPr>
      </w:pPr>
      <w:r w:rsidRPr="007A1052">
        <w:rPr>
          <w:b/>
          <w:spacing w:val="-2"/>
          <w:szCs w:val="22"/>
        </w:rPr>
        <w:t>ORDER</w:t>
      </w:r>
    </w:p>
    <w:p w:rsidR="00742152" w:rsidRPr="007A1052" w14:paraId="7BB74452" w14:textId="77777777">
      <w:pPr>
        <w:rPr>
          <w:szCs w:val="22"/>
        </w:rPr>
      </w:pPr>
    </w:p>
    <w:p w:rsidR="00742152" w:rsidRPr="007A1052" w14:paraId="40C50662" w14:textId="67C08FEB">
      <w:pPr>
        <w:tabs>
          <w:tab w:val="left" w:pos="5760"/>
          <w:tab w:val="right" w:pos="9360"/>
        </w:tabs>
        <w:rPr>
          <w:b/>
          <w:szCs w:val="22"/>
        </w:rPr>
      </w:pPr>
      <w:r w:rsidRPr="007A1052">
        <w:rPr>
          <w:b/>
          <w:szCs w:val="22"/>
        </w:rPr>
        <w:t xml:space="preserve">Adopted:  </w:t>
      </w:r>
      <w:r w:rsidRPr="007A1052" w:rsidR="00B1416A">
        <w:rPr>
          <w:b/>
          <w:szCs w:val="22"/>
        </w:rPr>
        <w:t xml:space="preserve">March </w:t>
      </w:r>
      <w:r w:rsidR="0086279E">
        <w:rPr>
          <w:b/>
          <w:szCs w:val="22"/>
        </w:rPr>
        <w:t>16</w:t>
      </w:r>
      <w:r w:rsidRPr="007A1052" w:rsidR="00F27C36">
        <w:rPr>
          <w:b/>
          <w:szCs w:val="22"/>
        </w:rPr>
        <w:t>, 201</w:t>
      </w:r>
      <w:r w:rsidRPr="007A1052" w:rsidR="008D2395">
        <w:rPr>
          <w:b/>
          <w:szCs w:val="22"/>
        </w:rPr>
        <w:t>8</w:t>
      </w:r>
      <w:r w:rsidRPr="007A1052">
        <w:rPr>
          <w:b/>
          <w:szCs w:val="22"/>
        </w:rPr>
        <w:tab/>
      </w:r>
      <w:r w:rsidRPr="007A1052">
        <w:rPr>
          <w:b/>
          <w:szCs w:val="22"/>
        </w:rPr>
        <w:tab/>
        <w:t xml:space="preserve">Released:  </w:t>
      </w:r>
      <w:r w:rsidRPr="007A1052" w:rsidR="008D2395">
        <w:rPr>
          <w:b/>
          <w:szCs w:val="22"/>
        </w:rPr>
        <w:t>March</w:t>
      </w:r>
      <w:r w:rsidRPr="007A1052" w:rsidR="00F27C36">
        <w:rPr>
          <w:b/>
          <w:szCs w:val="22"/>
        </w:rPr>
        <w:t xml:space="preserve"> </w:t>
      </w:r>
      <w:r w:rsidR="0086279E">
        <w:rPr>
          <w:b/>
          <w:szCs w:val="22"/>
        </w:rPr>
        <w:t>16</w:t>
      </w:r>
      <w:r w:rsidRPr="007A1052" w:rsidR="00F27C36">
        <w:rPr>
          <w:b/>
          <w:szCs w:val="22"/>
        </w:rPr>
        <w:t>, 201</w:t>
      </w:r>
      <w:r w:rsidRPr="007A1052" w:rsidR="008D2395">
        <w:rPr>
          <w:b/>
          <w:szCs w:val="22"/>
        </w:rPr>
        <w:t>8</w:t>
      </w:r>
    </w:p>
    <w:p w:rsidR="00742152" w:rsidRPr="007A1052" w14:paraId="6192BC89" w14:textId="77777777">
      <w:pPr>
        <w:tabs>
          <w:tab w:val="left" w:pos="5760"/>
          <w:tab w:val="right" w:pos="9360"/>
        </w:tabs>
        <w:rPr>
          <w:b/>
          <w:szCs w:val="22"/>
        </w:rPr>
      </w:pPr>
    </w:p>
    <w:p w:rsidR="00742152" w:rsidRPr="007A1052" w14:paraId="5557B2ED" w14:textId="77777777">
      <w:pPr>
        <w:rPr>
          <w:spacing w:val="-2"/>
          <w:szCs w:val="22"/>
        </w:rPr>
      </w:pPr>
      <w:r w:rsidRPr="007A1052">
        <w:rPr>
          <w:szCs w:val="22"/>
        </w:rPr>
        <w:t>By the</w:t>
      </w:r>
      <w:r w:rsidRPr="007A1052">
        <w:rPr>
          <w:spacing w:val="-2"/>
          <w:szCs w:val="22"/>
        </w:rPr>
        <w:t xml:space="preserve"> </w:t>
      </w:r>
      <w:r w:rsidRPr="007A1052">
        <w:rPr>
          <w:szCs w:val="22"/>
        </w:rPr>
        <w:t xml:space="preserve">Chief, Public Safety and Homeland Security </w:t>
      </w:r>
      <w:r w:rsidRPr="007A1052">
        <w:rPr>
          <w:spacing w:val="-2"/>
          <w:szCs w:val="22"/>
        </w:rPr>
        <w:t>Bureau:</w:t>
      </w:r>
    </w:p>
    <w:p w:rsidR="00742152" w:rsidRPr="007A1052" w14:paraId="2078222A" w14:textId="77777777">
      <w:pPr>
        <w:tabs>
          <w:tab w:val="left" w:pos="5760"/>
        </w:tabs>
        <w:rPr>
          <w:b/>
          <w:szCs w:val="22"/>
        </w:rPr>
      </w:pPr>
    </w:p>
    <w:p w:rsidR="00742152" w:rsidRPr="007A1052" w14:paraId="3BC36699" w14:textId="77777777">
      <w:pPr>
        <w:pStyle w:val="StyleHeading1LeftAfter6pt"/>
        <w:rPr>
          <w:color w:val="000000"/>
          <w:szCs w:val="22"/>
        </w:rPr>
      </w:pPr>
      <w:r w:rsidRPr="007A1052">
        <w:rPr>
          <w:szCs w:val="22"/>
        </w:rPr>
        <w:t>Introduction</w:t>
      </w:r>
    </w:p>
    <w:p w:rsidR="00F357FF" w:rsidRPr="00C556AE" w:rsidP="00F357FF" w14:paraId="5243BE0B" w14:textId="26C6CEF7">
      <w:pPr>
        <w:pStyle w:val="ParaNum"/>
        <w:numPr>
          <w:ilvl w:val="0"/>
          <w:numId w:val="4"/>
        </w:numPr>
        <w:tabs>
          <w:tab w:val="clear" w:pos="360"/>
        </w:tabs>
        <w:ind w:left="0" w:firstLine="720"/>
        <w:rPr>
          <w:szCs w:val="22"/>
        </w:rPr>
      </w:pPr>
      <w:r w:rsidRPr="00C556AE">
        <w:rPr>
          <w:szCs w:val="22"/>
        </w:rPr>
        <w:t xml:space="preserve">In this </w:t>
      </w:r>
      <w:r w:rsidRPr="00C556AE">
        <w:rPr>
          <w:i/>
          <w:szCs w:val="22"/>
        </w:rPr>
        <w:t>Order</w:t>
      </w:r>
      <w:r w:rsidRPr="00C556AE">
        <w:rPr>
          <w:szCs w:val="22"/>
        </w:rPr>
        <w:t xml:space="preserve">, </w:t>
      </w:r>
      <w:r w:rsidRPr="00C556AE" w:rsidR="00B1416A">
        <w:rPr>
          <w:szCs w:val="22"/>
        </w:rPr>
        <w:t xml:space="preserve">the Public Safety and Homeland Security </w:t>
      </w:r>
      <w:r w:rsidRPr="00C556AE" w:rsidR="00B1416A">
        <w:rPr>
          <w:spacing w:val="-2"/>
          <w:szCs w:val="22"/>
        </w:rPr>
        <w:t>Bureau</w:t>
      </w:r>
      <w:r w:rsidRPr="00C556AE" w:rsidR="00B1416A">
        <w:rPr>
          <w:szCs w:val="22"/>
        </w:rPr>
        <w:t xml:space="preserve"> (Bureau) of the Federal Communications Commission (Commission)</w:t>
      </w:r>
      <w:r w:rsidRPr="00C556AE" w:rsidR="00843B13">
        <w:rPr>
          <w:szCs w:val="22"/>
        </w:rPr>
        <w:t xml:space="preserve"> grants a limited waiver of the Commission’s Wireless Emergency Alert (WEA) rules</w:t>
      </w:r>
      <w:r>
        <w:rPr>
          <w:szCs w:val="22"/>
          <w:vertAlign w:val="superscript"/>
        </w:rPr>
        <w:footnoteReference w:id="3"/>
      </w:r>
      <w:r w:rsidRPr="00C556AE" w:rsidR="00843B13">
        <w:rPr>
          <w:szCs w:val="22"/>
        </w:rPr>
        <w:t xml:space="preserve"> to permit Participating Commercial Mobile Service (CMS) Providers</w:t>
      </w:r>
      <w:r>
        <w:rPr>
          <w:szCs w:val="22"/>
          <w:vertAlign w:val="superscript"/>
        </w:rPr>
        <w:footnoteReference w:id="4"/>
      </w:r>
      <w:r w:rsidRPr="00C556AE" w:rsidR="00843B13">
        <w:rPr>
          <w:szCs w:val="22"/>
        </w:rPr>
        <w:t xml:space="preserve"> to participate in a WEA test conducted by</w:t>
      </w:r>
      <w:r w:rsidRPr="00C556AE" w:rsidR="00B1416A">
        <w:rPr>
          <w:szCs w:val="22"/>
        </w:rPr>
        <w:t xml:space="preserve"> t</w:t>
      </w:r>
      <w:r w:rsidRPr="004D0BDB" w:rsidR="00B1416A">
        <w:rPr>
          <w:w w:val="105"/>
        </w:rPr>
        <w:t>he</w:t>
      </w:r>
      <w:r w:rsidRPr="004D0BDB" w:rsidR="00B1416A">
        <w:rPr>
          <w:spacing w:val="-21"/>
          <w:w w:val="105"/>
        </w:rPr>
        <w:t xml:space="preserve"> </w:t>
      </w:r>
      <w:r w:rsidRPr="004D0BDB" w:rsidR="00B1416A">
        <w:rPr>
          <w:w w:val="105"/>
        </w:rPr>
        <w:t>Metropolitan</w:t>
      </w:r>
      <w:r w:rsidRPr="004D0BDB" w:rsidR="00B1416A">
        <w:rPr>
          <w:spacing w:val="-24"/>
          <w:w w:val="105"/>
        </w:rPr>
        <w:t xml:space="preserve"> </w:t>
      </w:r>
      <w:r w:rsidRPr="004D0BDB" w:rsidR="00B1416A">
        <w:rPr>
          <w:w w:val="105"/>
        </w:rPr>
        <w:t>Washington</w:t>
      </w:r>
      <w:r w:rsidRPr="004D0BDB" w:rsidR="00B1416A">
        <w:rPr>
          <w:spacing w:val="-17"/>
          <w:w w:val="105"/>
        </w:rPr>
        <w:t xml:space="preserve"> </w:t>
      </w:r>
      <w:r w:rsidRPr="004D0BDB" w:rsidR="00B1416A">
        <w:rPr>
          <w:w w:val="105"/>
        </w:rPr>
        <w:t>Council</w:t>
      </w:r>
      <w:r w:rsidRPr="004D0BDB" w:rsidR="00B1416A">
        <w:rPr>
          <w:spacing w:val="-22"/>
          <w:w w:val="105"/>
        </w:rPr>
        <w:t xml:space="preserve"> </w:t>
      </w:r>
      <w:r w:rsidRPr="004D0BDB" w:rsidR="00B1416A">
        <w:rPr>
          <w:w w:val="105"/>
        </w:rPr>
        <w:t>of</w:t>
      </w:r>
      <w:r w:rsidRPr="004D0BDB" w:rsidR="00B1416A">
        <w:rPr>
          <w:spacing w:val="-26"/>
          <w:w w:val="105"/>
        </w:rPr>
        <w:t xml:space="preserve"> </w:t>
      </w:r>
      <w:r w:rsidRPr="004D0BDB" w:rsidR="00B1416A">
        <w:rPr>
          <w:w w:val="105"/>
        </w:rPr>
        <w:t>Governments</w:t>
      </w:r>
      <w:r w:rsidRPr="004D0BDB" w:rsidR="00B1416A">
        <w:rPr>
          <w:spacing w:val="-21"/>
          <w:w w:val="105"/>
        </w:rPr>
        <w:t xml:space="preserve"> </w:t>
      </w:r>
      <w:r w:rsidRPr="004D0BDB" w:rsidR="00B1416A">
        <w:rPr>
          <w:w w:val="105"/>
        </w:rPr>
        <w:t>Emergency</w:t>
      </w:r>
      <w:r w:rsidRPr="004D0BDB" w:rsidR="00B1416A">
        <w:rPr>
          <w:spacing w:val="-23"/>
          <w:w w:val="105"/>
        </w:rPr>
        <w:t xml:space="preserve"> </w:t>
      </w:r>
      <w:r w:rsidRPr="004D0BDB" w:rsidR="00B1416A">
        <w:rPr>
          <w:w w:val="105"/>
        </w:rPr>
        <w:t>Managers</w:t>
      </w:r>
      <w:r w:rsidRPr="004D0BDB" w:rsidR="00BE51C4">
        <w:rPr>
          <w:w w:val="105"/>
        </w:rPr>
        <w:t>’</w:t>
      </w:r>
      <w:r w:rsidRPr="004D0BDB" w:rsidR="00B1416A">
        <w:rPr>
          <w:spacing w:val="-21"/>
          <w:w w:val="105"/>
        </w:rPr>
        <w:t xml:space="preserve"> </w:t>
      </w:r>
      <w:r w:rsidRPr="004D0BDB" w:rsidR="00C556AE">
        <w:rPr>
          <w:w w:val="105"/>
        </w:rPr>
        <w:t>Committee</w:t>
      </w:r>
      <w:r w:rsidRPr="004D0BDB" w:rsidR="00DD1483">
        <w:rPr>
          <w:w w:val="105"/>
        </w:rPr>
        <w:t xml:space="preserve"> </w:t>
      </w:r>
      <w:r w:rsidRPr="004D0BDB" w:rsidR="00E26082">
        <w:rPr>
          <w:w w:val="105"/>
        </w:rPr>
        <w:t>(MWCOG)</w:t>
      </w:r>
      <w:r w:rsidRPr="004D0BDB" w:rsidR="008F7562">
        <w:rPr>
          <w:w w:val="105"/>
        </w:rPr>
        <w:t>.</w:t>
      </w:r>
      <w:r>
        <w:rPr>
          <w:rStyle w:val="FootnoteReference"/>
          <w:w w:val="105"/>
        </w:rPr>
        <w:footnoteReference w:id="5"/>
      </w:r>
      <w:r w:rsidRPr="004D0BDB" w:rsidR="008F7562">
        <w:rPr>
          <w:w w:val="105"/>
        </w:rPr>
        <w:t xml:space="preserve">  Th</w:t>
      </w:r>
      <w:r w:rsidRPr="004D0BDB" w:rsidR="00DD1483">
        <w:rPr>
          <w:w w:val="105"/>
        </w:rPr>
        <w:t>e</w:t>
      </w:r>
      <w:r w:rsidRPr="004D0BDB" w:rsidR="008F7562">
        <w:rPr>
          <w:w w:val="105"/>
        </w:rPr>
        <w:t xml:space="preserve"> test </w:t>
      </w:r>
      <w:r w:rsidRPr="004D0BDB" w:rsidR="00DD1483">
        <w:rPr>
          <w:w w:val="105"/>
        </w:rPr>
        <w:t xml:space="preserve">will be coordinated </w:t>
      </w:r>
      <w:r w:rsidRPr="004D0BDB" w:rsidR="00D6064A">
        <w:rPr>
          <w:w w:val="105"/>
        </w:rPr>
        <w:t xml:space="preserve">by the MWCOG </w:t>
      </w:r>
      <w:r w:rsidRPr="004D0BDB" w:rsidR="00DD1483">
        <w:rPr>
          <w:w w:val="105"/>
        </w:rPr>
        <w:t xml:space="preserve">and </w:t>
      </w:r>
      <w:r w:rsidRPr="004D0BDB" w:rsidR="000B7782">
        <w:rPr>
          <w:w w:val="105"/>
        </w:rPr>
        <w:t xml:space="preserve">will </w:t>
      </w:r>
      <w:r w:rsidRPr="004D0BDB" w:rsidR="008F7562">
        <w:rPr>
          <w:w w:val="105"/>
        </w:rPr>
        <w:t>involv</w:t>
      </w:r>
      <w:r w:rsidRPr="004D0BDB" w:rsidR="00DD1483">
        <w:rPr>
          <w:w w:val="105"/>
        </w:rPr>
        <w:t>e</w:t>
      </w:r>
      <w:r w:rsidRPr="004D0BDB" w:rsidR="008F7562">
        <w:rPr>
          <w:w w:val="105"/>
        </w:rPr>
        <w:t xml:space="preserve"> twenty (2</w:t>
      </w:r>
      <w:r w:rsidRPr="004D0BDB" w:rsidR="009949AB">
        <w:rPr>
          <w:w w:val="105"/>
        </w:rPr>
        <w:t>0</w:t>
      </w:r>
      <w:r w:rsidRPr="004D0BDB" w:rsidR="008F7562">
        <w:rPr>
          <w:w w:val="105"/>
        </w:rPr>
        <w:t xml:space="preserve">) jurisdictions within the </w:t>
      </w:r>
      <w:r w:rsidRPr="00C556AE" w:rsidR="0030229E">
        <w:rPr>
          <w:szCs w:val="22"/>
        </w:rPr>
        <w:t>National Capital Region (NCR)</w:t>
      </w:r>
      <w:r w:rsidRPr="00C556AE" w:rsidR="00E26082">
        <w:rPr>
          <w:szCs w:val="22"/>
        </w:rPr>
        <w:t>,</w:t>
      </w:r>
      <w:r>
        <w:rPr>
          <w:rStyle w:val="FootnoteReference"/>
          <w:szCs w:val="22"/>
        </w:rPr>
        <w:footnoteReference w:id="6"/>
      </w:r>
      <w:r w:rsidRPr="004D0BDB" w:rsidR="008F7562">
        <w:rPr>
          <w:w w:val="105"/>
        </w:rPr>
        <w:t xml:space="preserve"> simulat</w:t>
      </w:r>
      <w:r w:rsidRPr="004D0BDB" w:rsidR="00DD1483">
        <w:rPr>
          <w:w w:val="105"/>
        </w:rPr>
        <w:t>ing</w:t>
      </w:r>
      <w:r w:rsidRPr="004D0BDB" w:rsidR="008F7562">
        <w:rPr>
          <w:w w:val="105"/>
        </w:rPr>
        <w:t xml:space="preserve"> the manner in which the MWCOG would conduct a </w:t>
      </w:r>
      <w:r w:rsidRPr="004D0BDB" w:rsidR="00B63F30">
        <w:rPr>
          <w:w w:val="105"/>
        </w:rPr>
        <w:t>coordinated</w:t>
      </w:r>
      <w:r w:rsidRPr="004D0BDB" w:rsidR="008F7562">
        <w:rPr>
          <w:w w:val="105"/>
        </w:rPr>
        <w:t xml:space="preserve"> WEA in the case of an actual emergency.</w:t>
      </w:r>
      <w:r>
        <w:rPr>
          <w:rStyle w:val="FootnoteReference"/>
          <w:w w:val="105"/>
        </w:rPr>
        <w:footnoteReference w:id="7"/>
      </w:r>
      <w:r w:rsidRPr="004D0BDB" w:rsidR="00B63F30">
        <w:rPr>
          <w:w w:val="105"/>
        </w:rPr>
        <w:t xml:space="preserve">  As proposed by the MWCOG, the test would occur </w:t>
      </w:r>
      <w:r w:rsidRPr="00C556AE" w:rsidR="00B63F30">
        <w:rPr>
          <w:szCs w:val="22"/>
        </w:rPr>
        <w:t>between 10</w:t>
      </w:r>
      <w:r w:rsidRPr="00C556AE" w:rsidR="00723272">
        <w:rPr>
          <w:szCs w:val="22"/>
        </w:rPr>
        <w:t xml:space="preserve">:00 </w:t>
      </w:r>
      <w:r w:rsidR="002274AA">
        <w:rPr>
          <w:szCs w:val="22"/>
        </w:rPr>
        <w:t>AM</w:t>
      </w:r>
      <w:r w:rsidRPr="00C556AE" w:rsidR="00723272">
        <w:rPr>
          <w:szCs w:val="22"/>
        </w:rPr>
        <w:t xml:space="preserve"> </w:t>
      </w:r>
      <w:r w:rsidRPr="00C556AE" w:rsidR="00B63F30">
        <w:rPr>
          <w:szCs w:val="22"/>
        </w:rPr>
        <w:t xml:space="preserve">and 10:30 </w:t>
      </w:r>
      <w:r w:rsidR="002274AA">
        <w:rPr>
          <w:szCs w:val="22"/>
        </w:rPr>
        <w:t>AM</w:t>
      </w:r>
      <w:r w:rsidRPr="00C556AE" w:rsidR="00723272">
        <w:rPr>
          <w:szCs w:val="22"/>
        </w:rPr>
        <w:t xml:space="preserve"> EDT </w:t>
      </w:r>
      <w:r w:rsidRPr="00C556AE" w:rsidR="00B63F30">
        <w:rPr>
          <w:szCs w:val="22"/>
        </w:rPr>
        <w:t xml:space="preserve">on </w:t>
      </w:r>
      <w:r w:rsidRPr="00C556AE" w:rsidR="00A244DA">
        <w:rPr>
          <w:szCs w:val="22"/>
        </w:rPr>
        <w:t xml:space="preserve">Thursday, </w:t>
      </w:r>
      <w:r w:rsidRPr="00C556AE" w:rsidR="00B63F30">
        <w:rPr>
          <w:szCs w:val="22"/>
        </w:rPr>
        <w:t xml:space="preserve">April </w:t>
      </w:r>
      <w:r w:rsidRPr="00C556AE" w:rsidR="00D6064A">
        <w:rPr>
          <w:szCs w:val="22"/>
        </w:rPr>
        <w:t>5</w:t>
      </w:r>
      <w:r w:rsidRPr="00C556AE" w:rsidR="00B63F30">
        <w:rPr>
          <w:szCs w:val="22"/>
        </w:rPr>
        <w:t xml:space="preserve">, 2018, with a backup date of </w:t>
      </w:r>
      <w:r w:rsidRPr="00C556AE" w:rsidR="00D6064A">
        <w:rPr>
          <w:szCs w:val="22"/>
        </w:rPr>
        <w:t xml:space="preserve">Monday, </w:t>
      </w:r>
      <w:r w:rsidRPr="00C556AE" w:rsidR="00B63F30">
        <w:rPr>
          <w:szCs w:val="22"/>
        </w:rPr>
        <w:t xml:space="preserve">April </w:t>
      </w:r>
      <w:r w:rsidRPr="00C556AE" w:rsidR="00D6064A">
        <w:rPr>
          <w:szCs w:val="22"/>
        </w:rPr>
        <w:t>9</w:t>
      </w:r>
      <w:r w:rsidRPr="00C556AE" w:rsidR="00B63F30">
        <w:rPr>
          <w:szCs w:val="22"/>
        </w:rPr>
        <w:t>, 2018</w:t>
      </w:r>
      <w:r w:rsidRPr="00C556AE" w:rsidR="00496F60">
        <w:rPr>
          <w:szCs w:val="22"/>
        </w:rPr>
        <w:t xml:space="preserve">, and </w:t>
      </w:r>
      <w:r w:rsidRPr="00C556AE" w:rsidR="00B63F30">
        <w:rPr>
          <w:szCs w:val="22"/>
        </w:rPr>
        <w:t>would consist of separate WEA tests from twelve of the twenty jurisd</w:t>
      </w:r>
      <w:r w:rsidRPr="00C556AE" w:rsidR="00D6064A">
        <w:rPr>
          <w:szCs w:val="22"/>
        </w:rPr>
        <w:t>i</w:t>
      </w:r>
      <w:r w:rsidRPr="00C556AE">
        <w:rPr>
          <w:szCs w:val="22"/>
        </w:rPr>
        <w:t>ctions.</w:t>
      </w:r>
      <w:r>
        <w:rPr>
          <w:rStyle w:val="FootnoteReference"/>
          <w:szCs w:val="22"/>
        </w:rPr>
        <w:footnoteReference w:id="8"/>
      </w:r>
      <w:r w:rsidRPr="00C556AE">
        <w:rPr>
          <w:szCs w:val="22"/>
        </w:rPr>
        <w:t xml:space="preserve">  For the reasons discussed below, we grant the waiver subject to certain conditions. </w:t>
      </w:r>
    </w:p>
    <w:p w:rsidR="00742152" w:rsidRPr="007A1052" w14:paraId="0BDE8A42" w14:textId="77777777">
      <w:pPr>
        <w:pStyle w:val="StyleHeading1LeftAfter6pt"/>
        <w:rPr>
          <w:szCs w:val="22"/>
        </w:rPr>
      </w:pPr>
      <w:r w:rsidRPr="007A1052">
        <w:rPr>
          <w:szCs w:val="22"/>
        </w:rPr>
        <w:t>BACKGROUND</w:t>
      </w:r>
    </w:p>
    <w:p w:rsidR="00BE5B8C" w:rsidRPr="00C556AE" w:rsidP="00843023" w14:paraId="736ACCC8" w14:textId="77777777">
      <w:pPr>
        <w:pStyle w:val="ParaNum"/>
        <w:numPr>
          <w:ilvl w:val="0"/>
          <w:numId w:val="4"/>
        </w:numPr>
        <w:tabs>
          <w:tab w:val="clear" w:pos="360"/>
        </w:tabs>
        <w:ind w:left="0" w:firstLine="720"/>
        <w:rPr>
          <w:szCs w:val="22"/>
        </w:rPr>
      </w:pPr>
      <w:bookmarkStart w:id="3" w:name="_Ref434933436"/>
      <w:r w:rsidRPr="007A1052">
        <w:rPr>
          <w:color w:val="010101"/>
          <w:szCs w:val="22"/>
        </w:rPr>
        <w:t>T</w:t>
      </w:r>
      <w:r w:rsidRPr="00F357FF">
        <w:t>h</w:t>
      </w:r>
      <w:r w:rsidRPr="00F357FF">
        <w:rPr>
          <w:color w:val="010101"/>
          <w:szCs w:val="22"/>
        </w:rPr>
        <w:t>e WEA system allows authorized government authorities to send geographically</w:t>
      </w:r>
      <w:r w:rsidR="00DD1483">
        <w:rPr>
          <w:color w:val="010101"/>
          <w:szCs w:val="22"/>
        </w:rPr>
        <w:t xml:space="preserve"> </w:t>
      </w:r>
      <w:r w:rsidRPr="00F357FF">
        <w:rPr>
          <w:color w:val="010101"/>
          <w:szCs w:val="22"/>
        </w:rPr>
        <w:t>targeted emergency alerts to commercial wireless subscribers who have WEA-capable mobile devices and whose commercial wireless service providers are Participating CMS Providers.</w:t>
      </w:r>
      <w:r>
        <w:rPr>
          <w:color w:val="010101"/>
          <w:szCs w:val="22"/>
          <w:vertAlign w:val="superscript"/>
        </w:rPr>
        <w:footnoteReference w:id="9"/>
      </w:r>
      <w:r w:rsidRPr="00F357FF">
        <w:rPr>
          <w:color w:val="010101"/>
          <w:szCs w:val="22"/>
        </w:rPr>
        <w:t xml:space="preserve">  The Commission</w:t>
      </w:r>
      <w:r w:rsidR="000E48C5">
        <w:rPr>
          <w:color w:val="010101"/>
          <w:szCs w:val="22"/>
        </w:rPr>
        <w:t>’</w:t>
      </w:r>
      <w:r w:rsidRPr="00F357FF">
        <w:rPr>
          <w:color w:val="010101"/>
          <w:szCs w:val="22"/>
        </w:rPr>
        <w:t>s rules prohibit the use of the WEA Attention Signal except during actual emergencies, authorized tests, and certain public service announcements.</w:t>
      </w:r>
      <w:r>
        <w:rPr>
          <w:color w:val="010101"/>
          <w:szCs w:val="22"/>
          <w:vertAlign w:val="superscript"/>
        </w:rPr>
        <w:footnoteReference w:id="10"/>
      </w:r>
      <w:r>
        <w:rPr>
          <w:color w:val="010101"/>
          <w:szCs w:val="22"/>
        </w:rPr>
        <w:t xml:space="preserve">  </w:t>
      </w:r>
      <w:r w:rsidRPr="00F357FF">
        <w:rPr>
          <w:color w:val="010101"/>
          <w:szCs w:val="22"/>
        </w:rPr>
        <w:t>Additionally, the Commission’s rules allow testing of WEA functionality only in limited circumstances</w:t>
      </w:r>
      <w:r w:rsidR="00E26082">
        <w:rPr>
          <w:color w:val="010101"/>
          <w:szCs w:val="22"/>
        </w:rPr>
        <w:t xml:space="preserve"> that currently do not include end-to-end WEA tests to the public</w:t>
      </w:r>
      <w:r w:rsidRPr="00F357FF">
        <w:rPr>
          <w:color w:val="010101"/>
          <w:szCs w:val="22"/>
        </w:rPr>
        <w:t>.</w:t>
      </w:r>
      <w:r>
        <w:rPr>
          <w:color w:val="010101"/>
          <w:szCs w:val="22"/>
          <w:vertAlign w:val="superscript"/>
        </w:rPr>
        <w:footnoteReference w:id="11"/>
      </w:r>
      <w:r>
        <w:rPr>
          <w:color w:val="010101"/>
          <w:szCs w:val="22"/>
        </w:rPr>
        <w:t xml:space="preserve">  </w:t>
      </w:r>
      <w:bookmarkEnd w:id="3"/>
      <w:r w:rsidR="00AE35A9">
        <w:rPr>
          <w:color w:val="010101"/>
          <w:szCs w:val="22"/>
        </w:rPr>
        <w:t>On November 1, 2016, the Commission adopted a</w:t>
      </w:r>
      <w:r w:rsidRPr="007A1052" w:rsidR="00A36B6B">
        <w:rPr>
          <w:szCs w:val="22"/>
        </w:rPr>
        <w:t xml:space="preserve"> </w:t>
      </w:r>
      <w:r w:rsidRPr="007A1052" w:rsidR="000F6F6F">
        <w:rPr>
          <w:i/>
          <w:szCs w:val="22"/>
        </w:rPr>
        <w:t>Report and Order</w:t>
      </w:r>
      <w:r w:rsidRPr="007A1052" w:rsidR="000F6F6F">
        <w:rPr>
          <w:szCs w:val="22"/>
        </w:rPr>
        <w:t xml:space="preserve"> </w:t>
      </w:r>
      <w:r w:rsidR="00AE35A9">
        <w:rPr>
          <w:szCs w:val="22"/>
        </w:rPr>
        <w:t xml:space="preserve">that amends the WEA testing rules to permit </w:t>
      </w:r>
      <w:r w:rsidRPr="007A1052" w:rsidR="000F6F6F">
        <w:rPr>
          <w:szCs w:val="22"/>
        </w:rPr>
        <w:t xml:space="preserve">emergency managers to </w:t>
      </w:r>
      <w:r w:rsidR="00E26082">
        <w:rPr>
          <w:szCs w:val="22"/>
        </w:rPr>
        <w:t xml:space="preserve">conduct </w:t>
      </w:r>
      <w:r w:rsidRPr="007A1052" w:rsidR="000F6F6F">
        <w:rPr>
          <w:szCs w:val="22"/>
        </w:rPr>
        <w:t xml:space="preserve">end-to-end WEA tests </w:t>
      </w:r>
      <w:r w:rsidR="00AE35A9">
        <w:rPr>
          <w:szCs w:val="22"/>
        </w:rPr>
        <w:t xml:space="preserve">to the public </w:t>
      </w:r>
      <w:r w:rsidRPr="007A1052" w:rsidR="000F6F6F">
        <w:rPr>
          <w:szCs w:val="22"/>
        </w:rPr>
        <w:t>to assess how WEA is working within their jurisdictions</w:t>
      </w:r>
      <w:r w:rsidR="00AE35A9">
        <w:rPr>
          <w:szCs w:val="22"/>
        </w:rPr>
        <w:t>.</w:t>
      </w:r>
      <w:r>
        <w:rPr>
          <w:rStyle w:val="FootnoteReference"/>
          <w:szCs w:val="22"/>
        </w:rPr>
        <w:footnoteReference w:id="12"/>
      </w:r>
      <w:r w:rsidR="00AE35A9">
        <w:rPr>
          <w:szCs w:val="22"/>
        </w:rPr>
        <w:t xml:space="preserve">  The rules allowing such test</w:t>
      </w:r>
      <w:r w:rsidR="00E26082">
        <w:rPr>
          <w:szCs w:val="22"/>
        </w:rPr>
        <w:t>s</w:t>
      </w:r>
      <w:r w:rsidR="00AE35A9">
        <w:rPr>
          <w:szCs w:val="22"/>
        </w:rPr>
        <w:t xml:space="preserve"> will not be effective until </w:t>
      </w:r>
      <w:r w:rsidRPr="007A1052" w:rsidR="00365D15">
        <w:rPr>
          <w:szCs w:val="22"/>
        </w:rPr>
        <w:t>May 1, 2019</w:t>
      </w:r>
      <w:r w:rsidRPr="007A1052" w:rsidR="000F6F6F">
        <w:rPr>
          <w:szCs w:val="22"/>
        </w:rPr>
        <w:t>.</w:t>
      </w:r>
      <w:r>
        <w:rPr>
          <w:rStyle w:val="FootnoteReference"/>
          <w:szCs w:val="22"/>
        </w:rPr>
        <w:footnoteReference w:id="13"/>
      </w:r>
      <w:r w:rsidRPr="007A1052" w:rsidR="00A36B6B">
        <w:rPr>
          <w:szCs w:val="22"/>
        </w:rPr>
        <w:t xml:space="preserve">  </w:t>
      </w:r>
    </w:p>
    <w:p w:rsidR="0047611B" w:rsidRPr="00AE35A9" w:rsidP="00A244DA" w14:paraId="633F0772" w14:textId="42465B77">
      <w:pPr>
        <w:pStyle w:val="ParaNum"/>
        <w:numPr>
          <w:ilvl w:val="0"/>
          <w:numId w:val="4"/>
        </w:numPr>
        <w:tabs>
          <w:tab w:val="clear" w:pos="360"/>
        </w:tabs>
        <w:ind w:left="0" w:firstLine="720"/>
        <w:rPr>
          <w:szCs w:val="22"/>
        </w:rPr>
      </w:pPr>
      <w:r w:rsidRPr="00C556AE">
        <w:rPr>
          <w:szCs w:val="22"/>
        </w:rPr>
        <w:t xml:space="preserve">In the MWCOG </w:t>
      </w:r>
      <w:r w:rsidRPr="00C556AE" w:rsidR="00AE35A9">
        <w:rPr>
          <w:szCs w:val="22"/>
        </w:rPr>
        <w:t xml:space="preserve">March </w:t>
      </w:r>
      <w:r w:rsidRPr="00C556AE">
        <w:rPr>
          <w:szCs w:val="22"/>
        </w:rPr>
        <w:t xml:space="preserve">7 Letter, the </w:t>
      </w:r>
      <w:r w:rsidRPr="00C556AE" w:rsidR="00B7344C">
        <w:rPr>
          <w:szCs w:val="22"/>
        </w:rPr>
        <w:t xml:space="preserve">MWCOG requested </w:t>
      </w:r>
      <w:r w:rsidRPr="00C556AE" w:rsidR="00971922">
        <w:rPr>
          <w:szCs w:val="22"/>
        </w:rPr>
        <w:t>a waiver</w:t>
      </w:r>
      <w:r w:rsidRPr="00C556AE" w:rsidR="00B7344C">
        <w:rPr>
          <w:szCs w:val="22"/>
        </w:rPr>
        <w:t xml:space="preserve"> to </w:t>
      </w:r>
      <w:r w:rsidRPr="009F0933" w:rsidR="00B7344C">
        <w:rPr>
          <w:w w:val="105"/>
        </w:rPr>
        <w:t>use</w:t>
      </w:r>
      <w:r w:rsidRPr="009F0933" w:rsidR="00B7344C">
        <w:rPr>
          <w:spacing w:val="-10"/>
          <w:w w:val="105"/>
        </w:rPr>
        <w:t xml:space="preserve"> </w:t>
      </w:r>
      <w:r w:rsidRPr="009F0933" w:rsidR="00B7344C">
        <w:rPr>
          <w:w w:val="105"/>
        </w:rPr>
        <w:t>the</w:t>
      </w:r>
      <w:r w:rsidRPr="009F0933" w:rsidR="00B7344C">
        <w:rPr>
          <w:spacing w:val="-1"/>
          <w:w w:val="105"/>
        </w:rPr>
        <w:t xml:space="preserve"> </w:t>
      </w:r>
      <w:r w:rsidRPr="009F0933" w:rsidR="00B7344C">
        <w:rPr>
          <w:w w:val="105"/>
        </w:rPr>
        <w:t>WEA</w:t>
      </w:r>
      <w:r w:rsidRPr="009F0933" w:rsidR="00B7344C">
        <w:rPr>
          <w:spacing w:val="8"/>
          <w:w w:val="105"/>
        </w:rPr>
        <w:t xml:space="preserve"> </w:t>
      </w:r>
      <w:r w:rsidRPr="009F0933">
        <w:rPr>
          <w:spacing w:val="8"/>
          <w:w w:val="105"/>
        </w:rPr>
        <w:t xml:space="preserve">to send a </w:t>
      </w:r>
      <w:r w:rsidRPr="009F0933" w:rsidR="00B7344C">
        <w:rPr>
          <w:spacing w:val="-1"/>
          <w:w w:val="105"/>
        </w:rPr>
        <w:t>te</w:t>
      </w:r>
      <w:r w:rsidRPr="009F0933">
        <w:rPr>
          <w:spacing w:val="-1"/>
          <w:w w:val="105"/>
        </w:rPr>
        <w:t xml:space="preserve">st </w:t>
      </w:r>
      <w:r w:rsidRPr="009F0933" w:rsidR="00B7344C">
        <w:rPr>
          <w:spacing w:val="-3"/>
          <w:w w:val="105"/>
        </w:rPr>
        <w:t>message</w:t>
      </w:r>
      <w:r w:rsidRPr="009F0933" w:rsidR="00B7344C">
        <w:rPr>
          <w:spacing w:val="-9"/>
          <w:w w:val="105"/>
        </w:rPr>
        <w:t xml:space="preserve"> </w:t>
      </w:r>
      <w:r w:rsidRPr="009F0933">
        <w:rPr>
          <w:spacing w:val="-9"/>
          <w:w w:val="105"/>
        </w:rPr>
        <w:t xml:space="preserve">to </w:t>
      </w:r>
      <w:r>
        <w:rPr>
          <w:color w:val="151818"/>
          <w:spacing w:val="-9"/>
          <w:w w:val="105"/>
          <w:szCs w:val="22"/>
        </w:rPr>
        <w:t xml:space="preserve">WEA-capable wireless devices </w:t>
      </w:r>
      <w:r w:rsidRPr="00AE35A9">
        <w:rPr>
          <w:color w:val="151818"/>
          <w:spacing w:val="-9"/>
          <w:w w:val="105"/>
          <w:szCs w:val="22"/>
        </w:rPr>
        <w:t>in the NCR</w:t>
      </w:r>
      <w:r w:rsidRPr="00AE35A9" w:rsidR="00B7344C">
        <w:rPr>
          <w:color w:val="262A2A"/>
          <w:spacing w:val="-2"/>
          <w:w w:val="105"/>
          <w:szCs w:val="22"/>
        </w:rPr>
        <w:t>.</w:t>
      </w:r>
      <w:r>
        <w:rPr>
          <w:rStyle w:val="FootnoteReference"/>
          <w:color w:val="262A2A"/>
          <w:spacing w:val="-2"/>
          <w:w w:val="105"/>
          <w:szCs w:val="22"/>
        </w:rPr>
        <w:footnoteReference w:id="14"/>
      </w:r>
      <w:r w:rsidRPr="00AE35A9" w:rsidR="00B7344C">
        <w:rPr>
          <w:color w:val="262A2A"/>
          <w:spacing w:val="-16"/>
          <w:w w:val="105"/>
          <w:szCs w:val="22"/>
        </w:rPr>
        <w:t xml:space="preserve">  </w:t>
      </w:r>
      <w:r w:rsidRPr="00AE35A9">
        <w:rPr>
          <w:szCs w:val="22"/>
        </w:rPr>
        <w:t xml:space="preserve">According to </w:t>
      </w:r>
      <w:r>
        <w:rPr>
          <w:szCs w:val="22"/>
        </w:rPr>
        <w:t xml:space="preserve">the </w:t>
      </w:r>
      <w:r w:rsidRPr="00AE35A9">
        <w:rPr>
          <w:szCs w:val="22"/>
        </w:rPr>
        <w:t xml:space="preserve">MWCOG, the WEA test message will state: “This is a test of the [jurisdiction name] </w:t>
      </w:r>
      <w:r w:rsidR="0068348F">
        <w:rPr>
          <w:szCs w:val="22"/>
        </w:rPr>
        <w:t>Wireless Emergency Alerts</w:t>
      </w:r>
      <w:r w:rsidRPr="00AE35A9">
        <w:rPr>
          <w:szCs w:val="22"/>
        </w:rPr>
        <w:t xml:space="preserve">. </w:t>
      </w:r>
      <w:r w:rsidR="00C556AE">
        <w:rPr>
          <w:szCs w:val="22"/>
        </w:rPr>
        <w:t xml:space="preserve"> </w:t>
      </w:r>
      <w:r w:rsidRPr="00AE35A9">
        <w:rPr>
          <w:szCs w:val="22"/>
        </w:rPr>
        <w:t>No action is required.</w:t>
      </w:r>
      <w:r w:rsidR="0068348F">
        <w:rPr>
          <w:szCs w:val="22"/>
        </w:rPr>
        <w:t>”</w:t>
      </w:r>
      <w:r>
        <w:rPr>
          <w:rStyle w:val="FootnoteReference"/>
          <w:color w:val="262A2A"/>
          <w:spacing w:val="-2"/>
          <w:w w:val="105"/>
          <w:szCs w:val="22"/>
        </w:rPr>
        <w:footnoteReference w:id="15"/>
      </w:r>
      <w:r w:rsidRPr="00AE35A9">
        <w:rPr>
          <w:szCs w:val="22"/>
        </w:rPr>
        <w:t xml:space="preserve"> </w:t>
      </w:r>
      <w:r w:rsidRPr="00AE35A9" w:rsidR="00DC4906">
        <w:rPr>
          <w:szCs w:val="22"/>
        </w:rPr>
        <w:t xml:space="preserve"> The </w:t>
      </w:r>
      <w:r w:rsidRPr="00AE35A9">
        <w:rPr>
          <w:szCs w:val="22"/>
        </w:rPr>
        <w:t xml:space="preserve">MWCOG </w:t>
      </w:r>
      <w:r w:rsidRPr="00AE35A9" w:rsidR="00DC4906">
        <w:rPr>
          <w:szCs w:val="22"/>
        </w:rPr>
        <w:t xml:space="preserve">March </w:t>
      </w:r>
      <w:r w:rsidR="001471BE">
        <w:rPr>
          <w:szCs w:val="22"/>
        </w:rPr>
        <w:t xml:space="preserve">7 </w:t>
      </w:r>
      <w:r w:rsidRPr="00AE35A9" w:rsidR="00DC4906">
        <w:rPr>
          <w:szCs w:val="22"/>
        </w:rPr>
        <w:t>L</w:t>
      </w:r>
      <w:r w:rsidRPr="00AE35A9">
        <w:rPr>
          <w:szCs w:val="22"/>
        </w:rPr>
        <w:t xml:space="preserve">etter </w:t>
      </w:r>
      <w:r w:rsidRPr="00AE35A9" w:rsidR="00DC4906">
        <w:rPr>
          <w:szCs w:val="22"/>
        </w:rPr>
        <w:t>indicates</w:t>
      </w:r>
      <w:r w:rsidRPr="00AE35A9">
        <w:rPr>
          <w:szCs w:val="22"/>
        </w:rPr>
        <w:t xml:space="preserve"> that this test is not intended to be a substitute for other scheduled tests of WEA</w:t>
      </w:r>
      <w:r>
        <w:rPr>
          <w:szCs w:val="22"/>
        </w:rPr>
        <w:t>.</w:t>
      </w:r>
      <w:r>
        <w:rPr>
          <w:rStyle w:val="FootnoteReference"/>
          <w:szCs w:val="22"/>
        </w:rPr>
        <w:footnoteReference w:id="16"/>
      </w:r>
      <w:r w:rsidR="00C556AE">
        <w:rPr>
          <w:szCs w:val="22"/>
        </w:rPr>
        <w:t xml:space="preserve">  Rather, </w:t>
      </w:r>
      <w:r w:rsidRPr="009F0933" w:rsidR="00C556AE">
        <w:t>t</w:t>
      </w:r>
      <w:r w:rsidR="00C556AE">
        <w:rPr>
          <w:szCs w:val="22"/>
        </w:rPr>
        <w:t xml:space="preserve">he </w:t>
      </w:r>
      <w:r w:rsidRPr="00AE35A9" w:rsidR="00872D4D">
        <w:rPr>
          <w:szCs w:val="22"/>
        </w:rPr>
        <w:t>purpose of th</w:t>
      </w:r>
      <w:r w:rsidR="00AE35A9">
        <w:rPr>
          <w:szCs w:val="22"/>
        </w:rPr>
        <w:t xml:space="preserve">e proposed </w:t>
      </w:r>
      <w:r w:rsidRPr="00AE35A9" w:rsidR="00872D4D">
        <w:rPr>
          <w:szCs w:val="22"/>
        </w:rPr>
        <w:t xml:space="preserve">test is to ensure that the WEA system will work during certain emergencies within the entire </w:t>
      </w:r>
      <w:r>
        <w:rPr>
          <w:szCs w:val="22"/>
        </w:rPr>
        <w:t xml:space="preserve">NCR </w:t>
      </w:r>
      <w:r w:rsidRPr="00AE35A9" w:rsidR="00872D4D">
        <w:rPr>
          <w:szCs w:val="22"/>
        </w:rPr>
        <w:t>region</w:t>
      </w:r>
      <w:r w:rsidR="00AE35A9">
        <w:rPr>
          <w:szCs w:val="22"/>
        </w:rPr>
        <w:t>.</w:t>
      </w:r>
      <w:r>
        <w:rPr>
          <w:rStyle w:val="FootnoteReference"/>
          <w:color w:val="262A2A"/>
          <w:spacing w:val="-2"/>
          <w:w w:val="105"/>
          <w:szCs w:val="22"/>
        </w:rPr>
        <w:footnoteReference w:id="17"/>
      </w:r>
      <w:r w:rsidR="00AE35A9">
        <w:rPr>
          <w:szCs w:val="22"/>
        </w:rPr>
        <w:t xml:space="preserve">  The </w:t>
      </w:r>
      <w:r w:rsidRPr="00A244DA">
        <w:rPr>
          <w:szCs w:val="22"/>
        </w:rPr>
        <w:t xml:space="preserve">MWCOG </w:t>
      </w:r>
      <w:r w:rsidR="00AE35A9">
        <w:rPr>
          <w:szCs w:val="22"/>
        </w:rPr>
        <w:t xml:space="preserve">March </w:t>
      </w:r>
      <w:r>
        <w:rPr>
          <w:szCs w:val="22"/>
        </w:rPr>
        <w:t>7</w:t>
      </w:r>
      <w:r w:rsidR="00AE35A9">
        <w:rPr>
          <w:szCs w:val="22"/>
        </w:rPr>
        <w:t xml:space="preserve"> L</w:t>
      </w:r>
      <w:r w:rsidRPr="00AE35A9" w:rsidR="00872D4D">
        <w:rPr>
          <w:szCs w:val="22"/>
        </w:rPr>
        <w:t xml:space="preserve">etter </w:t>
      </w:r>
      <w:r w:rsidR="00AE35A9">
        <w:rPr>
          <w:szCs w:val="22"/>
        </w:rPr>
        <w:t xml:space="preserve">further </w:t>
      </w:r>
      <w:r w:rsidRPr="00AE35A9" w:rsidR="00872D4D">
        <w:rPr>
          <w:szCs w:val="22"/>
        </w:rPr>
        <w:t>notes that</w:t>
      </w:r>
      <w:r w:rsidR="00AE35A9">
        <w:rPr>
          <w:szCs w:val="22"/>
        </w:rPr>
        <w:t xml:space="preserve">, </w:t>
      </w:r>
      <w:r w:rsidRPr="00AE35A9" w:rsidR="00872D4D">
        <w:rPr>
          <w:szCs w:val="22"/>
        </w:rPr>
        <w:t>“</w:t>
      </w:r>
      <w:r w:rsidR="0094238B">
        <w:rPr>
          <w:szCs w:val="22"/>
        </w:rPr>
        <w:t>[a]</w:t>
      </w:r>
      <w:r w:rsidRPr="00AE35A9" w:rsidR="00872D4D">
        <w:rPr>
          <w:szCs w:val="22"/>
        </w:rPr>
        <w:t>s recent events in Hawaii and California demonstrate, it is essential that the public be familiar with WEA, and that emergency managers be proficient in the use of WEA before the initiation of an actual alert is necessary in the NCR.</w:t>
      </w:r>
      <w:r w:rsidR="00AE35A9">
        <w:rPr>
          <w:szCs w:val="22"/>
        </w:rPr>
        <w:t>”</w:t>
      </w:r>
      <w:r>
        <w:rPr>
          <w:rStyle w:val="FootnoteReference"/>
          <w:szCs w:val="22"/>
        </w:rPr>
        <w:footnoteReference w:id="18"/>
      </w:r>
      <w:r w:rsidRPr="00AE35A9" w:rsidR="00872D4D">
        <w:rPr>
          <w:szCs w:val="22"/>
        </w:rPr>
        <w:t xml:space="preserve"> </w:t>
      </w:r>
      <w:r w:rsidRPr="00AE35A9" w:rsidR="008C3822">
        <w:rPr>
          <w:szCs w:val="22"/>
        </w:rPr>
        <w:t xml:space="preserve"> </w:t>
      </w:r>
      <w:r w:rsidR="00055C77">
        <w:rPr>
          <w:szCs w:val="22"/>
        </w:rPr>
        <w:t>T</w:t>
      </w:r>
      <w:r w:rsidR="008500F9">
        <w:rPr>
          <w:szCs w:val="22"/>
        </w:rPr>
        <w:t>o help ensure readiness prior to an actual emergency, t</w:t>
      </w:r>
      <w:r w:rsidR="00AE35A9">
        <w:rPr>
          <w:szCs w:val="22"/>
        </w:rPr>
        <w:t>he MW</w:t>
      </w:r>
      <w:r w:rsidRPr="00AE35A9" w:rsidR="00872D4D">
        <w:rPr>
          <w:szCs w:val="22"/>
        </w:rPr>
        <w:t>COG</w:t>
      </w:r>
      <w:r w:rsidR="008500F9">
        <w:rPr>
          <w:szCs w:val="22"/>
        </w:rPr>
        <w:t xml:space="preserve"> seeks a waiver </w:t>
      </w:r>
      <w:r w:rsidR="00AE35A9">
        <w:rPr>
          <w:szCs w:val="22"/>
        </w:rPr>
        <w:t xml:space="preserve">to </w:t>
      </w:r>
      <w:r w:rsidR="008500F9">
        <w:rPr>
          <w:szCs w:val="22"/>
        </w:rPr>
        <w:t xml:space="preserve">permit it </w:t>
      </w:r>
      <w:r w:rsidR="00AE35A9">
        <w:rPr>
          <w:szCs w:val="22"/>
        </w:rPr>
        <w:t xml:space="preserve">to conduct the </w:t>
      </w:r>
      <w:r w:rsidR="008500F9">
        <w:rPr>
          <w:szCs w:val="22"/>
        </w:rPr>
        <w:t xml:space="preserve">proposed </w:t>
      </w:r>
      <w:r w:rsidR="00AE35A9">
        <w:rPr>
          <w:szCs w:val="22"/>
        </w:rPr>
        <w:t xml:space="preserve">test on April 5, 2018, </w:t>
      </w:r>
      <w:r w:rsidRPr="00AE35A9" w:rsidR="00872D4D">
        <w:rPr>
          <w:szCs w:val="22"/>
        </w:rPr>
        <w:t>rather than wait until May 2019 for the FCC’s end-to-end testing rules to become effective.</w:t>
      </w:r>
      <w:r>
        <w:rPr>
          <w:rStyle w:val="FootnoteReference"/>
          <w:color w:val="262A2A"/>
          <w:spacing w:val="-2"/>
          <w:w w:val="105"/>
          <w:szCs w:val="22"/>
        </w:rPr>
        <w:footnoteReference w:id="19"/>
      </w:r>
    </w:p>
    <w:p w:rsidR="00BE5B8C" w:rsidRPr="007A1052" w:rsidP="00023712" w14:paraId="040D84BF" w14:textId="068A9831">
      <w:pPr>
        <w:pStyle w:val="ParaNum"/>
        <w:numPr>
          <w:ilvl w:val="0"/>
          <w:numId w:val="4"/>
        </w:numPr>
        <w:tabs>
          <w:tab w:val="clear" w:pos="360"/>
        </w:tabs>
        <w:ind w:left="0" w:firstLine="720"/>
        <w:rPr>
          <w:szCs w:val="22"/>
        </w:rPr>
      </w:pPr>
      <w:r w:rsidRPr="007A1052">
        <w:rPr>
          <w:szCs w:val="22"/>
        </w:rPr>
        <w:t xml:space="preserve">The MWCOG </w:t>
      </w:r>
      <w:r w:rsidRPr="007A1052" w:rsidR="001D4FE3">
        <w:rPr>
          <w:szCs w:val="22"/>
        </w:rPr>
        <w:t xml:space="preserve">March </w:t>
      </w:r>
      <w:r w:rsidR="00055C77">
        <w:rPr>
          <w:szCs w:val="22"/>
        </w:rPr>
        <w:t xml:space="preserve">7 </w:t>
      </w:r>
      <w:r w:rsidRPr="007A1052" w:rsidR="001D4FE3">
        <w:rPr>
          <w:szCs w:val="22"/>
        </w:rPr>
        <w:t>L</w:t>
      </w:r>
      <w:r w:rsidRPr="007A1052">
        <w:rPr>
          <w:szCs w:val="22"/>
        </w:rPr>
        <w:t xml:space="preserve">etter describes </w:t>
      </w:r>
      <w:r w:rsidR="00055C77">
        <w:rPr>
          <w:szCs w:val="22"/>
        </w:rPr>
        <w:t xml:space="preserve">its </w:t>
      </w:r>
      <w:r w:rsidRPr="007A1052">
        <w:rPr>
          <w:szCs w:val="22"/>
        </w:rPr>
        <w:t xml:space="preserve">pre-test </w:t>
      </w:r>
      <w:r w:rsidR="00055C77">
        <w:rPr>
          <w:szCs w:val="22"/>
        </w:rPr>
        <w:t xml:space="preserve">outreach </w:t>
      </w:r>
      <w:r w:rsidRPr="007A1052">
        <w:rPr>
          <w:szCs w:val="22"/>
        </w:rPr>
        <w:t xml:space="preserve">and coordination </w:t>
      </w:r>
      <w:r w:rsidR="00055C77">
        <w:rPr>
          <w:szCs w:val="22"/>
        </w:rPr>
        <w:t>plan</w:t>
      </w:r>
      <w:r w:rsidR="0094238B">
        <w:rPr>
          <w:szCs w:val="22"/>
        </w:rPr>
        <w:t>s</w:t>
      </w:r>
      <w:r w:rsidR="00055C77">
        <w:rPr>
          <w:szCs w:val="22"/>
        </w:rPr>
        <w:t xml:space="preserve">, </w:t>
      </w:r>
      <w:r w:rsidRPr="007A1052" w:rsidR="003D3BDB">
        <w:rPr>
          <w:szCs w:val="22"/>
        </w:rPr>
        <w:t>includ</w:t>
      </w:r>
      <w:r w:rsidR="00055C77">
        <w:rPr>
          <w:szCs w:val="22"/>
        </w:rPr>
        <w:t xml:space="preserve">ing </w:t>
      </w:r>
      <w:bookmarkStart w:id="6" w:name="_Hlk508387755"/>
      <w:r w:rsidRPr="007A1052" w:rsidR="003D3BDB">
        <w:rPr>
          <w:szCs w:val="22"/>
        </w:rPr>
        <w:t>MWCOG</w:t>
      </w:r>
      <w:r w:rsidR="001F4897">
        <w:rPr>
          <w:szCs w:val="22"/>
        </w:rPr>
        <w:t xml:space="preserve">’s plan for a coordinated </w:t>
      </w:r>
      <w:r w:rsidRPr="007A1052" w:rsidR="003D3BDB">
        <w:rPr>
          <w:szCs w:val="22"/>
        </w:rPr>
        <w:t>NCR Public Information Officers’ (PIO) multi</w:t>
      </w:r>
      <w:r w:rsidR="00F12696">
        <w:rPr>
          <w:szCs w:val="22"/>
        </w:rPr>
        <w:t>-</w:t>
      </w:r>
      <w:r w:rsidRPr="007A1052" w:rsidR="003D3BDB">
        <w:rPr>
          <w:szCs w:val="22"/>
        </w:rPr>
        <w:t>media public announcement advertisement and marketing plan</w:t>
      </w:r>
      <w:r w:rsidR="00055C77">
        <w:rPr>
          <w:szCs w:val="22"/>
        </w:rPr>
        <w:t xml:space="preserve"> </w:t>
      </w:r>
      <w:bookmarkEnd w:id="6"/>
      <w:r w:rsidRPr="007A1052" w:rsidR="003D3BDB">
        <w:rPr>
          <w:szCs w:val="22"/>
        </w:rPr>
        <w:t xml:space="preserve">to ensure public understanding of the function and utility of WEA, and that the April </w:t>
      </w:r>
      <w:r w:rsidR="008C6043">
        <w:rPr>
          <w:szCs w:val="22"/>
        </w:rPr>
        <w:t>5</w:t>
      </w:r>
      <w:r w:rsidRPr="007A1052" w:rsidR="003D3BDB">
        <w:rPr>
          <w:szCs w:val="22"/>
        </w:rPr>
        <w:t xml:space="preserve"> WEA message is in fact only a test.</w:t>
      </w:r>
      <w:r>
        <w:rPr>
          <w:rStyle w:val="FootnoteReference"/>
          <w:color w:val="262A2A"/>
          <w:spacing w:val="-2"/>
          <w:w w:val="105"/>
          <w:szCs w:val="22"/>
        </w:rPr>
        <w:footnoteReference w:id="20"/>
      </w:r>
      <w:r w:rsidRPr="007A1052" w:rsidR="003D3BDB">
        <w:rPr>
          <w:szCs w:val="22"/>
        </w:rPr>
        <w:t xml:space="preserve"> </w:t>
      </w:r>
      <w:r w:rsidR="008C3822">
        <w:rPr>
          <w:szCs w:val="22"/>
        </w:rPr>
        <w:t xml:space="preserve"> </w:t>
      </w:r>
      <w:r w:rsidRPr="007A1052" w:rsidR="003D3BDB">
        <w:rPr>
          <w:szCs w:val="22"/>
        </w:rPr>
        <w:t xml:space="preserve">According to MWCOG, this plan will be shared with the PIOs in all affected jurisdictions for distribution to all NCR media outlets, including daily newspapers, radio and </w:t>
      </w:r>
      <w:r w:rsidR="008500F9">
        <w:rPr>
          <w:szCs w:val="22"/>
        </w:rPr>
        <w:t xml:space="preserve">television outlets, and </w:t>
      </w:r>
      <w:r w:rsidRPr="007A1052" w:rsidR="003D3BDB">
        <w:rPr>
          <w:szCs w:val="22"/>
        </w:rPr>
        <w:t>on social media.</w:t>
      </w:r>
      <w:r>
        <w:rPr>
          <w:rStyle w:val="FootnoteReference"/>
          <w:color w:val="262A2A"/>
          <w:spacing w:val="-2"/>
          <w:w w:val="105"/>
          <w:szCs w:val="22"/>
        </w:rPr>
        <w:footnoteReference w:id="21"/>
      </w:r>
      <w:r w:rsidRPr="007A1052" w:rsidR="003D3BDB">
        <w:rPr>
          <w:szCs w:val="22"/>
        </w:rPr>
        <w:t xml:space="preserve"> </w:t>
      </w:r>
      <w:r w:rsidRPr="007A1052" w:rsidR="001D4FE3">
        <w:rPr>
          <w:szCs w:val="22"/>
        </w:rPr>
        <w:t xml:space="preserve"> </w:t>
      </w:r>
      <w:r w:rsidRPr="007A1052" w:rsidR="003D3BDB">
        <w:rPr>
          <w:szCs w:val="22"/>
        </w:rPr>
        <w:t xml:space="preserve">The </w:t>
      </w:r>
      <w:r w:rsidRPr="007A1052" w:rsidR="001D4FE3">
        <w:rPr>
          <w:szCs w:val="22"/>
        </w:rPr>
        <w:t xml:space="preserve">MWCOG March </w:t>
      </w:r>
      <w:r w:rsidR="00356DC4">
        <w:rPr>
          <w:szCs w:val="22"/>
        </w:rPr>
        <w:t xml:space="preserve">7 </w:t>
      </w:r>
      <w:r w:rsidRPr="007A1052" w:rsidR="001D4FE3">
        <w:rPr>
          <w:szCs w:val="22"/>
        </w:rPr>
        <w:t>Letter</w:t>
      </w:r>
      <w:r w:rsidRPr="007A1052" w:rsidR="003D3BDB">
        <w:rPr>
          <w:szCs w:val="22"/>
        </w:rPr>
        <w:t xml:space="preserve"> represents that </w:t>
      </w:r>
      <w:r w:rsidR="008500F9">
        <w:rPr>
          <w:szCs w:val="22"/>
        </w:rPr>
        <w:t>the P</w:t>
      </w:r>
      <w:r w:rsidR="00974517">
        <w:rPr>
          <w:szCs w:val="22"/>
        </w:rPr>
        <w:t>I</w:t>
      </w:r>
      <w:r w:rsidR="008500F9">
        <w:rPr>
          <w:szCs w:val="22"/>
        </w:rPr>
        <w:t>Os</w:t>
      </w:r>
      <w:r w:rsidR="00062D1A">
        <w:rPr>
          <w:szCs w:val="22"/>
        </w:rPr>
        <w:t xml:space="preserve"> within the NCR have </w:t>
      </w:r>
      <w:r w:rsidRPr="007A1052" w:rsidR="003D3BDB">
        <w:rPr>
          <w:szCs w:val="22"/>
        </w:rPr>
        <w:t>“coordinated information about the test with the Participating CMS providers that operate within the NCR, as well as with all emergency authorities that operate within the NCR, including first responder organizations such as police and fire agencies and 911 public safety answering points (PSAPs), to ensure that they are aware of the test and can confirm to the public that the WEA message is a test.”</w:t>
      </w:r>
      <w:r w:rsidRPr="007A1052" w:rsidR="001D4FE3">
        <w:rPr>
          <w:rStyle w:val="FootnoteReference"/>
          <w:color w:val="262A2A"/>
          <w:spacing w:val="-2"/>
          <w:w w:val="105"/>
          <w:szCs w:val="22"/>
        </w:rPr>
        <w:t xml:space="preserve"> </w:t>
      </w:r>
      <w:r>
        <w:rPr>
          <w:rStyle w:val="FootnoteReference"/>
          <w:spacing w:val="-2"/>
          <w:w w:val="105"/>
        </w:rPr>
        <w:footnoteReference w:id="22"/>
      </w:r>
      <w:r w:rsidRPr="009F0933" w:rsidR="00C67FA4">
        <w:rPr>
          <w:spacing w:val="-2"/>
          <w:w w:val="105"/>
        </w:rPr>
        <w:t xml:space="preserve">  The MWCOG also</w:t>
      </w:r>
      <w:r w:rsidRPr="009F0933" w:rsidR="008500F9">
        <w:rPr>
          <w:spacing w:val="-2"/>
          <w:w w:val="105"/>
        </w:rPr>
        <w:t xml:space="preserve"> anticipates</w:t>
      </w:r>
      <w:r w:rsidRPr="009F0933" w:rsidR="00C67FA4">
        <w:rPr>
          <w:spacing w:val="-2"/>
          <w:w w:val="105"/>
        </w:rPr>
        <w:t xml:space="preserve"> that due to the multi-jurisdictional nature of the proposed test, members of the public may receive a test message from more than one jurisdiction</w:t>
      </w:r>
      <w:r w:rsidRPr="009F0933" w:rsidR="00F1730B">
        <w:rPr>
          <w:spacing w:val="-2"/>
          <w:w w:val="105"/>
        </w:rPr>
        <w:t xml:space="preserve">, and accordingly </w:t>
      </w:r>
      <w:r w:rsidRPr="009F0933" w:rsidR="00062D1A">
        <w:rPr>
          <w:spacing w:val="-2"/>
          <w:w w:val="105"/>
        </w:rPr>
        <w:t xml:space="preserve">has </w:t>
      </w:r>
      <w:r w:rsidRPr="009F0933" w:rsidR="00F1730B">
        <w:rPr>
          <w:spacing w:val="-2"/>
          <w:w w:val="105"/>
        </w:rPr>
        <w:t>address</w:t>
      </w:r>
      <w:r w:rsidRPr="009F0933" w:rsidR="00062D1A">
        <w:rPr>
          <w:spacing w:val="-2"/>
          <w:w w:val="105"/>
        </w:rPr>
        <w:t>ed</w:t>
      </w:r>
      <w:r w:rsidRPr="009F0933" w:rsidR="00F1730B">
        <w:rPr>
          <w:spacing w:val="-2"/>
          <w:w w:val="105"/>
        </w:rPr>
        <w:t xml:space="preserve"> this issue in its outreach</w:t>
      </w:r>
      <w:r w:rsidRPr="009F0933" w:rsidR="00062D1A">
        <w:rPr>
          <w:spacing w:val="-2"/>
          <w:w w:val="105"/>
        </w:rPr>
        <w:t xml:space="preserve"> materials</w:t>
      </w:r>
      <w:r w:rsidRPr="009F0933" w:rsidR="00C67FA4">
        <w:rPr>
          <w:spacing w:val="-2"/>
          <w:w w:val="105"/>
        </w:rPr>
        <w:t>.</w:t>
      </w:r>
      <w:r>
        <w:rPr>
          <w:rStyle w:val="FootnoteReference"/>
          <w:spacing w:val="-2"/>
          <w:w w:val="105"/>
        </w:rPr>
        <w:footnoteReference w:id="23"/>
      </w:r>
    </w:p>
    <w:p w:rsidR="0073631E" w:rsidRPr="007A1052" w:rsidP="008B7CE7" w14:paraId="15AA4F2F" w14:textId="77777777">
      <w:pPr>
        <w:pStyle w:val="Heading1"/>
        <w:rPr>
          <w:szCs w:val="22"/>
        </w:rPr>
      </w:pPr>
      <w:r w:rsidRPr="007A1052">
        <w:rPr>
          <w:szCs w:val="22"/>
        </w:rPr>
        <w:t>DISCUSSION</w:t>
      </w:r>
    </w:p>
    <w:p w:rsidR="00045451" w:rsidRPr="00B833C6" w:rsidP="00045451" w14:paraId="41AC6F9A" w14:textId="77777777">
      <w:pPr>
        <w:pStyle w:val="ParaNum"/>
        <w:numPr>
          <w:ilvl w:val="0"/>
          <w:numId w:val="4"/>
        </w:numPr>
        <w:tabs>
          <w:tab w:val="clear" w:pos="360"/>
        </w:tabs>
        <w:ind w:left="0" w:firstLine="720"/>
        <w:rPr>
          <w:szCs w:val="22"/>
        </w:rPr>
      </w:pPr>
      <w:bookmarkStart w:id="7" w:name="FN[FN20]"/>
      <w:bookmarkStart w:id="8" w:name="_Hlk508439774"/>
      <w:bookmarkEnd w:id="7"/>
      <w:r w:rsidRPr="007A1052">
        <w:rPr>
          <w:snapToGrid w:val="0"/>
          <w:kern w:val="28"/>
          <w:szCs w:val="22"/>
        </w:rPr>
        <w:t>A</w:t>
      </w:r>
      <w:r>
        <w:rPr>
          <w:snapToGrid w:val="0"/>
          <w:kern w:val="28"/>
          <w:szCs w:val="22"/>
        </w:rPr>
        <w:t xml:space="preserve"> </w:t>
      </w:r>
      <w:r w:rsidRPr="007A1052">
        <w:rPr>
          <w:snapToGrid w:val="0"/>
          <w:kern w:val="28"/>
          <w:szCs w:val="22"/>
        </w:rPr>
        <w:t>provision of the Commission’s rules “may be waived by the Commission on its own motion or on petition if good cause therefore is shown.”</w:t>
      </w:r>
      <w:r>
        <w:rPr>
          <w:rStyle w:val="FootnoteReference"/>
          <w:szCs w:val="22"/>
        </w:rPr>
        <w:footnoteReference w:id="24"/>
      </w:r>
      <w:r w:rsidRPr="007A1052">
        <w:rPr>
          <w:szCs w:val="22"/>
        </w:rPr>
        <w:t xml:space="preserve">  The Commission may find good cause to extend a waiver “if special circumstances warrant a deviation from the general rule and such deviation will serve the public interest.”</w:t>
      </w:r>
      <w:r>
        <w:rPr>
          <w:rStyle w:val="FootnoteReference"/>
          <w:snapToGrid w:val="0"/>
          <w:color w:val="000000"/>
          <w:szCs w:val="22"/>
        </w:rPr>
        <w:footnoteReference w:id="25"/>
      </w:r>
      <w:r w:rsidRPr="007A1052">
        <w:rPr>
          <w:snapToGrid w:val="0"/>
          <w:color w:val="000000"/>
          <w:kern w:val="28"/>
          <w:szCs w:val="22"/>
        </w:rPr>
        <w:t xml:space="preserve">  </w:t>
      </w:r>
      <w:r>
        <w:rPr>
          <w:snapToGrid w:val="0"/>
          <w:kern w:val="28"/>
          <w:szCs w:val="22"/>
        </w:rPr>
        <w:t>W</w:t>
      </w:r>
      <w:r w:rsidRPr="00D752D1">
        <w:rPr>
          <w:snapToGrid w:val="0"/>
          <w:kern w:val="28"/>
          <w:szCs w:val="22"/>
        </w:rPr>
        <w:t>e conclude that there is good cause to grant the MWCOG request for a waiver</w:t>
      </w:r>
      <w:r w:rsidR="008500F9">
        <w:rPr>
          <w:snapToGrid w:val="0"/>
          <w:kern w:val="28"/>
          <w:szCs w:val="22"/>
        </w:rPr>
        <w:t xml:space="preserve"> to allow it to conduct an end-to-end test of the WEA</w:t>
      </w:r>
      <w:r w:rsidRPr="00D752D1">
        <w:rPr>
          <w:snapToGrid w:val="0"/>
          <w:kern w:val="28"/>
          <w:szCs w:val="22"/>
        </w:rPr>
        <w:t>, subject to the</w:t>
      </w:r>
      <w:r w:rsidRPr="00902156">
        <w:rPr>
          <w:snapToGrid w:val="0"/>
          <w:color w:val="000000"/>
          <w:kern w:val="28"/>
          <w:szCs w:val="22"/>
        </w:rPr>
        <w:t xml:space="preserve"> condition</w:t>
      </w:r>
      <w:r>
        <w:rPr>
          <w:snapToGrid w:val="0"/>
          <w:color w:val="000000"/>
          <w:kern w:val="28"/>
          <w:szCs w:val="22"/>
        </w:rPr>
        <w:t>s</w:t>
      </w:r>
      <w:r w:rsidRPr="00902156">
        <w:rPr>
          <w:snapToGrid w:val="0"/>
          <w:color w:val="000000"/>
          <w:kern w:val="28"/>
          <w:szCs w:val="22"/>
        </w:rPr>
        <w:t xml:space="preserve"> required in this </w:t>
      </w:r>
      <w:r w:rsidRPr="00974517">
        <w:rPr>
          <w:i/>
          <w:snapToGrid w:val="0"/>
          <w:color w:val="000000"/>
          <w:kern w:val="28"/>
          <w:szCs w:val="22"/>
        </w:rPr>
        <w:t>Order</w:t>
      </w:r>
      <w:r w:rsidRPr="00902156">
        <w:rPr>
          <w:snapToGrid w:val="0"/>
          <w:color w:val="000000"/>
          <w:kern w:val="28"/>
          <w:szCs w:val="22"/>
        </w:rPr>
        <w:t xml:space="preserve">.  </w:t>
      </w:r>
    </w:p>
    <w:p w:rsidR="00FD4E88" w:rsidRPr="00062D1A" w:rsidP="000E6D28" w14:paraId="0F424343" w14:textId="7685DE48">
      <w:pPr>
        <w:pStyle w:val="ParaNum"/>
        <w:numPr>
          <w:ilvl w:val="0"/>
          <w:numId w:val="4"/>
        </w:numPr>
        <w:tabs>
          <w:tab w:val="clear" w:pos="360"/>
        </w:tabs>
        <w:ind w:left="0" w:firstLine="720"/>
        <w:rPr>
          <w:szCs w:val="22"/>
        </w:rPr>
      </w:pPr>
      <w:r w:rsidRPr="00062D1A">
        <w:rPr>
          <w:snapToGrid w:val="0"/>
          <w:color w:val="000000"/>
          <w:kern w:val="28"/>
          <w:szCs w:val="22"/>
        </w:rPr>
        <w:t>As the March 7 Let</w:t>
      </w:r>
      <w:r w:rsidR="008A5C7F">
        <w:rPr>
          <w:snapToGrid w:val="0"/>
          <w:color w:val="000000"/>
          <w:kern w:val="28"/>
          <w:szCs w:val="22"/>
        </w:rPr>
        <w:t xml:space="preserve">ter notes, the NCR includes not only the Nation’s capital </w:t>
      </w:r>
      <w:r w:rsidRPr="00062D1A">
        <w:rPr>
          <w:snapToGrid w:val="0"/>
          <w:color w:val="000000"/>
          <w:kern w:val="28"/>
          <w:szCs w:val="22"/>
        </w:rPr>
        <w:t>but also the multiple overlapping jurisdictions that surround it.</w:t>
      </w:r>
      <w:r>
        <w:rPr>
          <w:snapToGrid w:val="0"/>
          <w:color w:val="000000"/>
          <w:kern w:val="28"/>
          <w:szCs w:val="22"/>
          <w:vertAlign w:val="superscript"/>
        </w:rPr>
        <w:footnoteReference w:id="26"/>
      </w:r>
      <w:r w:rsidRPr="00062D1A">
        <w:rPr>
          <w:snapToGrid w:val="0"/>
          <w:color w:val="000000"/>
          <w:kern w:val="28"/>
          <w:szCs w:val="22"/>
        </w:rPr>
        <w:t xml:space="preserve">  An NCR-wide </w:t>
      </w:r>
      <w:r w:rsidR="008A5C7F">
        <w:rPr>
          <w:snapToGrid w:val="0"/>
          <w:color w:val="000000"/>
          <w:kern w:val="28"/>
          <w:szCs w:val="22"/>
        </w:rPr>
        <w:t>test of WEA</w:t>
      </w:r>
      <w:r w:rsidRPr="00062D1A">
        <w:rPr>
          <w:snapToGrid w:val="0"/>
          <w:color w:val="000000"/>
          <w:kern w:val="28"/>
          <w:szCs w:val="22"/>
        </w:rPr>
        <w:t xml:space="preserve"> is a unique event that would require careful coordination among the various jurisdictions and the public.  </w:t>
      </w:r>
      <w:r w:rsidRPr="00062D1A">
        <w:rPr>
          <w:szCs w:val="22"/>
        </w:rPr>
        <w:t>We are persuaded that t</w:t>
      </w:r>
      <w:r w:rsidR="008A5C7F">
        <w:rPr>
          <w:szCs w:val="22"/>
        </w:rPr>
        <w:t xml:space="preserve">he proposed test would </w:t>
      </w:r>
      <w:r w:rsidRPr="00062D1A">
        <w:rPr>
          <w:szCs w:val="22"/>
        </w:rPr>
        <w:t>help ensure that WEA can be effectively deployed during an emerge</w:t>
      </w:r>
      <w:r w:rsidR="008A5C7F">
        <w:rPr>
          <w:szCs w:val="22"/>
        </w:rPr>
        <w:t xml:space="preserve">ncy, and that it </w:t>
      </w:r>
      <w:r w:rsidRPr="00062D1A">
        <w:rPr>
          <w:szCs w:val="22"/>
        </w:rPr>
        <w:t>would provide alert initiators and emergency managers valuable information</w:t>
      </w:r>
      <w:r w:rsidR="008A5C7F">
        <w:rPr>
          <w:szCs w:val="22"/>
        </w:rPr>
        <w:t xml:space="preserve"> regarding t</w:t>
      </w:r>
      <w:r w:rsidR="00DF280F">
        <w:rPr>
          <w:szCs w:val="22"/>
        </w:rPr>
        <w:t xml:space="preserve">he capability and accuracy by </w:t>
      </w:r>
      <w:r w:rsidR="008A5C7F">
        <w:rPr>
          <w:szCs w:val="22"/>
        </w:rPr>
        <w:t xml:space="preserve">which </w:t>
      </w:r>
      <w:r w:rsidR="00DF280F">
        <w:rPr>
          <w:szCs w:val="22"/>
        </w:rPr>
        <w:t xml:space="preserve">Participating CMS Providers </w:t>
      </w:r>
      <w:r w:rsidRPr="00062D1A">
        <w:rPr>
          <w:szCs w:val="22"/>
        </w:rPr>
        <w:t>geographically target WEA</w:t>
      </w:r>
      <w:r w:rsidR="008A5C7F">
        <w:rPr>
          <w:szCs w:val="22"/>
        </w:rPr>
        <w:t>.  We are also persuaded that grant of the request</w:t>
      </w:r>
      <w:r w:rsidRPr="00062D1A">
        <w:rPr>
          <w:szCs w:val="22"/>
        </w:rPr>
        <w:t xml:space="preserve"> would serve the public interest </w:t>
      </w:r>
      <w:r w:rsidR="008A5C7F">
        <w:rPr>
          <w:szCs w:val="22"/>
        </w:rPr>
        <w:t xml:space="preserve">by enabling MWCOG </w:t>
      </w:r>
      <w:r w:rsidRPr="00062D1A">
        <w:rPr>
          <w:szCs w:val="22"/>
        </w:rPr>
        <w:t xml:space="preserve">to conduct an </w:t>
      </w:r>
      <w:r w:rsidR="008A5C7F">
        <w:rPr>
          <w:szCs w:val="22"/>
        </w:rPr>
        <w:t xml:space="preserve">end-to-end test now, rather than </w:t>
      </w:r>
      <w:r w:rsidRPr="00062D1A">
        <w:rPr>
          <w:szCs w:val="22"/>
        </w:rPr>
        <w:t>May 2019.  The MWCOG identifies several recent instances where alert initiator inexperience led to errors and public confusion.</w:t>
      </w:r>
      <w:r>
        <w:rPr>
          <w:szCs w:val="22"/>
          <w:vertAlign w:val="superscript"/>
        </w:rPr>
        <w:footnoteReference w:id="27"/>
      </w:r>
      <w:r w:rsidRPr="00062D1A">
        <w:rPr>
          <w:szCs w:val="22"/>
        </w:rPr>
        <w:t xml:space="preserve">  </w:t>
      </w:r>
      <w:r w:rsidR="00DF280F">
        <w:rPr>
          <w:szCs w:val="22"/>
        </w:rPr>
        <w:t>Following the emergency alerting shortfalls identified by recent events in Hawaii and the California wildfires</w:t>
      </w:r>
      <w:r w:rsidRPr="00062D1A" w:rsidR="00DF280F">
        <w:rPr>
          <w:szCs w:val="22"/>
        </w:rPr>
        <w:t xml:space="preserve">, </w:t>
      </w:r>
      <w:r w:rsidR="00DF280F">
        <w:rPr>
          <w:szCs w:val="22"/>
        </w:rPr>
        <w:t xml:space="preserve">we </w:t>
      </w:r>
      <w:r w:rsidR="008A5C7F">
        <w:rPr>
          <w:szCs w:val="22"/>
        </w:rPr>
        <w:t xml:space="preserve">believe that the proposed test would </w:t>
      </w:r>
      <w:r w:rsidRPr="00062D1A">
        <w:rPr>
          <w:szCs w:val="22"/>
        </w:rPr>
        <w:t xml:space="preserve">ensure alert originator proficiency and public familiarity with WEA prior to the need to issue an actual alert.  </w:t>
      </w:r>
      <w:r w:rsidR="00DF280F">
        <w:rPr>
          <w:szCs w:val="22"/>
        </w:rPr>
        <w:t>We therefore</w:t>
      </w:r>
      <w:r w:rsidRPr="009F0933" w:rsidR="00DF280F">
        <w:t xml:space="preserve"> find </w:t>
      </w:r>
      <w:r w:rsidRPr="009F0933" w:rsidR="00285BFA">
        <w:t xml:space="preserve">that </w:t>
      </w:r>
      <w:r w:rsidRPr="00062D1A" w:rsidR="00285BFA">
        <w:rPr>
          <w:snapToGrid w:val="0"/>
          <w:color w:val="000000"/>
          <w:kern w:val="28"/>
          <w:szCs w:val="22"/>
        </w:rPr>
        <w:t>granting MWCOG’s request for a one-time waiver</w:t>
      </w:r>
      <w:r w:rsidRPr="00285BFA" w:rsidR="00285BFA">
        <w:rPr>
          <w:snapToGrid w:val="0"/>
          <w:color w:val="000000"/>
          <w:kern w:val="28"/>
          <w:szCs w:val="22"/>
        </w:rPr>
        <w:t xml:space="preserve"> </w:t>
      </w:r>
      <w:r w:rsidRPr="00062D1A" w:rsidR="00285BFA">
        <w:rPr>
          <w:snapToGrid w:val="0"/>
          <w:color w:val="000000"/>
          <w:kern w:val="28"/>
          <w:szCs w:val="22"/>
        </w:rPr>
        <w:t>to test the WEA system within the NCR</w:t>
      </w:r>
      <w:r w:rsidR="00285BFA">
        <w:rPr>
          <w:snapToGrid w:val="0"/>
          <w:color w:val="000000"/>
          <w:kern w:val="28"/>
          <w:szCs w:val="22"/>
        </w:rPr>
        <w:t xml:space="preserve"> is in the public interest.</w:t>
      </w:r>
      <w:r>
        <w:rPr>
          <w:snapToGrid w:val="0"/>
          <w:color w:val="000000"/>
          <w:kern w:val="28"/>
          <w:szCs w:val="22"/>
          <w:vertAlign w:val="superscript"/>
        </w:rPr>
        <w:footnoteReference w:id="28"/>
      </w:r>
      <w:r w:rsidRPr="00062D1A">
        <w:rPr>
          <w:snapToGrid w:val="0"/>
          <w:color w:val="000000"/>
          <w:kern w:val="28"/>
          <w:szCs w:val="22"/>
        </w:rPr>
        <w:t xml:space="preserve"> </w:t>
      </w:r>
    </w:p>
    <w:p w:rsidR="00902156" w:rsidP="00A35188" w14:paraId="7C1B0C6C" w14:textId="47924215">
      <w:pPr>
        <w:pStyle w:val="ParaNum"/>
        <w:numPr>
          <w:ilvl w:val="0"/>
          <w:numId w:val="4"/>
        </w:numPr>
        <w:tabs>
          <w:tab w:val="clear" w:pos="360"/>
        </w:tabs>
        <w:ind w:left="0" w:firstLine="720"/>
        <w:rPr>
          <w:szCs w:val="22"/>
        </w:rPr>
      </w:pPr>
      <w:bookmarkStart w:id="9" w:name="_Ref235348554"/>
      <w:bookmarkEnd w:id="8"/>
      <w:r w:rsidRPr="00902156">
        <w:rPr>
          <w:szCs w:val="22"/>
        </w:rPr>
        <w:t>We observe, however, that the WEA test would not be in the public interest if it was presented in a manner that could lead the public to conclude that an actual alert is being transmitted, or otherwise confuse the public.</w:t>
      </w:r>
      <w:r>
        <w:rPr>
          <w:szCs w:val="22"/>
          <w:vertAlign w:val="superscript"/>
        </w:rPr>
        <w:footnoteReference w:id="29"/>
      </w:r>
      <w:r w:rsidRPr="00902156">
        <w:rPr>
          <w:szCs w:val="22"/>
        </w:rPr>
        <w:t xml:space="preserve">  We, therefore, condit</w:t>
      </w:r>
      <w:r>
        <w:rPr>
          <w:szCs w:val="22"/>
        </w:rPr>
        <w:t>ion t</w:t>
      </w:r>
      <w:r w:rsidRPr="007A1052" w:rsidR="00952F0E">
        <w:rPr>
          <w:szCs w:val="22"/>
        </w:rPr>
        <w:t xml:space="preserve">his waiver </w:t>
      </w:r>
      <w:r w:rsidRPr="00902156">
        <w:rPr>
          <w:szCs w:val="22"/>
        </w:rPr>
        <w:t xml:space="preserve">upon the conducting of appropriate pre-test outreach to notify emergency personnel and the public </w:t>
      </w:r>
      <w:r>
        <w:rPr>
          <w:szCs w:val="22"/>
        </w:rPr>
        <w:t xml:space="preserve">that the </w:t>
      </w:r>
      <w:r w:rsidRPr="00902156">
        <w:rPr>
          <w:szCs w:val="22"/>
        </w:rPr>
        <w:t xml:space="preserve">WEA </w:t>
      </w:r>
      <w:r>
        <w:rPr>
          <w:szCs w:val="22"/>
        </w:rPr>
        <w:t>message is in fact a test</w:t>
      </w:r>
      <w:r w:rsidRPr="00902156">
        <w:rPr>
          <w:szCs w:val="22"/>
        </w:rPr>
        <w:t>, including the time and date at which the test is scheduled.</w:t>
      </w:r>
      <w:r>
        <w:rPr>
          <w:szCs w:val="22"/>
        </w:rPr>
        <w:t xml:space="preserve">  In this regard, we condition the waiver on the full implementation of the </w:t>
      </w:r>
      <w:r w:rsidRPr="00902156">
        <w:rPr>
          <w:szCs w:val="22"/>
        </w:rPr>
        <w:t xml:space="preserve">MWCOG’s </w:t>
      </w:r>
      <w:r>
        <w:rPr>
          <w:szCs w:val="22"/>
        </w:rPr>
        <w:t xml:space="preserve">outreach </w:t>
      </w:r>
      <w:r w:rsidRPr="00902156">
        <w:rPr>
          <w:szCs w:val="22"/>
        </w:rPr>
        <w:t xml:space="preserve">plan </w:t>
      </w:r>
      <w:r>
        <w:rPr>
          <w:szCs w:val="22"/>
        </w:rPr>
        <w:t>described in the MWCOG March 7 Letter</w:t>
      </w:r>
      <w:r w:rsidR="008322E9">
        <w:rPr>
          <w:szCs w:val="22"/>
        </w:rPr>
        <w:t>, including outreach to the public, press</w:t>
      </w:r>
      <w:r w:rsidR="00285BFA">
        <w:rPr>
          <w:szCs w:val="22"/>
        </w:rPr>
        <w:t>,</w:t>
      </w:r>
      <w:r w:rsidR="008322E9">
        <w:rPr>
          <w:szCs w:val="22"/>
        </w:rPr>
        <w:t xml:space="preserve"> and relevant government agencies </w:t>
      </w:r>
      <w:r w:rsidR="00884FEA">
        <w:rPr>
          <w:szCs w:val="22"/>
        </w:rPr>
        <w:t>that members</w:t>
      </w:r>
      <w:r w:rsidR="00C67FA4">
        <w:rPr>
          <w:szCs w:val="22"/>
        </w:rPr>
        <w:t xml:space="preserve"> of the public may </w:t>
      </w:r>
      <w:r w:rsidR="00032E11">
        <w:rPr>
          <w:szCs w:val="22"/>
        </w:rPr>
        <w:t xml:space="preserve">receive </w:t>
      </w:r>
      <w:r w:rsidR="00C67FA4">
        <w:rPr>
          <w:szCs w:val="22"/>
        </w:rPr>
        <w:t xml:space="preserve">a WEA test message from more than one of the NCR jurisdictions.  </w:t>
      </w:r>
    </w:p>
    <w:p w:rsidR="00285BFA" w:rsidP="00200761" w14:paraId="34B87615" w14:textId="634DD4E5">
      <w:pPr>
        <w:pStyle w:val="ParaNum"/>
        <w:numPr>
          <w:ilvl w:val="0"/>
          <w:numId w:val="4"/>
        </w:numPr>
        <w:tabs>
          <w:tab w:val="clear" w:pos="360"/>
        </w:tabs>
        <w:ind w:left="0" w:firstLine="720"/>
        <w:rPr>
          <w:szCs w:val="22"/>
        </w:rPr>
      </w:pPr>
      <w:r>
        <w:rPr>
          <w:szCs w:val="22"/>
        </w:rPr>
        <w:t xml:space="preserve">We further condition this waiver </w:t>
      </w:r>
      <w:r w:rsidR="00062D1A">
        <w:rPr>
          <w:szCs w:val="22"/>
        </w:rPr>
        <w:t>to require that t</w:t>
      </w:r>
      <w:r>
        <w:rPr>
          <w:szCs w:val="22"/>
        </w:rPr>
        <w:t xml:space="preserve">he MWCOG WEA Test may only be conducted </w:t>
      </w:r>
      <w:r w:rsidRPr="00062D1A" w:rsidR="00062D1A">
        <w:rPr>
          <w:szCs w:val="22"/>
        </w:rPr>
        <w:t>between 10</w:t>
      </w:r>
      <w:r>
        <w:rPr>
          <w:szCs w:val="22"/>
        </w:rPr>
        <w:t>:00</w:t>
      </w:r>
      <w:r w:rsidRPr="00062D1A" w:rsidR="00062D1A">
        <w:rPr>
          <w:szCs w:val="22"/>
        </w:rPr>
        <w:t xml:space="preserve"> AM and 10:30 AM on </w:t>
      </w:r>
      <w:r>
        <w:rPr>
          <w:szCs w:val="22"/>
        </w:rPr>
        <w:t xml:space="preserve">Thursday, </w:t>
      </w:r>
      <w:r w:rsidRPr="00062D1A" w:rsidR="00062D1A">
        <w:rPr>
          <w:szCs w:val="22"/>
        </w:rPr>
        <w:t xml:space="preserve">April 5, 2018, with a backup date of </w:t>
      </w:r>
      <w:r>
        <w:rPr>
          <w:szCs w:val="22"/>
        </w:rPr>
        <w:t xml:space="preserve">Monday, </w:t>
      </w:r>
      <w:r w:rsidRPr="00062D1A" w:rsidR="00062D1A">
        <w:rPr>
          <w:szCs w:val="22"/>
        </w:rPr>
        <w:t>April 9, 2018</w:t>
      </w:r>
      <w:r w:rsidR="00062D1A">
        <w:rPr>
          <w:szCs w:val="22"/>
        </w:rPr>
        <w:t xml:space="preserve">, as </w:t>
      </w:r>
      <w:r w:rsidRPr="007A1052" w:rsidR="00952F0E">
        <w:rPr>
          <w:szCs w:val="22"/>
        </w:rPr>
        <w:t>referenced</w:t>
      </w:r>
      <w:r w:rsidRPr="007A1052" w:rsidR="00AB73FB">
        <w:rPr>
          <w:szCs w:val="22"/>
        </w:rPr>
        <w:t xml:space="preserve"> in the MWCOG </w:t>
      </w:r>
      <w:r>
        <w:rPr>
          <w:szCs w:val="22"/>
        </w:rPr>
        <w:t>March</w:t>
      </w:r>
      <w:r w:rsidR="00DB2D1E">
        <w:rPr>
          <w:szCs w:val="22"/>
        </w:rPr>
        <w:t xml:space="preserve"> 14</w:t>
      </w:r>
      <w:r>
        <w:rPr>
          <w:szCs w:val="22"/>
        </w:rPr>
        <w:t xml:space="preserve"> Letter</w:t>
      </w:r>
      <w:r w:rsidRPr="007A1052" w:rsidR="00952F0E">
        <w:rPr>
          <w:szCs w:val="22"/>
        </w:rPr>
        <w:t xml:space="preserve">, and </w:t>
      </w:r>
      <w:r w:rsidR="00374587">
        <w:rPr>
          <w:szCs w:val="22"/>
        </w:rPr>
        <w:t xml:space="preserve">may only be conducted </w:t>
      </w:r>
      <w:r>
        <w:rPr>
          <w:szCs w:val="22"/>
        </w:rPr>
        <w:t>for the purposes</w:t>
      </w:r>
      <w:r w:rsidR="00062D1A">
        <w:rPr>
          <w:szCs w:val="22"/>
        </w:rPr>
        <w:t xml:space="preserve"> </w:t>
      </w:r>
      <w:r>
        <w:rPr>
          <w:szCs w:val="22"/>
        </w:rPr>
        <w:t xml:space="preserve">described in </w:t>
      </w:r>
      <w:r w:rsidRPr="007A1052" w:rsidR="00952F0E">
        <w:rPr>
          <w:szCs w:val="22"/>
        </w:rPr>
        <w:t xml:space="preserve">the MWCOG </w:t>
      </w:r>
      <w:r w:rsidR="000466D0">
        <w:rPr>
          <w:szCs w:val="22"/>
        </w:rPr>
        <w:t xml:space="preserve">March </w:t>
      </w:r>
      <w:r w:rsidR="00374587">
        <w:rPr>
          <w:szCs w:val="22"/>
        </w:rPr>
        <w:t xml:space="preserve">7 </w:t>
      </w:r>
      <w:r w:rsidR="000466D0">
        <w:rPr>
          <w:szCs w:val="22"/>
        </w:rPr>
        <w:t xml:space="preserve">and March </w:t>
      </w:r>
      <w:r w:rsidR="009F0933">
        <w:rPr>
          <w:szCs w:val="22"/>
        </w:rPr>
        <w:t>14</w:t>
      </w:r>
      <w:r w:rsidR="000466D0">
        <w:rPr>
          <w:szCs w:val="22"/>
        </w:rPr>
        <w:t xml:space="preserve"> Letters.  </w:t>
      </w:r>
      <w:r w:rsidR="000D3CE6">
        <w:rPr>
          <w:szCs w:val="22"/>
        </w:rPr>
        <w:t>Specifically, t</w:t>
      </w:r>
      <w:r w:rsidRPr="007A1052" w:rsidR="00952F0E">
        <w:rPr>
          <w:szCs w:val="22"/>
        </w:rPr>
        <w:t xml:space="preserve">he waiver is based on representations that: </w:t>
      </w:r>
      <w:r w:rsidR="008C3822">
        <w:rPr>
          <w:szCs w:val="22"/>
        </w:rPr>
        <w:t xml:space="preserve"> </w:t>
      </w:r>
    </w:p>
    <w:p w:rsidR="00285BFA" w:rsidP="00285BFA" w14:paraId="2396DE5E" w14:textId="09399408">
      <w:pPr>
        <w:pStyle w:val="ParaNum"/>
        <w:ind w:left="1080" w:firstLine="0"/>
        <w:rPr>
          <w:szCs w:val="22"/>
        </w:rPr>
      </w:pPr>
      <w:r>
        <w:rPr>
          <w:szCs w:val="22"/>
        </w:rPr>
        <w:t>(1) T</w:t>
      </w:r>
      <w:r w:rsidRPr="007A1052" w:rsidR="00952F0E">
        <w:rPr>
          <w:szCs w:val="22"/>
        </w:rPr>
        <w:t xml:space="preserve">his test is necessary to ensure that the WEA system will work during </w:t>
      </w:r>
      <w:r w:rsidRPr="007A1052" w:rsidR="00AB73FB">
        <w:rPr>
          <w:szCs w:val="22"/>
        </w:rPr>
        <w:t>an</w:t>
      </w:r>
      <w:r w:rsidRPr="007A1052" w:rsidR="00952F0E">
        <w:rPr>
          <w:szCs w:val="22"/>
        </w:rPr>
        <w:t xml:space="preserve"> emergenc</w:t>
      </w:r>
      <w:r w:rsidRPr="007A1052" w:rsidR="00AB73FB">
        <w:rPr>
          <w:szCs w:val="22"/>
        </w:rPr>
        <w:t>y</w:t>
      </w:r>
      <w:r w:rsidRPr="007A1052" w:rsidR="00952F0E">
        <w:rPr>
          <w:szCs w:val="22"/>
        </w:rPr>
        <w:t xml:space="preserve"> region-wide within the NCR; </w:t>
      </w:r>
    </w:p>
    <w:p w:rsidR="00285BFA" w:rsidP="00285BFA" w14:paraId="6DDD94B6" w14:textId="556C5CB9">
      <w:pPr>
        <w:pStyle w:val="ParaNum"/>
        <w:ind w:left="1080" w:firstLine="0"/>
        <w:rPr>
          <w:szCs w:val="22"/>
        </w:rPr>
      </w:pPr>
      <w:r w:rsidRPr="007A1052">
        <w:rPr>
          <w:szCs w:val="22"/>
        </w:rPr>
        <w:t xml:space="preserve">(2) </w:t>
      </w:r>
      <w:r>
        <w:rPr>
          <w:szCs w:val="22"/>
        </w:rPr>
        <w:t>T</w:t>
      </w:r>
      <w:r w:rsidRPr="007A1052" w:rsidR="00A22DA3">
        <w:rPr>
          <w:szCs w:val="22"/>
        </w:rPr>
        <w:t xml:space="preserve">he COG NCR PIO Group has coordinated information about the test with the Participating CMS providers that operate within the NCR, as well as with all emergency authorities that operate within the NCR, </w:t>
      </w:r>
      <w:r w:rsidRPr="007A1052" w:rsidR="00AB73FB">
        <w:rPr>
          <w:szCs w:val="22"/>
        </w:rPr>
        <w:t>“</w:t>
      </w:r>
      <w:r w:rsidRPr="007A1052" w:rsidR="00A22DA3">
        <w:rPr>
          <w:szCs w:val="22"/>
        </w:rPr>
        <w:t>including first responder organizations such as police and fire agencies and 911 public</w:t>
      </w:r>
      <w:r>
        <w:rPr>
          <w:szCs w:val="22"/>
        </w:rPr>
        <w:t xml:space="preserve"> safety answering points</w:t>
      </w:r>
      <w:r w:rsidRPr="007A1052" w:rsidR="00A22DA3">
        <w:rPr>
          <w:szCs w:val="22"/>
        </w:rPr>
        <w:t>, to ensure that they are aware of the test and can confirm to the public that the WEA message is a test;”</w:t>
      </w:r>
      <w:r>
        <w:rPr>
          <w:rStyle w:val="FootnoteReference"/>
          <w:color w:val="262A2A"/>
          <w:spacing w:val="-2"/>
          <w:w w:val="105"/>
          <w:szCs w:val="22"/>
        </w:rPr>
        <w:footnoteReference w:id="30"/>
      </w:r>
      <w:r w:rsidRPr="007A1052">
        <w:rPr>
          <w:szCs w:val="22"/>
        </w:rPr>
        <w:t xml:space="preserve"> </w:t>
      </w:r>
    </w:p>
    <w:p w:rsidR="00285BFA" w:rsidP="009F0933" w14:paraId="689EFEC7" w14:textId="7ECE53D3">
      <w:pPr>
        <w:pStyle w:val="ParaNum"/>
        <w:ind w:left="1080" w:firstLine="0"/>
        <w:rPr>
          <w:szCs w:val="22"/>
        </w:rPr>
      </w:pPr>
      <w:r w:rsidRPr="007A1052">
        <w:rPr>
          <w:szCs w:val="22"/>
        </w:rPr>
        <w:t xml:space="preserve">(3) </w:t>
      </w:r>
      <w:r>
        <w:rPr>
          <w:color w:val="000000"/>
          <w:szCs w:val="22"/>
        </w:rPr>
        <w:t>P</w:t>
      </w:r>
      <w:r w:rsidRPr="007A1052">
        <w:rPr>
          <w:color w:val="000000"/>
          <w:szCs w:val="22"/>
        </w:rPr>
        <w:t>re-test publicity efforts</w:t>
      </w:r>
      <w:r w:rsidR="00374587">
        <w:rPr>
          <w:color w:val="000000"/>
          <w:szCs w:val="22"/>
        </w:rPr>
        <w:t xml:space="preserve">, including </w:t>
      </w:r>
      <w:r w:rsidRPr="007A1052" w:rsidR="00A22DA3">
        <w:rPr>
          <w:szCs w:val="22"/>
        </w:rPr>
        <w:t>a multi-media public announcement advertisement and marketing plan for the proposed upcoming NCR WEA test</w:t>
      </w:r>
      <w:r w:rsidRPr="007A1052" w:rsidR="00AB73FB">
        <w:rPr>
          <w:szCs w:val="22"/>
        </w:rPr>
        <w:t xml:space="preserve">, </w:t>
      </w:r>
      <w:r w:rsidRPr="007A1052" w:rsidR="00A22DA3">
        <w:rPr>
          <w:szCs w:val="22"/>
        </w:rPr>
        <w:t>will be shared with the PIOs in all affected jurisdictions for distribution to NCR media outlets, including daily newspapers and radio and television outlets, and posting on social media;</w:t>
      </w:r>
      <w:r w:rsidR="00374587">
        <w:rPr>
          <w:szCs w:val="22"/>
        </w:rPr>
        <w:t xml:space="preserve"> </w:t>
      </w:r>
    </w:p>
    <w:p w:rsidR="00285BFA" w:rsidP="00285BFA" w14:paraId="36A11174" w14:textId="77777777">
      <w:pPr>
        <w:pStyle w:val="ParaNum"/>
        <w:ind w:left="1080" w:firstLine="0"/>
        <w:rPr>
          <w:szCs w:val="22"/>
        </w:rPr>
      </w:pPr>
      <w:r w:rsidRPr="007A1052">
        <w:rPr>
          <w:szCs w:val="22"/>
        </w:rPr>
        <w:t xml:space="preserve">(4) </w:t>
      </w:r>
      <w:r>
        <w:rPr>
          <w:szCs w:val="22"/>
        </w:rPr>
        <w:t>T</w:t>
      </w:r>
      <w:r w:rsidR="00374587">
        <w:rPr>
          <w:szCs w:val="22"/>
        </w:rPr>
        <w:t>he use of “</w:t>
      </w:r>
      <w:r w:rsidRPr="007A1052">
        <w:rPr>
          <w:szCs w:val="22"/>
        </w:rPr>
        <w:t>test</w:t>
      </w:r>
      <w:r w:rsidR="00374587">
        <w:rPr>
          <w:szCs w:val="22"/>
        </w:rPr>
        <w:t>”</w:t>
      </w:r>
      <w:r w:rsidRPr="007A1052">
        <w:rPr>
          <w:szCs w:val="22"/>
        </w:rPr>
        <w:t xml:space="preserve"> wording </w:t>
      </w:r>
      <w:r w:rsidR="00374587">
        <w:rPr>
          <w:szCs w:val="22"/>
        </w:rPr>
        <w:t xml:space="preserve">as described by the MWCOG </w:t>
      </w:r>
      <w:r w:rsidRPr="007A1052">
        <w:rPr>
          <w:szCs w:val="22"/>
        </w:rPr>
        <w:t xml:space="preserve">will be </w:t>
      </w:r>
      <w:r w:rsidR="00374587">
        <w:rPr>
          <w:szCs w:val="22"/>
        </w:rPr>
        <w:t xml:space="preserve">used </w:t>
      </w:r>
      <w:r w:rsidR="004C091A">
        <w:rPr>
          <w:szCs w:val="22"/>
        </w:rPr>
        <w:t>throughout the warning</w:t>
      </w:r>
      <w:r>
        <w:rPr>
          <w:szCs w:val="22"/>
        </w:rPr>
        <w:t>; and</w:t>
      </w:r>
    </w:p>
    <w:p w:rsidR="00952F0E" w:rsidRPr="007A1052" w:rsidP="00285BFA" w14:paraId="5C275DF7" w14:textId="77777777">
      <w:pPr>
        <w:pStyle w:val="ParaNum"/>
        <w:ind w:left="1080" w:firstLine="0"/>
        <w:rPr>
          <w:szCs w:val="22"/>
        </w:rPr>
      </w:pPr>
      <w:r>
        <w:rPr>
          <w:szCs w:val="22"/>
        </w:rPr>
        <w:t>(5) T</w:t>
      </w:r>
      <w:r w:rsidRPr="007A1052">
        <w:rPr>
          <w:szCs w:val="22"/>
        </w:rPr>
        <w:t>his test w</w:t>
      </w:r>
      <w:r w:rsidR="00374587">
        <w:rPr>
          <w:szCs w:val="22"/>
        </w:rPr>
        <w:t xml:space="preserve">ill </w:t>
      </w:r>
      <w:r w:rsidRPr="007A1052">
        <w:rPr>
          <w:szCs w:val="22"/>
        </w:rPr>
        <w:t xml:space="preserve">not substitute for </w:t>
      </w:r>
      <w:r w:rsidRPr="007A1052" w:rsidR="00A22DA3">
        <w:rPr>
          <w:szCs w:val="22"/>
        </w:rPr>
        <w:t>other scheduled tests of W</w:t>
      </w:r>
      <w:r w:rsidR="00374587">
        <w:rPr>
          <w:szCs w:val="22"/>
        </w:rPr>
        <w:t>EA within the NCR.</w:t>
      </w:r>
      <w:r w:rsidRPr="007A1052" w:rsidR="00A22DA3">
        <w:rPr>
          <w:szCs w:val="22"/>
        </w:rPr>
        <w:t xml:space="preserve"> </w:t>
      </w:r>
    </w:p>
    <w:p w:rsidR="00BE5B8C" w:rsidRPr="007A1052" w:rsidP="0018095D" w14:paraId="6D4CA9DD" w14:textId="70780D29">
      <w:pPr>
        <w:pStyle w:val="ParaNum"/>
        <w:numPr>
          <w:ilvl w:val="0"/>
          <w:numId w:val="4"/>
        </w:numPr>
        <w:tabs>
          <w:tab w:val="clear" w:pos="360"/>
        </w:tabs>
        <w:ind w:left="0" w:firstLine="720"/>
        <w:rPr>
          <w:szCs w:val="22"/>
        </w:rPr>
      </w:pPr>
      <w:r w:rsidRPr="007A1052">
        <w:rPr>
          <w:szCs w:val="22"/>
        </w:rPr>
        <w:t>W</w:t>
      </w:r>
      <w:r w:rsidRPr="007A1052" w:rsidR="009B2497">
        <w:rPr>
          <w:szCs w:val="22"/>
        </w:rPr>
        <w:t xml:space="preserve">e </w:t>
      </w:r>
      <w:r w:rsidR="004C091A">
        <w:rPr>
          <w:szCs w:val="22"/>
        </w:rPr>
        <w:t xml:space="preserve">also </w:t>
      </w:r>
      <w:r w:rsidRPr="007A1052" w:rsidR="009B2497">
        <w:rPr>
          <w:szCs w:val="22"/>
        </w:rPr>
        <w:t xml:space="preserve">require </w:t>
      </w:r>
      <w:r w:rsidRPr="007A1052" w:rsidR="00966592">
        <w:rPr>
          <w:szCs w:val="22"/>
        </w:rPr>
        <w:t xml:space="preserve">that the test and any post-test analysis and reports that </w:t>
      </w:r>
      <w:r w:rsidRPr="007A1052">
        <w:rPr>
          <w:szCs w:val="22"/>
        </w:rPr>
        <w:t>MWCOG</w:t>
      </w:r>
      <w:r w:rsidRPr="007A1052" w:rsidR="00966592">
        <w:rPr>
          <w:szCs w:val="22"/>
        </w:rPr>
        <w:t xml:space="preserve"> may conduct</w:t>
      </w:r>
      <w:r w:rsidR="004C091A">
        <w:rPr>
          <w:szCs w:val="22"/>
        </w:rPr>
        <w:t xml:space="preserve"> or cause to be produced are </w:t>
      </w:r>
      <w:r w:rsidRPr="007A1052" w:rsidR="00966592">
        <w:rPr>
          <w:szCs w:val="22"/>
        </w:rPr>
        <w:t>done in a manner consistent with customer</w:t>
      </w:r>
      <w:r w:rsidRPr="007A1052" w:rsidR="008C6478">
        <w:rPr>
          <w:szCs w:val="22"/>
        </w:rPr>
        <w:t>s’</w:t>
      </w:r>
      <w:r w:rsidRPr="007A1052" w:rsidR="00966592">
        <w:rPr>
          <w:szCs w:val="22"/>
        </w:rPr>
        <w:t xml:space="preserve"> expectation of privacy, confidentiality of Participating CMS </w:t>
      </w:r>
      <w:r w:rsidRPr="007A1052" w:rsidR="00654FBE">
        <w:rPr>
          <w:szCs w:val="22"/>
        </w:rPr>
        <w:t>Providers’</w:t>
      </w:r>
      <w:r w:rsidRPr="007A1052" w:rsidR="00966592">
        <w:rPr>
          <w:szCs w:val="22"/>
        </w:rPr>
        <w:t xml:space="preserve"> </w:t>
      </w:r>
      <w:r w:rsidRPr="007A1052" w:rsidR="00406F83">
        <w:rPr>
          <w:szCs w:val="22"/>
        </w:rPr>
        <w:t>network information</w:t>
      </w:r>
      <w:r w:rsidRPr="007A1052" w:rsidR="00DD557C">
        <w:rPr>
          <w:szCs w:val="22"/>
        </w:rPr>
        <w:t>,</w:t>
      </w:r>
      <w:r w:rsidRPr="007A1052" w:rsidR="00406F83">
        <w:rPr>
          <w:szCs w:val="22"/>
        </w:rPr>
        <w:t xml:space="preserve"> and the overall security of the WEA</w:t>
      </w:r>
      <w:r w:rsidRPr="007A1052" w:rsidR="00DD557C">
        <w:rPr>
          <w:szCs w:val="22"/>
        </w:rPr>
        <w:t xml:space="preserve"> system</w:t>
      </w:r>
      <w:r w:rsidRPr="007A1052" w:rsidR="00406F83">
        <w:rPr>
          <w:szCs w:val="22"/>
        </w:rPr>
        <w:t xml:space="preserve"> and infrastructure</w:t>
      </w:r>
      <w:r w:rsidRPr="007A1052" w:rsidR="0059257D">
        <w:rPr>
          <w:szCs w:val="22"/>
        </w:rPr>
        <w:t>.</w:t>
      </w:r>
      <w:r>
        <w:rPr>
          <w:rStyle w:val="FootnoteReference"/>
          <w:szCs w:val="22"/>
        </w:rPr>
        <w:footnoteReference w:id="31"/>
      </w:r>
      <w:r w:rsidRPr="007A1052" w:rsidR="000E0F47">
        <w:rPr>
          <w:szCs w:val="22"/>
        </w:rPr>
        <w:t xml:space="preserve">  We </w:t>
      </w:r>
      <w:r w:rsidRPr="007A1052" w:rsidR="009745E3">
        <w:rPr>
          <w:szCs w:val="22"/>
        </w:rPr>
        <w:t>encourage</w:t>
      </w:r>
      <w:r w:rsidRPr="007A1052" w:rsidR="000E0F47">
        <w:rPr>
          <w:szCs w:val="22"/>
        </w:rPr>
        <w:t xml:space="preserve"> </w:t>
      </w:r>
      <w:r w:rsidRPr="007A1052">
        <w:rPr>
          <w:szCs w:val="22"/>
        </w:rPr>
        <w:t>MWCOG</w:t>
      </w:r>
      <w:r w:rsidRPr="007A1052" w:rsidR="000E0F47">
        <w:rPr>
          <w:szCs w:val="22"/>
        </w:rPr>
        <w:t xml:space="preserve"> to report test results in electronic format to the Bureau.</w:t>
      </w:r>
      <w:r w:rsidRPr="007A1052" w:rsidR="009B0CA6">
        <w:rPr>
          <w:szCs w:val="22"/>
        </w:rPr>
        <w:t xml:space="preserve">  </w:t>
      </w:r>
      <w:r w:rsidRPr="007A1052" w:rsidR="001A4706">
        <w:rPr>
          <w:szCs w:val="22"/>
        </w:rPr>
        <w:t xml:space="preserve">Finally, we encourage members of the public </w:t>
      </w:r>
      <w:r w:rsidR="00374587">
        <w:rPr>
          <w:szCs w:val="22"/>
        </w:rPr>
        <w:t xml:space="preserve">that wish to report their results to do so by filing them with the </w:t>
      </w:r>
      <w:r w:rsidRPr="007A1052" w:rsidR="009319C7">
        <w:rPr>
          <w:szCs w:val="22"/>
        </w:rPr>
        <w:t>FCC</w:t>
      </w:r>
      <w:r w:rsidR="00374587">
        <w:rPr>
          <w:szCs w:val="22"/>
        </w:rPr>
        <w:t xml:space="preserve">’s </w:t>
      </w:r>
      <w:r w:rsidRPr="00374587" w:rsidR="00374587">
        <w:rPr>
          <w:szCs w:val="22"/>
        </w:rPr>
        <w:t>Public Safety Support Center (PSSC)</w:t>
      </w:r>
      <w:r w:rsidRPr="007A1052" w:rsidR="009319C7">
        <w:rPr>
          <w:szCs w:val="22"/>
        </w:rPr>
        <w:t xml:space="preserve"> at</w:t>
      </w:r>
      <w:r w:rsidR="00E9733A">
        <w:rPr>
          <w:szCs w:val="22"/>
        </w:rPr>
        <w:t xml:space="preserve"> </w:t>
      </w:r>
      <w:r>
        <w:fldChar w:fldCharType="begin"/>
      </w:r>
      <w:r>
        <w:instrText xml:space="preserve"> HYPERLINK "https://www.fcc.gov/general/public-safety-support-center" </w:instrText>
      </w:r>
      <w:r>
        <w:fldChar w:fldCharType="separate"/>
      </w:r>
      <w:r w:rsidRPr="00961363" w:rsidR="00E9733A">
        <w:rPr>
          <w:rStyle w:val="Hyperlink"/>
          <w:szCs w:val="22"/>
        </w:rPr>
        <w:t>https://www.fcc.gov/general/public-safety-support-center</w:t>
      </w:r>
      <w:r>
        <w:fldChar w:fldCharType="end"/>
      </w:r>
      <w:r w:rsidRPr="007A1052" w:rsidR="009319C7">
        <w:rPr>
          <w:szCs w:val="22"/>
        </w:rPr>
        <w:t xml:space="preserve">.  </w:t>
      </w:r>
    </w:p>
    <w:p w:rsidR="00742152" w:rsidRPr="007A1052" w:rsidP="008B7CE7" w14:paraId="311D7B06" w14:textId="77777777">
      <w:pPr>
        <w:pStyle w:val="Heading1"/>
        <w:rPr>
          <w:szCs w:val="22"/>
        </w:rPr>
      </w:pPr>
      <w:bookmarkEnd w:id="9"/>
      <w:r w:rsidRPr="007A1052">
        <w:rPr>
          <w:szCs w:val="22"/>
        </w:rPr>
        <w:t>Ordering clause</w:t>
      </w:r>
    </w:p>
    <w:p w:rsidR="00742152" w:rsidRPr="007A1052" w:rsidP="0018095D" w14:paraId="530552D8" w14:textId="1EC65550">
      <w:pPr>
        <w:pStyle w:val="ParaNum"/>
        <w:numPr>
          <w:ilvl w:val="0"/>
          <w:numId w:val="4"/>
        </w:numPr>
        <w:tabs>
          <w:tab w:val="clear" w:pos="360"/>
        </w:tabs>
        <w:ind w:left="0" w:firstLine="720"/>
        <w:rPr>
          <w:szCs w:val="22"/>
        </w:rPr>
      </w:pPr>
      <w:r w:rsidRPr="007A1052">
        <w:rPr>
          <w:szCs w:val="22"/>
        </w:rPr>
        <w:t xml:space="preserve">Accordingly, </w:t>
      </w:r>
      <w:r w:rsidRPr="007A1052">
        <w:rPr>
          <w:b/>
          <w:szCs w:val="22"/>
        </w:rPr>
        <w:t>IT IS ORDERED</w:t>
      </w:r>
      <w:r w:rsidRPr="007A1052">
        <w:rPr>
          <w:szCs w:val="22"/>
        </w:rPr>
        <w:t xml:space="preserve"> </w:t>
      </w:r>
      <w:r w:rsidRPr="007A1052" w:rsidR="00AE1957">
        <w:rPr>
          <w:szCs w:val="22"/>
        </w:rPr>
        <w:t xml:space="preserve">that, </w:t>
      </w:r>
      <w:r w:rsidRPr="007A1052">
        <w:rPr>
          <w:szCs w:val="22"/>
        </w:rPr>
        <w:t>pursuant to Section 4(i) of the Communications Act of 1934, as amended, 47 U.S.C. § 154(i), and Section 1.</w:t>
      </w:r>
      <w:r w:rsidRPr="007A1052" w:rsidR="00891B9B">
        <w:rPr>
          <w:szCs w:val="22"/>
        </w:rPr>
        <w:t>3</w:t>
      </w:r>
      <w:r w:rsidRPr="007A1052">
        <w:rPr>
          <w:szCs w:val="22"/>
        </w:rPr>
        <w:t xml:space="preserve"> </w:t>
      </w:r>
      <w:r w:rsidRPr="007A1052" w:rsidR="002F625A">
        <w:rPr>
          <w:szCs w:val="22"/>
        </w:rPr>
        <w:t>of the Commission’s rules, 47 CFR</w:t>
      </w:r>
      <w:r w:rsidRPr="007A1052">
        <w:rPr>
          <w:szCs w:val="22"/>
        </w:rPr>
        <w:t xml:space="preserve"> § 1.</w:t>
      </w:r>
      <w:r w:rsidRPr="007A1052" w:rsidR="00891B9B">
        <w:rPr>
          <w:szCs w:val="22"/>
        </w:rPr>
        <w:t>3</w:t>
      </w:r>
      <w:r w:rsidRPr="007A1052" w:rsidR="006267A9">
        <w:rPr>
          <w:szCs w:val="22"/>
        </w:rPr>
        <w:t>,</w:t>
      </w:r>
      <w:r w:rsidRPr="007A1052" w:rsidR="002F625A">
        <w:rPr>
          <w:szCs w:val="22"/>
        </w:rPr>
        <w:t xml:space="preserve"> </w:t>
      </w:r>
      <w:r w:rsidRPr="007A1052" w:rsidR="00792D83">
        <w:rPr>
          <w:szCs w:val="22"/>
        </w:rPr>
        <w:t>Section</w:t>
      </w:r>
      <w:r w:rsidRPr="007A1052" w:rsidR="004A1ED9">
        <w:rPr>
          <w:szCs w:val="22"/>
        </w:rPr>
        <w:t>s</w:t>
      </w:r>
      <w:r w:rsidRPr="007A1052" w:rsidR="00792D83">
        <w:rPr>
          <w:szCs w:val="22"/>
        </w:rPr>
        <w:t xml:space="preserve"> </w:t>
      </w:r>
      <w:r w:rsidRPr="007A1052" w:rsidR="000E7265">
        <w:rPr>
          <w:szCs w:val="22"/>
        </w:rPr>
        <w:t>10.400, 10.520(d),</w:t>
      </w:r>
      <w:r w:rsidRPr="007A1052" w:rsidR="006E1AFF">
        <w:rPr>
          <w:szCs w:val="22"/>
        </w:rPr>
        <w:t xml:space="preserve"> 10.530(b),</w:t>
      </w:r>
      <w:r w:rsidRPr="007A1052" w:rsidR="000E7265">
        <w:rPr>
          <w:szCs w:val="22"/>
        </w:rPr>
        <w:t xml:space="preserve"> and</w:t>
      </w:r>
      <w:r w:rsidRPr="007A1052" w:rsidR="004A1ED9">
        <w:rPr>
          <w:szCs w:val="22"/>
        </w:rPr>
        <w:t xml:space="preserve"> </w:t>
      </w:r>
      <w:r w:rsidRPr="007A1052" w:rsidR="000E7265">
        <w:rPr>
          <w:szCs w:val="22"/>
        </w:rPr>
        <w:t xml:space="preserve">11.45 </w:t>
      </w:r>
      <w:r w:rsidRPr="007A1052" w:rsidR="002F625A">
        <w:rPr>
          <w:szCs w:val="22"/>
        </w:rPr>
        <w:t>of the Commission’s rules, 47 CFR</w:t>
      </w:r>
      <w:r w:rsidRPr="007A1052" w:rsidR="00792D83">
        <w:rPr>
          <w:szCs w:val="22"/>
        </w:rPr>
        <w:t xml:space="preserve"> </w:t>
      </w:r>
      <w:r w:rsidRPr="007A1052" w:rsidR="004A1ED9">
        <w:rPr>
          <w:szCs w:val="22"/>
        </w:rPr>
        <w:t>§</w:t>
      </w:r>
      <w:r w:rsidRPr="007A1052" w:rsidR="000E7265">
        <w:rPr>
          <w:szCs w:val="22"/>
        </w:rPr>
        <w:t xml:space="preserve">§10.400, 10.520(d), </w:t>
      </w:r>
      <w:r w:rsidRPr="007A1052" w:rsidR="006E1AFF">
        <w:rPr>
          <w:szCs w:val="22"/>
        </w:rPr>
        <w:t xml:space="preserve">10.530(b), </w:t>
      </w:r>
      <w:r w:rsidRPr="007A1052" w:rsidR="000E7265">
        <w:rPr>
          <w:szCs w:val="22"/>
        </w:rPr>
        <w:t>and 11.45</w:t>
      </w:r>
      <w:r w:rsidRPr="007A1052" w:rsidR="004A1ED9">
        <w:rPr>
          <w:szCs w:val="22"/>
        </w:rPr>
        <w:t>,</w:t>
      </w:r>
      <w:r w:rsidRPr="007A1052" w:rsidR="00792D83">
        <w:rPr>
          <w:szCs w:val="22"/>
        </w:rPr>
        <w:t xml:space="preserve"> </w:t>
      </w:r>
      <w:r w:rsidRPr="007A1052" w:rsidR="006267A9">
        <w:rPr>
          <w:b/>
          <w:szCs w:val="22"/>
        </w:rPr>
        <w:t>ARE</w:t>
      </w:r>
      <w:r w:rsidRPr="007A1052" w:rsidR="00792D83">
        <w:rPr>
          <w:b/>
          <w:szCs w:val="22"/>
        </w:rPr>
        <w:t xml:space="preserve"> WAIVED</w:t>
      </w:r>
      <w:r w:rsidR="004C091A">
        <w:rPr>
          <w:b/>
          <w:szCs w:val="22"/>
        </w:rPr>
        <w:t>,</w:t>
      </w:r>
      <w:r w:rsidRPr="007A1052" w:rsidR="00792D83">
        <w:rPr>
          <w:szCs w:val="22"/>
        </w:rPr>
        <w:t xml:space="preserve"> </w:t>
      </w:r>
      <w:r w:rsidRPr="007A1052" w:rsidR="00D83DA0">
        <w:rPr>
          <w:szCs w:val="22"/>
        </w:rPr>
        <w:t>to allow</w:t>
      </w:r>
      <w:r w:rsidRPr="007A1052" w:rsidR="00DD557C">
        <w:rPr>
          <w:szCs w:val="22"/>
        </w:rPr>
        <w:t xml:space="preserve"> </w:t>
      </w:r>
      <w:r w:rsidRPr="007A1052" w:rsidR="00D83DA0">
        <w:rPr>
          <w:szCs w:val="22"/>
        </w:rPr>
        <w:t xml:space="preserve">a one-time test </w:t>
      </w:r>
      <w:r w:rsidR="004C091A">
        <w:rPr>
          <w:szCs w:val="22"/>
        </w:rPr>
        <w:t xml:space="preserve">in the National Capital Region </w:t>
      </w:r>
      <w:r w:rsidRPr="007A1052" w:rsidR="00D83DA0">
        <w:rPr>
          <w:szCs w:val="22"/>
        </w:rPr>
        <w:t>of the WEA</w:t>
      </w:r>
      <w:r w:rsidRPr="007A1052" w:rsidR="00011334">
        <w:rPr>
          <w:szCs w:val="22"/>
        </w:rPr>
        <w:t xml:space="preserve"> system</w:t>
      </w:r>
      <w:r w:rsidRPr="007A1052" w:rsidR="00D83DA0">
        <w:rPr>
          <w:szCs w:val="22"/>
        </w:rPr>
        <w:t xml:space="preserve">, conducted subject to the conditions described herein, </w:t>
      </w:r>
      <w:r w:rsidRPr="007A1052" w:rsidR="00011334">
        <w:rPr>
          <w:szCs w:val="22"/>
        </w:rPr>
        <w:t>within</w:t>
      </w:r>
      <w:r w:rsidRPr="007A1052" w:rsidR="00D83DA0">
        <w:rPr>
          <w:szCs w:val="22"/>
        </w:rPr>
        <w:t xml:space="preserve"> </w:t>
      </w:r>
      <w:r w:rsidRPr="007A1052" w:rsidR="00DD557C">
        <w:rPr>
          <w:szCs w:val="22"/>
        </w:rPr>
        <w:t xml:space="preserve">the </w:t>
      </w:r>
      <w:bookmarkStart w:id="10" w:name="_Hlk508626707"/>
      <w:r w:rsidRPr="007A1052" w:rsidR="00DD557C">
        <w:rPr>
          <w:szCs w:val="22"/>
        </w:rPr>
        <w:t xml:space="preserve">limited time period between </w:t>
      </w:r>
      <w:r w:rsidRPr="007A1052" w:rsidR="00782B21">
        <w:rPr>
          <w:szCs w:val="22"/>
        </w:rPr>
        <w:t>10</w:t>
      </w:r>
      <w:r w:rsidR="004C091A">
        <w:rPr>
          <w:szCs w:val="22"/>
        </w:rPr>
        <w:t>:00</w:t>
      </w:r>
      <w:r w:rsidRPr="007A1052" w:rsidR="00DD557C">
        <w:rPr>
          <w:szCs w:val="22"/>
        </w:rPr>
        <w:t xml:space="preserve"> </w:t>
      </w:r>
      <w:r w:rsidRPr="007A1052" w:rsidR="00430F71">
        <w:rPr>
          <w:szCs w:val="22"/>
        </w:rPr>
        <w:t xml:space="preserve">AM </w:t>
      </w:r>
      <w:r w:rsidRPr="007A1052" w:rsidR="00DD557C">
        <w:rPr>
          <w:szCs w:val="22"/>
        </w:rPr>
        <w:t xml:space="preserve">and </w:t>
      </w:r>
      <w:r w:rsidRPr="007A1052" w:rsidR="00782B21">
        <w:rPr>
          <w:szCs w:val="22"/>
        </w:rPr>
        <w:t>10</w:t>
      </w:r>
      <w:r w:rsidRPr="007A1052" w:rsidR="00DD557C">
        <w:rPr>
          <w:szCs w:val="22"/>
        </w:rPr>
        <w:t>:</w:t>
      </w:r>
      <w:r w:rsidRPr="007A1052" w:rsidR="00A76109">
        <w:rPr>
          <w:szCs w:val="22"/>
        </w:rPr>
        <w:t>3</w:t>
      </w:r>
      <w:r w:rsidRPr="007A1052" w:rsidR="00DD557C">
        <w:rPr>
          <w:szCs w:val="22"/>
        </w:rPr>
        <w:t xml:space="preserve">0 </w:t>
      </w:r>
      <w:r w:rsidRPr="007A1052" w:rsidR="00A76109">
        <w:rPr>
          <w:szCs w:val="22"/>
        </w:rPr>
        <w:t>AM</w:t>
      </w:r>
      <w:r w:rsidRPr="007A1052" w:rsidR="00DD557C">
        <w:rPr>
          <w:szCs w:val="22"/>
        </w:rPr>
        <w:t xml:space="preserve"> on </w:t>
      </w:r>
      <w:r w:rsidRPr="007A1052" w:rsidR="00A76109">
        <w:rPr>
          <w:szCs w:val="22"/>
        </w:rPr>
        <w:t xml:space="preserve">April </w:t>
      </w:r>
      <w:r w:rsidR="008C557D">
        <w:rPr>
          <w:szCs w:val="22"/>
        </w:rPr>
        <w:t>5</w:t>
      </w:r>
      <w:r w:rsidRPr="007A1052" w:rsidR="00A76109">
        <w:rPr>
          <w:szCs w:val="22"/>
        </w:rPr>
        <w:t xml:space="preserve">, 2018, with a backup date of April </w:t>
      </w:r>
      <w:r w:rsidR="008C557D">
        <w:rPr>
          <w:szCs w:val="22"/>
        </w:rPr>
        <w:t>9</w:t>
      </w:r>
      <w:r w:rsidRPr="007A1052" w:rsidR="00A76109">
        <w:rPr>
          <w:szCs w:val="22"/>
        </w:rPr>
        <w:t>, 2018</w:t>
      </w:r>
      <w:bookmarkEnd w:id="10"/>
      <w:r w:rsidRPr="007A1052" w:rsidR="00DD557C">
        <w:rPr>
          <w:szCs w:val="22"/>
        </w:rPr>
        <w:t xml:space="preserve">.  </w:t>
      </w:r>
      <w:r w:rsidRPr="007A1052">
        <w:rPr>
          <w:szCs w:val="22"/>
        </w:rPr>
        <w:t>This action is taken under delegated authority pursuant to Sections 0.191 and 0.392 of the Commission’s rules, 47 C</w:t>
      </w:r>
      <w:r w:rsidRPr="007A1052" w:rsidR="006267A9">
        <w:rPr>
          <w:szCs w:val="22"/>
        </w:rPr>
        <w:t>FR</w:t>
      </w:r>
      <w:r w:rsidRPr="007A1052">
        <w:rPr>
          <w:szCs w:val="22"/>
        </w:rPr>
        <w:t xml:space="preserve"> §§ 0.191</w:t>
      </w:r>
      <w:r w:rsidRPr="007A1052" w:rsidR="006267A9">
        <w:rPr>
          <w:szCs w:val="22"/>
        </w:rPr>
        <w:t xml:space="preserve"> and</w:t>
      </w:r>
      <w:r w:rsidRPr="007A1052">
        <w:rPr>
          <w:szCs w:val="22"/>
        </w:rPr>
        <w:t xml:space="preserve"> 0.392.</w:t>
      </w:r>
      <w:r w:rsidRPr="007A1052" w:rsidR="00BE5B8C">
        <w:rPr>
          <w:szCs w:val="22"/>
        </w:rPr>
        <w:t xml:space="preserve"> </w:t>
      </w:r>
    </w:p>
    <w:p w:rsidR="00E26082" w14:paraId="0E48151E" w14:textId="77777777">
      <w:pPr>
        <w:pStyle w:val="ParaNum"/>
        <w:ind w:firstLine="0"/>
        <w:rPr>
          <w:szCs w:val="22"/>
        </w:rPr>
      </w:pPr>
    </w:p>
    <w:p w:rsidR="00E26082" w14:paraId="7E5EE1E8" w14:textId="77777777">
      <w:pPr>
        <w:pStyle w:val="ParaNum"/>
        <w:ind w:firstLine="0"/>
        <w:rPr>
          <w:szCs w:val="22"/>
        </w:rPr>
      </w:pPr>
    </w:p>
    <w:p w:rsidR="00742152" w:rsidRPr="007A1052" w14:paraId="190D8276" w14:textId="77777777">
      <w:pPr>
        <w:pStyle w:val="ParaNum"/>
        <w:ind w:firstLine="0"/>
        <w:rPr>
          <w:szCs w:val="22"/>
        </w:rPr>
      </w:pPr>
      <w:r w:rsidRPr="007A1052">
        <w:rPr>
          <w:szCs w:val="22"/>
        </w:rPr>
        <w:tab/>
      </w:r>
      <w:r w:rsidRPr="007A1052">
        <w:rPr>
          <w:szCs w:val="22"/>
        </w:rPr>
        <w:tab/>
        <w:t xml:space="preserve">                                      FEDERAL COMMUNICATIONS COMMISSION</w:t>
      </w:r>
    </w:p>
    <w:p w:rsidR="00742152" w:rsidRPr="007A1052" w14:paraId="3652A20A" w14:textId="77777777">
      <w:pPr>
        <w:ind w:left="3600" w:firstLine="720"/>
        <w:rPr>
          <w:szCs w:val="22"/>
        </w:rPr>
      </w:pPr>
    </w:p>
    <w:p w:rsidR="00742152" w:rsidRPr="007A1052" w14:paraId="1B1F23D0" w14:textId="77777777">
      <w:pPr>
        <w:ind w:left="3600" w:firstLine="720"/>
        <w:rPr>
          <w:szCs w:val="22"/>
        </w:rPr>
      </w:pPr>
    </w:p>
    <w:p w:rsidR="00742152" w:rsidRPr="007A1052" w14:paraId="14ADB5A9" w14:textId="77777777">
      <w:pPr>
        <w:ind w:left="3600" w:firstLine="720"/>
        <w:rPr>
          <w:szCs w:val="22"/>
        </w:rPr>
      </w:pPr>
    </w:p>
    <w:p w:rsidR="00BD3B64" w:rsidRPr="007A1052" w:rsidP="00CD1FC7" w14:paraId="671ED8BA" w14:textId="77777777">
      <w:pPr>
        <w:ind w:left="3600" w:firstLine="720"/>
        <w:rPr>
          <w:szCs w:val="22"/>
        </w:rPr>
      </w:pPr>
      <w:bookmarkStart w:id="11" w:name="sp_999_4"/>
      <w:bookmarkStart w:id="12" w:name="SDU_4"/>
      <w:bookmarkEnd w:id="11"/>
      <w:bookmarkEnd w:id="12"/>
      <w:r w:rsidRPr="007A1052">
        <w:rPr>
          <w:szCs w:val="22"/>
        </w:rPr>
        <w:t>Lisa M. Fowlkes</w:t>
      </w:r>
    </w:p>
    <w:p w:rsidR="00742152" w:rsidP="00CD1FC7" w14:paraId="256D4A96" w14:textId="77777777">
      <w:pPr>
        <w:ind w:left="4320"/>
        <w:rPr>
          <w:szCs w:val="22"/>
        </w:rPr>
      </w:pPr>
      <w:r w:rsidRPr="007A1052">
        <w:rPr>
          <w:szCs w:val="22"/>
        </w:rPr>
        <w:t>Chief, Public Safety and Homeland Security Bureau</w:t>
      </w:r>
      <w:r w:rsidRPr="007A1052" w:rsidR="00CD1FC7">
        <w:rPr>
          <w:szCs w:val="22"/>
        </w:rPr>
        <w:t xml:space="preserve"> Federal Communications Commission</w:t>
      </w:r>
    </w:p>
    <w:p w:rsidR="00902156" w:rsidRPr="007A1052" w:rsidP="00374587" w14:paraId="6CD32F5C" w14:textId="77777777">
      <w:pPr>
        <w:rPr>
          <w:szCs w:val="22"/>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61E8" w14:paraId="0CAB84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6082" w14:paraId="620F270C" w14:textId="35AB856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061E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61E8" w14:paraId="408E2B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03E1" w14:paraId="669AE989" w14:textId="77777777">
      <w:r>
        <w:separator/>
      </w:r>
    </w:p>
  </w:footnote>
  <w:footnote w:type="continuationSeparator" w:id="1">
    <w:p w:rsidR="000B03E1" w14:paraId="3224BFC1" w14:textId="77777777">
      <w:r>
        <w:continuationSeparator/>
      </w:r>
    </w:p>
  </w:footnote>
  <w:footnote w:type="continuationNotice" w:id="2">
    <w:p w:rsidR="000B03E1" w14:paraId="2D002FBF" w14:textId="77777777"/>
  </w:footnote>
  <w:footnote w:id="3">
    <w:p w:rsidR="00843B13" w:rsidP="00843B13" w14:paraId="24E5AED6" w14:textId="39CE77F4">
      <w:pPr>
        <w:pStyle w:val="FootnoteText"/>
      </w:pPr>
      <w:r>
        <w:rPr>
          <w:rStyle w:val="FootnoteReference"/>
        </w:rPr>
        <w:footnoteRef/>
      </w:r>
      <w:r>
        <w:t xml:space="preserve"> </w:t>
      </w:r>
      <w:r w:rsidRPr="0069080A">
        <w:rPr>
          <w:i/>
        </w:rPr>
        <w:t>See</w:t>
      </w:r>
      <w:r>
        <w:t xml:space="preserve"> 47 CFR §§ 10.400, 10.520(d), 10.530(b), 11.45.  </w:t>
      </w:r>
    </w:p>
  </w:footnote>
  <w:footnote w:id="4">
    <w:p w:rsidR="00843B13" w:rsidP="00843B13" w14:paraId="1A7105DC" w14:textId="6E03A563">
      <w:pPr>
        <w:pStyle w:val="FootnoteText"/>
      </w:pPr>
      <w:r>
        <w:rPr>
          <w:rStyle w:val="FootnoteReference"/>
        </w:rPr>
        <w:footnoteRef/>
      </w:r>
      <w:r>
        <w:t xml:space="preserve"> </w:t>
      </w:r>
      <w:r w:rsidRPr="00410053">
        <w:t xml:space="preserve">Participating CMS Providers are commercial mobile service providers that have elected voluntarily to transmit WEA alert messages.  </w:t>
      </w:r>
      <w:r w:rsidRPr="00410053">
        <w:rPr>
          <w:i/>
        </w:rPr>
        <w:t xml:space="preserve">See </w:t>
      </w:r>
      <w:r w:rsidRPr="00410053">
        <w:t>47 CFR §</w:t>
      </w:r>
      <w:r w:rsidR="00F12696">
        <w:t xml:space="preserve"> </w:t>
      </w:r>
      <w:r w:rsidRPr="00410053">
        <w:t>10.10</w:t>
      </w:r>
      <w:r>
        <w:t xml:space="preserve">(d), </w:t>
      </w:r>
      <w:r w:rsidRPr="00410053">
        <w:t>(f)</w:t>
      </w:r>
      <w:r>
        <w:t>.</w:t>
      </w:r>
    </w:p>
  </w:footnote>
  <w:footnote w:id="5">
    <w:p w:rsidR="008F7562" w:rsidP="00D6064A" w14:paraId="7CFA92A6" w14:textId="2FA47052">
      <w:pPr>
        <w:pStyle w:val="FootnoteText"/>
      </w:pPr>
      <w:r>
        <w:rPr>
          <w:rStyle w:val="FootnoteReference"/>
        </w:rPr>
        <w:footnoteRef/>
      </w:r>
      <w:r>
        <w:t xml:space="preserve"> </w:t>
      </w:r>
      <w:r w:rsidRPr="00D6064A" w:rsidR="00D6064A">
        <w:rPr>
          <w:i/>
        </w:rPr>
        <w:t>See</w:t>
      </w:r>
      <w:r w:rsidRPr="00D6064A" w:rsidR="00D6064A">
        <w:t xml:space="preserve"> Letter from </w:t>
      </w:r>
      <w:r w:rsidR="00D6064A">
        <w:t xml:space="preserve">Ronald Gill, Chairman, COG Emergency Managers Committee, Director, Prince George’s County of Emergency Management, </w:t>
      </w:r>
      <w:r w:rsidRPr="00D6064A" w:rsidR="00D6064A">
        <w:t xml:space="preserve">to </w:t>
      </w:r>
      <w:r w:rsidR="00D6064A">
        <w:t xml:space="preserve">Michael </w:t>
      </w:r>
      <w:r w:rsidRPr="00D6064A" w:rsidR="00D6064A">
        <w:t xml:space="preserve">J. </w:t>
      </w:r>
      <w:r w:rsidR="00D6064A">
        <w:t xml:space="preserve">Wilhelm, Chief, </w:t>
      </w:r>
      <w:r w:rsidRPr="00D6064A" w:rsidR="00D6064A">
        <w:t>Public Safety &amp; Homeland Security Bureau, FCC</w:t>
      </w:r>
      <w:r w:rsidR="00D6064A">
        <w:t xml:space="preserve">, PS Docket No. 15-91, (filed Mar. 7, 2018), </w:t>
      </w:r>
      <w:r>
        <w:fldChar w:fldCharType="begin"/>
      </w:r>
      <w:r>
        <w:instrText xml:space="preserve"> HYPERLINK "https://www.fcc.gov/ecfs/filing/103071065821139" </w:instrText>
      </w:r>
      <w:r>
        <w:fldChar w:fldCharType="separate"/>
      </w:r>
      <w:r w:rsidRPr="00BF21DB" w:rsidR="00474B89">
        <w:rPr>
          <w:rStyle w:val="Hyperlink"/>
        </w:rPr>
        <w:t>https://www.fcc.gov/ecfs/filing/103071065821139</w:t>
      </w:r>
      <w:r>
        <w:fldChar w:fldCharType="end"/>
      </w:r>
      <w:r w:rsidR="00474B89">
        <w:t>.</w:t>
      </w:r>
      <w:r w:rsidRPr="00474B89" w:rsidR="00474B89">
        <w:t xml:space="preserve"> </w:t>
      </w:r>
      <w:r w:rsidRPr="00D6064A" w:rsidR="00474B89">
        <w:t>(</w:t>
      </w:r>
      <w:r w:rsidR="00474B89">
        <w:t>MW</w:t>
      </w:r>
      <w:r w:rsidR="004065AD">
        <w:t>C</w:t>
      </w:r>
      <w:r w:rsidR="00474B89">
        <w:t xml:space="preserve">OG March 7 </w:t>
      </w:r>
      <w:r w:rsidRPr="00D6064A" w:rsidR="00474B89">
        <w:t>Letter</w:t>
      </w:r>
      <w:r w:rsidR="00474B89">
        <w:t>)</w:t>
      </w:r>
      <w:r w:rsidR="00A32EEE">
        <w:t xml:space="preserve">, </w:t>
      </w:r>
      <w:r w:rsidRPr="00C0473A" w:rsidR="00A32EEE">
        <w:rPr>
          <w:i/>
        </w:rPr>
        <w:t>a</w:t>
      </w:r>
      <w:r w:rsidRPr="00062D1A" w:rsidR="000E48C5">
        <w:rPr>
          <w:i/>
        </w:rPr>
        <w:t>s amended b</w:t>
      </w:r>
      <w:r w:rsidRPr="00B92276" w:rsidR="000E48C5">
        <w:rPr>
          <w:i/>
        </w:rPr>
        <w:t>y</w:t>
      </w:r>
      <w:r w:rsidRPr="00B92276" w:rsidR="00474B89">
        <w:t xml:space="preserve"> </w:t>
      </w:r>
      <w:r w:rsidRPr="00A32EEE" w:rsidR="00B92276">
        <w:t xml:space="preserve">Letter from Ronald Gill, Chairman, COG Emergency Managers Committee, Director, Prince George’s County of Emergency Management, to Michael J. Wilhelm, Chief, Public Safety &amp; Homeland Security Bureau, FCC, PS Docket No. 15-91, (filed Mar. </w:t>
      </w:r>
      <w:r w:rsidR="004065AD">
        <w:t>14</w:t>
      </w:r>
      <w:r w:rsidRPr="00A32EEE" w:rsidR="00B92276">
        <w:t xml:space="preserve">, 2018), </w:t>
      </w:r>
      <w:r>
        <w:fldChar w:fldCharType="begin"/>
      </w:r>
      <w:r>
        <w:instrText xml:space="preserve"> HYPERLINK "https://www.fcc.gov/ecfs/filing/10314130220625" </w:instrText>
      </w:r>
      <w:r>
        <w:fldChar w:fldCharType="separate"/>
      </w:r>
      <w:r w:rsidRPr="00BF21DB" w:rsidR="006D1F7F">
        <w:rPr>
          <w:rStyle w:val="Hyperlink"/>
        </w:rPr>
        <w:t>https://www.fcc.gov/ecfs/filing/</w:t>
      </w:r>
      <w:r w:rsidRPr="00BF21DB" w:rsidR="00647942">
        <w:rPr>
          <w:rStyle w:val="Hyperlink"/>
        </w:rPr>
        <w:t>10314130220625</w:t>
      </w:r>
      <w:r>
        <w:fldChar w:fldCharType="end"/>
      </w:r>
      <w:r w:rsidRPr="00A32EEE" w:rsidR="00B92276">
        <w:t xml:space="preserve"> (MW</w:t>
      </w:r>
      <w:r w:rsidR="00B639DD">
        <w:t>C</w:t>
      </w:r>
      <w:r w:rsidRPr="00A32EEE" w:rsidR="00B92276">
        <w:t>OG March 14 Letter)</w:t>
      </w:r>
      <w:r w:rsidR="002274AA">
        <w:t>.</w:t>
      </w:r>
      <w:r w:rsidR="00474B89">
        <w:t xml:space="preserve"> </w:t>
      </w:r>
    </w:p>
  </w:footnote>
  <w:footnote w:id="6">
    <w:p w:rsidR="0030229E" w:rsidRPr="007662CB" w:rsidP="0030229E" w14:paraId="33D8E051" w14:textId="06814A45">
      <w:pPr>
        <w:pStyle w:val="FootnoteText"/>
      </w:pPr>
      <w:r w:rsidRPr="007662CB">
        <w:rPr>
          <w:rStyle w:val="FootnoteReference"/>
        </w:rPr>
        <w:footnoteRef/>
      </w:r>
      <w:r w:rsidRPr="007662CB">
        <w:t xml:space="preserve"> The MWCOG </w:t>
      </w:r>
      <w:r w:rsidR="00474B89">
        <w:t xml:space="preserve">March 7 </w:t>
      </w:r>
      <w:r w:rsidRPr="00E26082" w:rsidR="00E26082">
        <w:t xml:space="preserve">Letter </w:t>
      </w:r>
      <w:r w:rsidRPr="007662CB">
        <w:t>identif</w:t>
      </w:r>
      <w:r w:rsidR="009F0933">
        <w:t>ies</w:t>
      </w:r>
      <w:r w:rsidRPr="007662CB">
        <w:t xml:space="preserve"> the participating jurisdictions as </w:t>
      </w:r>
      <w:r w:rsidRPr="0030229E">
        <w:t xml:space="preserve">Fairfax County, Prince William County, City of Alexandria, Arlington County, Loudoun County, City of Falls Church, City of Manassas, City of Manassas Park, City of Fairfax, City of College Park, City of Gaithersburg, City of Rockville, Prince George County, City of Takoma Park, Montgomery County, City of Greenbelt, City of Bowie, </w:t>
      </w:r>
      <w:r w:rsidR="00872CB1">
        <w:t>Charles County</w:t>
      </w:r>
      <w:r w:rsidR="00496F60">
        <w:t xml:space="preserve">, </w:t>
      </w:r>
      <w:r w:rsidR="00872CB1">
        <w:t>Frederick County</w:t>
      </w:r>
      <w:r w:rsidR="00496F60">
        <w:t xml:space="preserve">, </w:t>
      </w:r>
      <w:r w:rsidRPr="0030229E">
        <w:t>and the District of Columbia</w:t>
      </w:r>
      <w:r w:rsidR="00474B89">
        <w:t>.</w:t>
      </w:r>
    </w:p>
  </w:footnote>
  <w:footnote w:id="7">
    <w:p w:rsidR="00B63F30" w14:paraId="22226090" w14:textId="2B59CB83">
      <w:pPr>
        <w:pStyle w:val="FootnoteText"/>
      </w:pPr>
      <w:r>
        <w:rPr>
          <w:rStyle w:val="FootnoteReference"/>
        </w:rPr>
        <w:footnoteRef/>
      </w:r>
      <w:r>
        <w:t xml:space="preserve"> </w:t>
      </w:r>
      <w:bookmarkStart w:id="1" w:name="_Hlk508385533"/>
      <w:bookmarkStart w:id="2" w:name="_Hlk508372754"/>
      <w:r w:rsidR="00496F60">
        <w:t>MWCOG March 7 Letter at 1</w:t>
      </w:r>
      <w:r w:rsidR="00B639DD">
        <w:t>.</w:t>
      </w:r>
      <w:bookmarkEnd w:id="1"/>
      <w:bookmarkEnd w:id="2"/>
    </w:p>
  </w:footnote>
  <w:footnote w:id="8">
    <w:p w:rsidR="00D6064A" w14:paraId="1BDF45B0" w14:textId="33074B99">
      <w:pPr>
        <w:pStyle w:val="FootnoteText"/>
      </w:pPr>
      <w:r>
        <w:rPr>
          <w:rStyle w:val="FootnoteReference"/>
        </w:rPr>
        <w:footnoteRef/>
      </w:r>
      <w:r>
        <w:t xml:space="preserve"> </w:t>
      </w:r>
      <w:r w:rsidRPr="00496F60" w:rsidR="00496F60">
        <w:t xml:space="preserve">MWCOG March </w:t>
      </w:r>
      <w:r w:rsidR="009F0933">
        <w:t>14</w:t>
      </w:r>
      <w:r w:rsidRPr="00496F60" w:rsidR="00496F60">
        <w:t xml:space="preserve"> Letter at </w:t>
      </w:r>
      <w:r w:rsidR="009F0933">
        <w:t>2</w:t>
      </w:r>
      <w:r w:rsidR="00496F60">
        <w:t xml:space="preserve">.  </w:t>
      </w:r>
      <w:r w:rsidRPr="00077C84" w:rsidR="00077C84">
        <w:t xml:space="preserve">The test alerts will be sent by: Arlington County, City of Alexandria, City of Fairfax, City of Manassas, District of Columbia, Charles County, Fairfax County (including City of Falls Church), Frederick County, Loudoun County, Montgomery County (including Cities of Rockville, Gaithersburg, and Takoma Park); Prince George County (including the Cities of College Park, Greenbelt, and Bowie), and Prince William County (including the City of Manassas Park).  </w:t>
      </w:r>
    </w:p>
  </w:footnote>
  <w:footnote w:id="9">
    <w:p w:rsidR="00F357FF" w:rsidP="00F357FF" w14:paraId="5F812E74" w14:textId="77777777">
      <w:pPr>
        <w:pStyle w:val="FootnoteText"/>
      </w:pPr>
      <w:r>
        <w:rPr>
          <w:rStyle w:val="FootnoteReference"/>
        </w:rPr>
        <w:footnoteRef/>
      </w:r>
      <w:r>
        <w:t xml:space="preserve"> </w:t>
      </w:r>
      <w:r w:rsidRPr="004C4510">
        <w:rPr>
          <w:i/>
        </w:rPr>
        <w:t>See</w:t>
      </w:r>
      <w:r w:rsidRPr="00303843">
        <w:t xml:space="preserve"> </w:t>
      </w:r>
      <w:r w:rsidRPr="004C4510">
        <w:rPr>
          <w:i/>
        </w:rPr>
        <w:t>Commercial Mobile Alert System</w:t>
      </w:r>
      <w:r w:rsidRPr="00303843">
        <w:t>, PS Docket No. 07-287, Third Report and Order, 23 FCC Rcd 12561, 12575, para. 32 (2008) (stating the requirements for carriers volunteering to participate in WEA).</w:t>
      </w:r>
    </w:p>
  </w:footnote>
  <w:footnote w:id="10">
    <w:p w:rsidR="00F357FF" w:rsidRPr="006A5BFF" w:rsidP="00F357FF" w14:paraId="79DFF6D9" w14:textId="77777777">
      <w:pPr>
        <w:pStyle w:val="FootnoteText"/>
      </w:pPr>
      <w:r w:rsidRPr="000E7265">
        <w:rPr>
          <w:rStyle w:val="FootnoteReference"/>
        </w:rPr>
        <w:footnoteRef/>
      </w:r>
      <w:r w:rsidRPr="000E7265">
        <w:t xml:space="preserve"> 47 CFR § 10.520(d).</w:t>
      </w:r>
      <w:r w:rsidR="000E48C5">
        <w:t xml:space="preserve">  The Attention Signal is</w:t>
      </w:r>
      <w:r w:rsidRPr="002B1E2D" w:rsidR="000E48C5">
        <w:t xml:space="preserve"> </w:t>
      </w:r>
      <w:r w:rsidR="000E48C5">
        <w:t xml:space="preserve">a </w:t>
      </w:r>
      <w:r w:rsidRPr="002B1E2D" w:rsidR="000E48C5">
        <w:t>loud, attention-grabbing, two-tone audio signal that uses frequencies and sounds identical to the attention signal used by the EAS</w:t>
      </w:r>
      <w:r w:rsidR="000E48C5">
        <w:t xml:space="preserve">.  </w:t>
      </w:r>
      <w:r w:rsidRPr="004C4510" w:rsidR="000E48C5">
        <w:rPr>
          <w:i/>
        </w:rPr>
        <w:t>Compare</w:t>
      </w:r>
      <w:r w:rsidRPr="002B1E2D" w:rsidR="000E48C5">
        <w:t xml:space="preserve"> 47 CFR § 10.520 </w:t>
      </w:r>
      <w:r w:rsidRPr="004C4510" w:rsidR="000E48C5">
        <w:rPr>
          <w:i/>
        </w:rPr>
        <w:t>with</w:t>
      </w:r>
      <w:r w:rsidRPr="002B1E2D" w:rsidR="000E48C5">
        <w:t xml:space="preserve"> 47 CFR § 11.31(a)(2).</w:t>
      </w:r>
    </w:p>
  </w:footnote>
  <w:footnote w:id="11">
    <w:p w:rsidR="00F357FF" w:rsidP="00F357FF" w14:paraId="200DD374" w14:textId="7EB8FA8B">
      <w:pPr>
        <w:pStyle w:val="FootnoteText"/>
      </w:pPr>
      <w:r>
        <w:rPr>
          <w:rStyle w:val="FootnoteReference"/>
        </w:rPr>
        <w:footnoteRef/>
      </w:r>
      <w:r w:rsidR="00CC791A">
        <w:t xml:space="preserve"> </w:t>
      </w:r>
      <w:r w:rsidRPr="00062D1A" w:rsidR="000E48C5">
        <w:t>47 CFR</w:t>
      </w:r>
      <w:r>
        <w:rPr>
          <w:i/>
        </w:rPr>
        <w:t xml:space="preserve"> </w:t>
      </w:r>
      <w:r>
        <w:t xml:space="preserve">§ 10.350.  </w:t>
      </w:r>
      <w:r w:rsidRPr="002B1E2D">
        <w:t>Specifically, the Commission’s rules require Participating CMS Providers to participate in monthly tests initiated by the Federal Emer</w:t>
      </w:r>
      <w:r>
        <w:t>gency Management Agency (FEMA)</w:t>
      </w:r>
      <w:r w:rsidR="00AE35A9">
        <w:t xml:space="preserve"> and </w:t>
      </w:r>
      <w:r w:rsidRPr="002B1E2D">
        <w:t>in period</w:t>
      </w:r>
      <w:r>
        <w:t>ic tests of WEA’s C-Interface</w:t>
      </w:r>
      <w:r w:rsidR="00AE35A9">
        <w:t>.</w:t>
      </w:r>
      <w:r w:rsidR="004065AD">
        <w:t xml:space="preserve"> </w:t>
      </w:r>
      <w:r w:rsidR="00AE35A9">
        <w:t xml:space="preserve"> </w:t>
      </w:r>
      <w:r w:rsidRPr="00062D1A" w:rsidR="00062D1A">
        <w:rPr>
          <w:i/>
        </w:rPr>
        <w:t>Id.</w:t>
      </w:r>
      <w:r w:rsidR="00062D1A">
        <w:t xml:space="preserve"> </w:t>
      </w:r>
    </w:p>
  </w:footnote>
  <w:footnote w:id="12">
    <w:p w:rsidR="00AE35A9" w14:paraId="4D75BCEA" w14:textId="69E8DD02">
      <w:pPr>
        <w:pStyle w:val="FootnoteText"/>
      </w:pPr>
      <w:r>
        <w:rPr>
          <w:rStyle w:val="FootnoteReference"/>
        </w:rPr>
        <w:footnoteRef/>
      </w:r>
      <w:r>
        <w:t xml:space="preserve"> </w:t>
      </w:r>
      <w:r w:rsidRPr="00AE35A9">
        <w:rPr>
          <w:i/>
        </w:rPr>
        <w:t xml:space="preserve">Wireless Emergency Alerts; Amendments to </w:t>
      </w:r>
      <w:r w:rsidR="004065AD">
        <w:rPr>
          <w:i/>
        </w:rPr>
        <w:t xml:space="preserve">Part 11 of the Commission’s </w:t>
      </w:r>
      <w:r w:rsidRPr="00AE35A9">
        <w:rPr>
          <w:i/>
        </w:rPr>
        <w:t>Rules Regarding the Emergency Alert System</w:t>
      </w:r>
      <w:r w:rsidRPr="00AE35A9">
        <w:t>,</w:t>
      </w:r>
      <w:r w:rsidRPr="00E26082">
        <w:t xml:space="preserve"> </w:t>
      </w:r>
      <w:r w:rsidRPr="00E26082" w:rsidR="00E26082">
        <w:rPr>
          <w:iCs/>
        </w:rPr>
        <w:t>31 FCC Rcd 11112</w:t>
      </w:r>
      <w:r w:rsidR="00E26082">
        <w:t xml:space="preserve">, </w:t>
      </w:r>
      <w:r w:rsidR="00856958">
        <w:t>11154-11157</w:t>
      </w:r>
      <w:r w:rsidR="00B66D39">
        <w:t>, paras. 65-68</w:t>
      </w:r>
      <w:r w:rsidRPr="00AE35A9">
        <w:t xml:space="preserve"> (2016).</w:t>
      </w:r>
    </w:p>
  </w:footnote>
  <w:footnote w:id="13">
    <w:p w:rsidR="00365D15" w:rsidRPr="007662CB" w:rsidP="00E84BBC" w14:paraId="38DD4A8E" w14:textId="7E320661">
      <w:pPr>
        <w:pStyle w:val="FootnoteText"/>
      </w:pPr>
      <w:r w:rsidRPr="007662CB">
        <w:rPr>
          <w:rStyle w:val="FootnoteReference"/>
        </w:rPr>
        <w:footnoteRef/>
      </w:r>
      <w:r w:rsidRPr="007662CB">
        <w:t xml:space="preserve"> </w:t>
      </w:r>
      <w:r w:rsidR="004065AD">
        <w:rPr>
          <w:i/>
        </w:rPr>
        <w:t xml:space="preserve">Id. </w:t>
      </w:r>
      <w:r w:rsidR="004065AD">
        <w:t xml:space="preserve">at </w:t>
      </w:r>
      <w:r w:rsidR="00E84BBC">
        <w:t xml:space="preserve">11161, </w:t>
      </w:r>
      <w:r w:rsidRPr="00856958" w:rsidR="00856958">
        <w:t>111</w:t>
      </w:r>
      <w:r w:rsidR="00856958">
        <w:t>6</w:t>
      </w:r>
      <w:r w:rsidR="00E84BBC">
        <w:t>5</w:t>
      </w:r>
      <w:r w:rsidR="00B66D39">
        <w:t>, paras 79, 85</w:t>
      </w:r>
      <w:r w:rsidR="00E84BBC">
        <w:t xml:space="preserve"> (deadline for state and local testing is 30 months of the rule’s publication in the Federal Register); </w:t>
      </w:r>
      <w:r w:rsidR="00B66D39">
        <w:rPr>
          <w:iCs/>
        </w:rPr>
        <w:t>FCC</w:t>
      </w:r>
      <w:r w:rsidRPr="00993DD1" w:rsidR="00B66D39">
        <w:rPr>
          <w:iCs/>
        </w:rPr>
        <w:t xml:space="preserve">, </w:t>
      </w:r>
      <w:r w:rsidRPr="006D1F7F" w:rsidR="00B66D39">
        <w:t>Wireless Emergency Alerts; Amendments to Rules Regarding the Emergency Alert System</w:t>
      </w:r>
      <w:r w:rsidR="00B66D39">
        <w:rPr>
          <w:i/>
        </w:rPr>
        <w:t>,</w:t>
      </w:r>
      <w:r w:rsidR="00B66D39">
        <w:rPr>
          <w:iCs/>
        </w:rPr>
        <w:t xml:space="preserve"> </w:t>
      </w:r>
      <w:r w:rsidR="009F0933">
        <w:rPr>
          <w:iCs/>
        </w:rPr>
        <w:t xml:space="preserve">81 FR 75710 </w:t>
      </w:r>
      <w:r w:rsidR="00E84BBC">
        <w:t>(Nov. 1, 2016) (Federal Register Publication).</w:t>
      </w:r>
    </w:p>
  </w:footnote>
  <w:footnote w:id="14">
    <w:p w:rsidR="00DC4906" w14:paraId="1C81F27E" w14:textId="6D7C0574">
      <w:pPr>
        <w:pStyle w:val="FootnoteText"/>
      </w:pPr>
      <w:r>
        <w:rPr>
          <w:rStyle w:val="FootnoteReference"/>
        </w:rPr>
        <w:footnoteRef/>
      </w:r>
      <w:r>
        <w:t xml:space="preserve"> </w:t>
      </w:r>
      <w:r w:rsidRPr="00A244DA" w:rsidR="00A244DA">
        <w:t>MWCOG March 7 Letter at 1.</w:t>
      </w:r>
    </w:p>
  </w:footnote>
  <w:footnote w:id="15">
    <w:p w:rsidR="00DC4906" w:rsidP="00DC4906" w14:paraId="40409B7F" w14:textId="3681A295">
      <w:pPr>
        <w:pStyle w:val="FootnoteText"/>
      </w:pPr>
      <w:r>
        <w:rPr>
          <w:rStyle w:val="FootnoteReference"/>
        </w:rPr>
        <w:footnoteRef/>
      </w:r>
      <w:r>
        <w:t xml:space="preserve"> </w:t>
      </w:r>
      <w:r w:rsidRPr="006D1F7F" w:rsidR="00B639DD">
        <w:rPr>
          <w:i/>
        </w:rPr>
        <w:t>Id.</w:t>
      </w:r>
    </w:p>
  </w:footnote>
  <w:footnote w:id="16">
    <w:p w:rsidR="00A244DA" w14:paraId="099A3B2B" w14:textId="4AD4334F">
      <w:pPr>
        <w:pStyle w:val="FootnoteText"/>
      </w:pPr>
      <w:r>
        <w:rPr>
          <w:rStyle w:val="FootnoteReference"/>
        </w:rPr>
        <w:footnoteRef/>
      </w:r>
      <w:r>
        <w:t xml:space="preserve"> </w:t>
      </w:r>
      <w:bookmarkStart w:id="4" w:name="_Hlk508385721"/>
      <w:r w:rsidRPr="009F0933" w:rsidR="009F0933">
        <w:rPr>
          <w:i/>
        </w:rPr>
        <w:t>Id.</w:t>
      </w:r>
      <w:bookmarkEnd w:id="4"/>
    </w:p>
  </w:footnote>
  <w:footnote w:id="17">
    <w:p w:rsidR="001D4FE3" w:rsidP="001D4FE3" w14:paraId="7CDCA6E7" w14:textId="15CDB125">
      <w:pPr>
        <w:pStyle w:val="FootnoteText"/>
      </w:pPr>
      <w:r>
        <w:rPr>
          <w:rStyle w:val="FootnoteReference"/>
        </w:rPr>
        <w:footnoteRef/>
      </w:r>
      <w:r>
        <w:t xml:space="preserve"> </w:t>
      </w:r>
      <w:bookmarkStart w:id="5" w:name="_Hlk508385927"/>
      <w:r w:rsidRPr="006D1F7F" w:rsidR="00B639DD">
        <w:rPr>
          <w:i/>
        </w:rPr>
        <w:t>Id.</w:t>
      </w:r>
      <w:bookmarkEnd w:id="5"/>
    </w:p>
  </w:footnote>
  <w:footnote w:id="18">
    <w:p w:rsidR="000E48C5" w14:paraId="37FBD44B" w14:textId="0F118CF8">
      <w:pPr>
        <w:pStyle w:val="FootnoteText"/>
      </w:pPr>
      <w:r>
        <w:rPr>
          <w:rStyle w:val="FootnoteReference"/>
        </w:rPr>
        <w:footnoteRef/>
      </w:r>
      <w:r>
        <w:t xml:space="preserve"> </w:t>
      </w:r>
      <w:r w:rsidRPr="006D1F7F" w:rsidR="00B639DD">
        <w:rPr>
          <w:i/>
        </w:rPr>
        <w:t>Id.</w:t>
      </w:r>
    </w:p>
  </w:footnote>
  <w:footnote w:id="19">
    <w:p w:rsidR="00DC4906" w:rsidP="00DC4906" w14:paraId="530C1C22" w14:textId="2F59C63C">
      <w:pPr>
        <w:pStyle w:val="FootnoteText"/>
      </w:pPr>
      <w:r>
        <w:rPr>
          <w:rStyle w:val="FootnoteReference"/>
        </w:rPr>
        <w:footnoteRef/>
      </w:r>
      <w:r>
        <w:t xml:space="preserve"> </w:t>
      </w:r>
      <w:r w:rsidRPr="006D1F7F" w:rsidR="00B639DD">
        <w:rPr>
          <w:i/>
        </w:rPr>
        <w:t>Id.</w:t>
      </w:r>
    </w:p>
  </w:footnote>
  <w:footnote w:id="20">
    <w:p w:rsidR="001D4FE3" w:rsidP="001D4FE3" w14:paraId="12A02ADB" w14:textId="549EDDB8">
      <w:pPr>
        <w:pStyle w:val="FootnoteText"/>
      </w:pPr>
      <w:r>
        <w:rPr>
          <w:rStyle w:val="FootnoteReference"/>
        </w:rPr>
        <w:footnoteRef/>
      </w:r>
      <w:r>
        <w:t xml:space="preserve"> </w:t>
      </w:r>
      <w:r w:rsidRPr="00326FDF" w:rsidR="009F0933">
        <w:rPr>
          <w:i/>
        </w:rPr>
        <w:t>Id</w:t>
      </w:r>
      <w:r w:rsidRPr="00326FDF" w:rsidR="00B639DD">
        <w:rPr>
          <w:i/>
        </w:rPr>
        <w:t>.</w:t>
      </w:r>
      <w:r w:rsidR="009F0933">
        <w:t xml:space="preserve"> </w:t>
      </w:r>
      <w:r w:rsidRPr="00055C77" w:rsidR="00055C77">
        <w:t xml:space="preserve">at </w:t>
      </w:r>
      <w:r w:rsidR="00055C77">
        <w:t>2</w:t>
      </w:r>
      <w:r w:rsidRPr="00055C77" w:rsidR="00055C77">
        <w:t>.</w:t>
      </w:r>
    </w:p>
  </w:footnote>
  <w:footnote w:id="21">
    <w:p w:rsidR="001D4FE3" w:rsidP="001D4FE3" w14:paraId="2598D99E" w14:textId="1672245C">
      <w:pPr>
        <w:pStyle w:val="FootnoteText"/>
      </w:pPr>
      <w:r>
        <w:rPr>
          <w:rStyle w:val="FootnoteReference"/>
        </w:rPr>
        <w:footnoteRef/>
      </w:r>
      <w:r>
        <w:t xml:space="preserve"> </w:t>
      </w:r>
      <w:r w:rsidRPr="00326FDF" w:rsidR="009F0933">
        <w:rPr>
          <w:i/>
        </w:rPr>
        <w:t>Id.</w:t>
      </w:r>
    </w:p>
  </w:footnote>
  <w:footnote w:id="22">
    <w:p w:rsidR="001D4FE3" w:rsidP="001D4FE3" w14:paraId="73E155DE" w14:textId="33E9A1AF">
      <w:pPr>
        <w:pStyle w:val="FootnoteText"/>
      </w:pPr>
      <w:r>
        <w:rPr>
          <w:rStyle w:val="FootnoteReference"/>
        </w:rPr>
        <w:footnoteRef/>
      </w:r>
      <w:r>
        <w:t xml:space="preserve"> </w:t>
      </w:r>
      <w:r w:rsidRPr="00326FDF" w:rsidR="009F0933">
        <w:rPr>
          <w:i/>
        </w:rPr>
        <w:t>Id.</w:t>
      </w:r>
    </w:p>
  </w:footnote>
  <w:footnote w:id="23">
    <w:p w:rsidR="00C67FA4" w14:paraId="26A80CD4" w14:textId="1F67C6F8">
      <w:pPr>
        <w:pStyle w:val="FootnoteText"/>
      </w:pPr>
      <w:r>
        <w:rPr>
          <w:rStyle w:val="FootnoteReference"/>
        </w:rPr>
        <w:footnoteRef/>
      </w:r>
      <w:r>
        <w:t xml:space="preserve"> </w:t>
      </w:r>
      <w:r w:rsidRPr="008F6D79" w:rsidR="008F6D79">
        <w:t xml:space="preserve">MWCOG March </w:t>
      </w:r>
      <w:r w:rsidR="009F0933">
        <w:t>14</w:t>
      </w:r>
      <w:r w:rsidRPr="008F6D79" w:rsidR="008F6D79">
        <w:t xml:space="preserve"> Letter at </w:t>
      </w:r>
      <w:r w:rsidR="009F0933">
        <w:t>2</w:t>
      </w:r>
      <w:r w:rsidRPr="008F6D79" w:rsidR="008F6D79">
        <w:t>.</w:t>
      </w:r>
    </w:p>
  </w:footnote>
  <w:footnote w:id="24">
    <w:p w:rsidR="00045451" w:rsidRPr="007662CB" w:rsidP="00045451" w14:paraId="1800D924" w14:textId="77777777">
      <w:pPr>
        <w:pStyle w:val="FootnoteText"/>
      </w:pPr>
      <w:r w:rsidRPr="007662CB">
        <w:rPr>
          <w:rStyle w:val="FootnoteReference"/>
        </w:rPr>
        <w:footnoteRef/>
      </w:r>
      <w:r w:rsidRPr="007662CB">
        <w:t xml:space="preserve"> </w:t>
      </w:r>
      <w:r w:rsidRPr="007662CB">
        <w:rPr>
          <w:iCs/>
        </w:rPr>
        <w:t>47 CFR § 1.3</w:t>
      </w:r>
      <w:r w:rsidRPr="007662CB">
        <w:t xml:space="preserve">.  </w:t>
      </w:r>
    </w:p>
  </w:footnote>
  <w:footnote w:id="25">
    <w:p w:rsidR="00045451" w:rsidRPr="007662CB" w:rsidP="00045451" w14:paraId="7396EF6D" w14:textId="77777777">
      <w:pPr>
        <w:pStyle w:val="FootnoteText"/>
        <w:rPr>
          <w:highlight w:val="yellow"/>
        </w:rPr>
      </w:pPr>
      <w:r w:rsidRPr="007662CB">
        <w:rPr>
          <w:rStyle w:val="FootnoteReference"/>
        </w:rPr>
        <w:footnoteRef/>
      </w:r>
      <w:r w:rsidRPr="007662CB">
        <w:t xml:space="preserve"> </w:t>
      </w:r>
      <w:r w:rsidRPr="007662CB">
        <w:rPr>
          <w:i/>
        </w:rPr>
        <w:t>See</w:t>
      </w:r>
      <w:r w:rsidRPr="007662CB">
        <w:t xml:space="preserve"> </w:t>
      </w:r>
      <w:r w:rsidRPr="007662CB">
        <w:rPr>
          <w:i/>
          <w:iCs/>
        </w:rPr>
        <w:t>Northeast Cellular Telephone Co. v. FCC</w:t>
      </w:r>
      <w:r w:rsidRPr="007662CB">
        <w:t xml:space="preserve">, 897 F.2d 1164, 1166 </w:t>
      </w:r>
      <w:r w:rsidR="00993DD1">
        <w:t xml:space="preserve">(D.C. Cir. 1990) </w:t>
      </w:r>
      <w:r w:rsidRPr="007662CB">
        <w:t>(</w:t>
      </w:r>
      <w:r w:rsidRPr="007662CB">
        <w:rPr>
          <w:i/>
          <w:iCs/>
        </w:rPr>
        <w:t>citing WAIT Radio v. FCC</w:t>
      </w:r>
      <w:r w:rsidRPr="007662CB">
        <w:t xml:space="preserve">, 418 F.2d 1153, 1159 (D.C. Cir. 1969), </w:t>
      </w:r>
      <w:r w:rsidRPr="007662CB">
        <w:rPr>
          <w:i/>
          <w:iCs/>
        </w:rPr>
        <w:t>aff’d</w:t>
      </w:r>
      <w:r w:rsidRPr="007662CB">
        <w:rPr>
          <w:iCs/>
        </w:rPr>
        <w:t>,</w:t>
      </w:r>
      <w:r w:rsidRPr="007662CB">
        <w:rPr>
          <w:i/>
          <w:iCs/>
        </w:rPr>
        <w:t xml:space="preserve"> </w:t>
      </w:r>
      <w:r w:rsidRPr="007662CB">
        <w:t xml:space="preserve">459 F.2d 1203 (1973), </w:t>
      </w:r>
      <w:r w:rsidRPr="007662CB">
        <w:rPr>
          <w:i/>
          <w:iCs/>
        </w:rPr>
        <w:t>cert. denied</w:t>
      </w:r>
      <w:r w:rsidRPr="007662CB">
        <w:rPr>
          <w:iCs/>
        </w:rPr>
        <w:t>,</w:t>
      </w:r>
      <w:r w:rsidRPr="007662CB">
        <w:rPr>
          <w:i/>
          <w:iCs/>
        </w:rPr>
        <w:t xml:space="preserve"> </w:t>
      </w:r>
      <w:r w:rsidRPr="007662CB">
        <w:t>409 U.S. 1027 (1972)).</w:t>
      </w:r>
    </w:p>
  </w:footnote>
  <w:footnote w:id="26">
    <w:p w:rsidR="00062D1A" w:rsidP="00062D1A" w14:paraId="006C0F07" w14:textId="77777777">
      <w:pPr>
        <w:pStyle w:val="FootnoteText"/>
      </w:pPr>
      <w:r>
        <w:rPr>
          <w:rStyle w:val="FootnoteReference"/>
        </w:rPr>
        <w:footnoteRef/>
      </w:r>
      <w:r>
        <w:t xml:space="preserve"> </w:t>
      </w:r>
      <w:r w:rsidRPr="00055C77">
        <w:t>MWCOG March 7 Letter at 1</w:t>
      </w:r>
      <w:r w:rsidR="008500F9">
        <w:t>.</w:t>
      </w:r>
    </w:p>
  </w:footnote>
  <w:footnote w:id="27">
    <w:p w:rsidR="00062D1A" w:rsidP="00062D1A" w14:paraId="4C893EB5" w14:textId="6B48ED82">
      <w:pPr>
        <w:pStyle w:val="FootnoteText"/>
      </w:pPr>
      <w:r>
        <w:rPr>
          <w:rStyle w:val="FootnoteReference"/>
        </w:rPr>
        <w:footnoteRef/>
      </w:r>
      <w:r>
        <w:t xml:space="preserve"> </w:t>
      </w:r>
      <w:r w:rsidRPr="006D1F7F" w:rsidR="00B639DD">
        <w:rPr>
          <w:i/>
        </w:rPr>
        <w:t xml:space="preserve">Id. </w:t>
      </w:r>
      <w:r>
        <w:t>(referencing the Hawaii false missile alert and the California wildfires).</w:t>
      </w:r>
    </w:p>
  </w:footnote>
  <w:footnote w:id="28">
    <w:p w:rsidR="00285BFA" w:rsidP="00285BFA" w14:paraId="14DBDF36" w14:textId="77777777">
      <w:pPr>
        <w:pStyle w:val="FootnoteText"/>
      </w:pPr>
      <w:r>
        <w:rPr>
          <w:rStyle w:val="FootnoteReference"/>
        </w:rPr>
        <w:footnoteRef/>
      </w:r>
      <w:r>
        <w:t xml:space="preserve"> </w:t>
      </w:r>
      <w:r w:rsidRPr="000C7379">
        <w:t>This waiver does not extend to any other circumstances involving the broadcast or transmission of the WEA Attention Signal, the Emergency Alert System (EAS) codes, and/or the EAS Attention Signal.</w:t>
      </w:r>
    </w:p>
  </w:footnote>
  <w:footnote w:id="29">
    <w:p w:rsidR="00902156" w:rsidP="00902156" w14:paraId="520ECE8B" w14:textId="77777777">
      <w:pPr>
        <w:pStyle w:val="FootnoteText"/>
      </w:pPr>
      <w:r>
        <w:rPr>
          <w:rStyle w:val="FootnoteReference"/>
        </w:rPr>
        <w:footnoteRef/>
      </w:r>
      <w:r>
        <w:t xml:space="preserve"> For example, transmitting a WEA test message without first informing emergency responders (e.g., 9-1-1 call centers) and the public about the test could predictably result in confusion or panic.</w:t>
      </w:r>
    </w:p>
  </w:footnote>
  <w:footnote w:id="30">
    <w:p w:rsidR="00AB73FB" w:rsidP="00AB73FB" w14:paraId="1D167F9E" w14:textId="34BC57FD">
      <w:pPr>
        <w:pStyle w:val="FootnoteText"/>
      </w:pPr>
      <w:r>
        <w:rPr>
          <w:rStyle w:val="FootnoteReference"/>
        </w:rPr>
        <w:footnoteRef/>
      </w:r>
      <w:r>
        <w:t xml:space="preserve"> </w:t>
      </w:r>
      <w:r w:rsidRPr="00374587" w:rsidR="00374587">
        <w:t>MWCOG March 7 Letter at 2.</w:t>
      </w:r>
    </w:p>
  </w:footnote>
  <w:footnote w:id="31">
    <w:p w:rsidR="00C26592" w:rsidRPr="007662CB" w14:paraId="032A9111" w14:textId="77777777">
      <w:pPr>
        <w:pStyle w:val="FootnoteText"/>
      </w:pPr>
      <w:r w:rsidRPr="007662CB">
        <w:rPr>
          <w:rStyle w:val="FootnoteReference"/>
        </w:rPr>
        <w:footnoteRef/>
      </w:r>
      <w:r w:rsidRPr="007662CB">
        <w:t xml:space="preserve"> </w:t>
      </w:r>
      <w:r w:rsidRPr="007662CB">
        <w:rPr>
          <w:i/>
        </w:rPr>
        <w:t>See</w:t>
      </w:r>
      <w:r w:rsidRPr="007662CB">
        <w:t xml:space="preserve"> 47 U.S.C. § 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61E8" w14:paraId="423C95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430C" w:rsidP="00EB1758" w14:paraId="14A52DAA" w14:textId="7B927634">
    <w:pPr>
      <w:pStyle w:val="Header"/>
      <w:tabs>
        <w:tab w:val="clear" w:pos="4320"/>
        <w:tab w:val="center" w:pos="4680"/>
        <w:tab w:val="clear" w:pos="8640"/>
        <w:tab w:val="right" w:pos="9360"/>
      </w:tabs>
      <w:jc w:val="both"/>
      <w:rPr>
        <w:b/>
      </w:rPr>
    </w:pPr>
    <w:r>
      <w:rPr>
        <w:b/>
      </w:rPr>
      <w:tab/>
      <w:t>F</w:t>
    </w:r>
    <w:r>
      <w:rPr>
        <w:b/>
      </w:rPr>
      <w:t>edera</w:t>
    </w:r>
    <w:r w:rsidR="00434E71">
      <w:rPr>
        <w:b/>
      </w:rPr>
      <w:t>l Communications Commission</w:t>
    </w:r>
    <w:r w:rsidR="00434E71">
      <w:rPr>
        <w:b/>
      </w:rPr>
      <w:tab/>
      <w:t xml:space="preserve">DA </w:t>
    </w:r>
    <w:r w:rsidR="004B40E2">
      <w:rPr>
        <w:b/>
      </w:rPr>
      <w:t>1</w:t>
    </w:r>
    <w:r w:rsidR="00CD1FC7">
      <w:rPr>
        <w:b/>
      </w:rPr>
      <w:t>8-</w:t>
    </w:r>
    <w:r w:rsidR="00483B89">
      <w:rPr>
        <w:b/>
      </w:rPr>
      <w:t>262</w:t>
    </w:r>
  </w:p>
  <w:p w:rsidR="0039430C" w14:paraId="1FD5991E" w14:textId="7777777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39430C" w14:paraId="605FDCE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430C" w14:paraId="669556D7" w14:textId="4C847E4A">
    <w:pPr>
      <w:pStyle w:val="Header"/>
      <w:tabs>
        <w:tab w:val="clear" w:pos="4320"/>
        <w:tab w:val="center" w:pos="4680"/>
        <w:tab w:val="clear" w:pos="8640"/>
        <w:tab w:val="right" w:pos="9360"/>
      </w:tabs>
      <w:rPr>
        <w:b/>
      </w:rPr>
    </w:pPr>
    <w:r>
      <w:rPr>
        <w:b/>
      </w:rPr>
      <w:tab/>
      <w:t>Federal Communications Commission</w:t>
    </w:r>
    <w:r>
      <w:rPr>
        <w:b/>
      </w:rPr>
      <w:tab/>
      <w:t xml:space="preserve">DA </w:t>
    </w:r>
    <w:r w:rsidR="008B425E">
      <w:rPr>
        <w:b/>
      </w:rPr>
      <w:t>1</w:t>
    </w:r>
    <w:r w:rsidR="00DA51DE">
      <w:rPr>
        <w:b/>
      </w:rPr>
      <w:t>8</w:t>
    </w:r>
    <w:r w:rsidR="008B425E">
      <w:rPr>
        <w:b/>
      </w:rPr>
      <w:t>-</w:t>
    </w:r>
    <w:r w:rsidR="00397A36">
      <w:rPr>
        <w:b/>
      </w:rPr>
      <w:t>262</w:t>
    </w:r>
  </w:p>
  <w:p w:rsidR="0039430C" w14:paraId="0A31557E" w14:textId="7777777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516E"/>
    <w:multiLevelType w:val="hybridMultilevel"/>
    <w:tmpl w:val="CA44132C"/>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
    <w:nsid w:val="01957039"/>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AD70628"/>
    <w:multiLevelType w:val="hybridMultilevel"/>
    <w:tmpl w:val="CA44132C"/>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
    <w:nsid w:val="183F4BB0"/>
    <w:multiLevelType w:val="hybridMultilevel"/>
    <w:tmpl w:val="BA62D04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1A3E7779"/>
    <w:multiLevelType w:val="hybridMultilevel"/>
    <w:tmpl w:val="54EA03E8"/>
    <w:lvl w:ilvl="0">
      <w:start w:val="1"/>
      <w:numFmt w:val="decimal"/>
      <w:pStyle w:val="StyleParaNumItalic"/>
      <w:lvlText w:val="%1."/>
      <w:lvlJc w:val="left"/>
      <w:pPr>
        <w:tabs>
          <w:tab w:val="num" w:pos="1800"/>
        </w:tabs>
        <w:ind w:left="720" w:firstLine="720"/>
      </w:pPr>
      <w:rPr>
        <w:rFonts w:ascii="Times New Roman" w:hAnsi="Times New Roman" w:cs="Times New Roman" w:hint="default"/>
        <w:color w:val="000000"/>
        <w:sz w:val="22"/>
        <w:szCs w:val="22"/>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BE24977"/>
    <w:multiLevelType w:val="hybridMultilevel"/>
    <w:tmpl w:val="CDDE4CFC"/>
    <w:lvl w:ilvl="0">
      <w:start w:val="2"/>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31E00F90"/>
    <w:multiLevelType w:val="hybridMultilevel"/>
    <w:tmpl w:val="CA44132C"/>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
    <w:nsid w:val="3700407D"/>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4B7B7FA8"/>
    <w:multiLevelType w:val="hybridMultilevel"/>
    <w:tmpl w:val="B120B93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4D707A20"/>
    <w:multiLevelType w:val="multilevel"/>
    <w:tmpl w:val="FB1E530E"/>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4D766165"/>
    <w:multiLevelType w:val="hybridMultilevel"/>
    <w:tmpl w:val="764EF95C"/>
    <w:lvl w:ilvl="0">
      <w:start w:val="1"/>
      <w:numFmt w:val="upp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3">
    <w:nsid w:val="5B731BAD"/>
    <w:multiLevelType w:val="hybridMultilevel"/>
    <w:tmpl w:val="CA44132C"/>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4">
    <w:nsid w:val="61182925"/>
    <w:multiLevelType w:val="singleLevel"/>
    <w:tmpl w:val="D180CED0"/>
    <w:lvl w:ilvl="0">
      <w:start w:val="1"/>
      <w:numFmt w:val="decimal"/>
      <w:lvlText w:val="%1."/>
      <w:lvlJc w:val="left"/>
      <w:pPr>
        <w:tabs>
          <w:tab w:val="num" w:pos="1080"/>
        </w:tabs>
        <w:ind w:firstLine="720"/>
      </w:pPr>
      <w:rPr>
        <w:rFonts w:cs="Times New Roman"/>
      </w:rPr>
    </w:lvl>
  </w:abstractNum>
  <w:abstractNum w:abstractNumId="15">
    <w:nsid w:val="652D38AC"/>
    <w:multiLevelType w:val="multilevel"/>
    <w:tmpl w:val="D026CECA"/>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766E1C18"/>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2"/>
  </w:num>
  <w:num w:numId="2">
    <w:abstractNumId w:val="11"/>
  </w:num>
  <w:num w:numId="3">
    <w:abstractNumId w:val="9"/>
  </w:num>
  <w:num w:numId="4">
    <w:abstractNumId w:val="0"/>
  </w:num>
  <w:num w:numId="5">
    <w:abstractNumId w:val="5"/>
  </w:num>
  <w:num w:numId="6">
    <w:abstractNumId w:val="14"/>
  </w:num>
  <w:num w:numId="7">
    <w:abstractNumId w:val="12"/>
  </w:num>
  <w:num w:numId="8">
    <w:abstractNumId w:val="10"/>
  </w:num>
  <w:num w:numId="9">
    <w:abstractNumId w:val="4"/>
  </w:num>
  <w:num w:numId="10">
    <w:abstractNumId w:val="5"/>
  </w:num>
  <w:num w:numId="11">
    <w:abstractNumId w:val="15"/>
  </w:num>
  <w:num w:numId="12">
    <w:abstractNumId w:val="3"/>
  </w:num>
  <w:num w:numId="13">
    <w:abstractNumId w:val="8"/>
  </w:num>
  <w:num w:numId="14">
    <w:abstractNumId w:val="1"/>
  </w:num>
  <w:num w:numId="15">
    <w:abstractNumId w:val="16"/>
  </w:num>
  <w:num w:numId="16">
    <w:abstractNumId w:val="2"/>
  </w:num>
  <w:num w:numId="17">
    <w:abstractNumId w:val="12"/>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B9"/>
    <w:rsid w:val="00004A1D"/>
    <w:rsid w:val="00004B50"/>
    <w:rsid w:val="00006FDA"/>
    <w:rsid w:val="0000797D"/>
    <w:rsid w:val="00011334"/>
    <w:rsid w:val="000114E6"/>
    <w:rsid w:val="00013465"/>
    <w:rsid w:val="0001475B"/>
    <w:rsid w:val="000200DC"/>
    <w:rsid w:val="00023712"/>
    <w:rsid w:val="000258E6"/>
    <w:rsid w:val="000262BE"/>
    <w:rsid w:val="0002664B"/>
    <w:rsid w:val="00031D82"/>
    <w:rsid w:val="00032E11"/>
    <w:rsid w:val="00032F32"/>
    <w:rsid w:val="00041D19"/>
    <w:rsid w:val="00042E11"/>
    <w:rsid w:val="000437D4"/>
    <w:rsid w:val="00045451"/>
    <w:rsid w:val="000466D0"/>
    <w:rsid w:val="000555EB"/>
    <w:rsid w:val="00055C77"/>
    <w:rsid w:val="00062D1A"/>
    <w:rsid w:val="00063204"/>
    <w:rsid w:val="000762FA"/>
    <w:rsid w:val="00077465"/>
    <w:rsid w:val="00077C84"/>
    <w:rsid w:val="00077EFD"/>
    <w:rsid w:val="00081BB0"/>
    <w:rsid w:val="00087EC2"/>
    <w:rsid w:val="00093669"/>
    <w:rsid w:val="000A0005"/>
    <w:rsid w:val="000A1309"/>
    <w:rsid w:val="000A19FE"/>
    <w:rsid w:val="000A424B"/>
    <w:rsid w:val="000A579F"/>
    <w:rsid w:val="000B01C8"/>
    <w:rsid w:val="000B03E1"/>
    <w:rsid w:val="000B2392"/>
    <w:rsid w:val="000B2B9F"/>
    <w:rsid w:val="000B40D6"/>
    <w:rsid w:val="000B7782"/>
    <w:rsid w:val="000C0699"/>
    <w:rsid w:val="000C1769"/>
    <w:rsid w:val="000C5997"/>
    <w:rsid w:val="000C7379"/>
    <w:rsid w:val="000C7D1B"/>
    <w:rsid w:val="000D120B"/>
    <w:rsid w:val="000D3CE6"/>
    <w:rsid w:val="000E0F47"/>
    <w:rsid w:val="000E2816"/>
    <w:rsid w:val="000E48C5"/>
    <w:rsid w:val="000E6D28"/>
    <w:rsid w:val="000E7265"/>
    <w:rsid w:val="000F0F46"/>
    <w:rsid w:val="000F2108"/>
    <w:rsid w:val="000F52BB"/>
    <w:rsid w:val="000F6F6F"/>
    <w:rsid w:val="00100272"/>
    <w:rsid w:val="001058EF"/>
    <w:rsid w:val="00105D87"/>
    <w:rsid w:val="0010623E"/>
    <w:rsid w:val="00107550"/>
    <w:rsid w:val="00107972"/>
    <w:rsid w:val="00112456"/>
    <w:rsid w:val="00113EFE"/>
    <w:rsid w:val="0011444B"/>
    <w:rsid w:val="00114DEA"/>
    <w:rsid w:val="00117416"/>
    <w:rsid w:val="001207F6"/>
    <w:rsid w:val="00121832"/>
    <w:rsid w:val="00122B31"/>
    <w:rsid w:val="001305DC"/>
    <w:rsid w:val="00131CB5"/>
    <w:rsid w:val="001325C6"/>
    <w:rsid w:val="001338F8"/>
    <w:rsid w:val="0013660E"/>
    <w:rsid w:val="00137359"/>
    <w:rsid w:val="001471BE"/>
    <w:rsid w:val="001521F4"/>
    <w:rsid w:val="00152E99"/>
    <w:rsid w:val="001554E3"/>
    <w:rsid w:val="00156DC8"/>
    <w:rsid w:val="00161705"/>
    <w:rsid w:val="001628D1"/>
    <w:rsid w:val="001715CD"/>
    <w:rsid w:val="0017442E"/>
    <w:rsid w:val="00174E3C"/>
    <w:rsid w:val="0018095D"/>
    <w:rsid w:val="001812EA"/>
    <w:rsid w:val="00182853"/>
    <w:rsid w:val="001846EC"/>
    <w:rsid w:val="00185E2A"/>
    <w:rsid w:val="00186BF7"/>
    <w:rsid w:val="00190A14"/>
    <w:rsid w:val="001910E1"/>
    <w:rsid w:val="00195EED"/>
    <w:rsid w:val="00196CF5"/>
    <w:rsid w:val="0019721A"/>
    <w:rsid w:val="001A0269"/>
    <w:rsid w:val="001A2411"/>
    <w:rsid w:val="001A4706"/>
    <w:rsid w:val="001A7D67"/>
    <w:rsid w:val="001B05FA"/>
    <w:rsid w:val="001B58F2"/>
    <w:rsid w:val="001B642F"/>
    <w:rsid w:val="001C221D"/>
    <w:rsid w:val="001C4347"/>
    <w:rsid w:val="001C5719"/>
    <w:rsid w:val="001D0485"/>
    <w:rsid w:val="001D22E9"/>
    <w:rsid w:val="001D4756"/>
    <w:rsid w:val="001D4887"/>
    <w:rsid w:val="001D4FE3"/>
    <w:rsid w:val="001D54B9"/>
    <w:rsid w:val="001D6882"/>
    <w:rsid w:val="001E286F"/>
    <w:rsid w:val="001E3615"/>
    <w:rsid w:val="001E3A51"/>
    <w:rsid w:val="001E67AD"/>
    <w:rsid w:val="001F1AC9"/>
    <w:rsid w:val="001F322B"/>
    <w:rsid w:val="001F4367"/>
    <w:rsid w:val="001F47F0"/>
    <w:rsid w:val="001F4897"/>
    <w:rsid w:val="001F4A9B"/>
    <w:rsid w:val="001F5208"/>
    <w:rsid w:val="001F578C"/>
    <w:rsid w:val="001F5FFB"/>
    <w:rsid w:val="00200761"/>
    <w:rsid w:val="00202044"/>
    <w:rsid w:val="0021184C"/>
    <w:rsid w:val="0021531B"/>
    <w:rsid w:val="00222EB3"/>
    <w:rsid w:val="0022413A"/>
    <w:rsid w:val="00225120"/>
    <w:rsid w:val="002274AA"/>
    <w:rsid w:val="00233CB8"/>
    <w:rsid w:val="00235A00"/>
    <w:rsid w:val="002379D0"/>
    <w:rsid w:val="00242561"/>
    <w:rsid w:val="00242C4D"/>
    <w:rsid w:val="002432AE"/>
    <w:rsid w:val="00243FBB"/>
    <w:rsid w:val="00251038"/>
    <w:rsid w:val="00257296"/>
    <w:rsid w:val="00260152"/>
    <w:rsid w:val="00261FBE"/>
    <w:rsid w:val="002644E8"/>
    <w:rsid w:val="002661C2"/>
    <w:rsid w:val="00267C94"/>
    <w:rsid w:val="00270862"/>
    <w:rsid w:val="00271257"/>
    <w:rsid w:val="00272253"/>
    <w:rsid w:val="00276524"/>
    <w:rsid w:val="002766D0"/>
    <w:rsid w:val="00277278"/>
    <w:rsid w:val="002800D1"/>
    <w:rsid w:val="00282858"/>
    <w:rsid w:val="00285BFA"/>
    <w:rsid w:val="002912BE"/>
    <w:rsid w:val="00291C6F"/>
    <w:rsid w:val="0029392F"/>
    <w:rsid w:val="00294274"/>
    <w:rsid w:val="002A0AE8"/>
    <w:rsid w:val="002A47ED"/>
    <w:rsid w:val="002A4994"/>
    <w:rsid w:val="002A59F4"/>
    <w:rsid w:val="002A65F6"/>
    <w:rsid w:val="002B1E2D"/>
    <w:rsid w:val="002B689C"/>
    <w:rsid w:val="002B692E"/>
    <w:rsid w:val="002C1289"/>
    <w:rsid w:val="002C2839"/>
    <w:rsid w:val="002C744D"/>
    <w:rsid w:val="002C7D1B"/>
    <w:rsid w:val="002D0E4D"/>
    <w:rsid w:val="002D25AA"/>
    <w:rsid w:val="002D3B66"/>
    <w:rsid w:val="002D43DE"/>
    <w:rsid w:val="002D5243"/>
    <w:rsid w:val="002E1072"/>
    <w:rsid w:val="002E22F1"/>
    <w:rsid w:val="002E38A9"/>
    <w:rsid w:val="002E718E"/>
    <w:rsid w:val="002F1BC1"/>
    <w:rsid w:val="002F1E8D"/>
    <w:rsid w:val="002F30D0"/>
    <w:rsid w:val="002F4804"/>
    <w:rsid w:val="002F625A"/>
    <w:rsid w:val="003021F1"/>
    <w:rsid w:val="0030229E"/>
    <w:rsid w:val="00302B54"/>
    <w:rsid w:val="00303843"/>
    <w:rsid w:val="00312099"/>
    <w:rsid w:val="0031342C"/>
    <w:rsid w:val="00322950"/>
    <w:rsid w:val="003234E5"/>
    <w:rsid w:val="00326FDF"/>
    <w:rsid w:val="00332C9B"/>
    <w:rsid w:val="00332D95"/>
    <w:rsid w:val="00343C1D"/>
    <w:rsid w:val="003444E6"/>
    <w:rsid w:val="0034479A"/>
    <w:rsid w:val="00351018"/>
    <w:rsid w:val="00353D9C"/>
    <w:rsid w:val="00354325"/>
    <w:rsid w:val="00356DC4"/>
    <w:rsid w:val="00363C9C"/>
    <w:rsid w:val="00365D15"/>
    <w:rsid w:val="003705E7"/>
    <w:rsid w:val="00372F20"/>
    <w:rsid w:val="00374587"/>
    <w:rsid w:val="00380715"/>
    <w:rsid w:val="00382F2A"/>
    <w:rsid w:val="00385139"/>
    <w:rsid w:val="003906C7"/>
    <w:rsid w:val="00392B32"/>
    <w:rsid w:val="0039430C"/>
    <w:rsid w:val="00397A36"/>
    <w:rsid w:val="003A5AEC"/>
    <w:rsid w:val="003A71D7"/>
    <w:rsid w:val="003B518B"/>
    <w:rsid w:val="003B7A92"/>
    <w:rsid w:val="003C0980"/>
    <w:rsid w:val="003C128A"/>
    <w:rsid w:val="003C24A6"/>
    <w:rsid w:val="003C3B8A"/>
    <w:rsid w:val="003C4E7A"/>
    <w:rsid w:val="003D3BDB"/>
    <w:rsid w:val="003D63C3"/>
    <w:rsid w:val="003F0094"/>
    <w:rsid w:val="003F099E"/>
    <w:rsid w:val="003F5D27"/>
    <w:rsid w:val="00400466"/>
    <w:rsid w:val="00405C06"/>
    <w:rsid w:val="004065AD"/>
    <w:rsid w:val="004068AC"/>
    <w:rsid w:val="00406F83"/>
    <w:rsid w:val="00407391"/>
    <w:rsid w:val="00410053"/>
    <w:rsid w:val="004132A8"/>
    <w:rsid w:val="00414A26"/>
    <w:rsid w:val="00414DA9"/>
    <w:rsid w:val="0041536D"/>
    <w:rsid w:val="00415E57"/>
    <w:rsid w:val="00415FC8"/>
    <w:rsid w:val="00421A5E"/>
    <w:rsid w:val="00422B15"/>
    <w:rsid w:val="004270E9"/>
    <w:rsid w:val="00430091"/>
    <w:rsid w:val="00430746"/>
    <w:rsid w:val="00430F71"/>
    <w:rsid w:val="004320A0"/>
    <w:rsid w:val="00434E71"/>
    <w:rsid w:val="004360F8"/>
    <w:rsid w:val="00440E5B"/>
    <w:rsid w:val="004442B9"/>
    <w:rsid w:val="004445C8"/>
    <w:rsid w:val="004470EC"/>
    <w:rsid w:val="004501D6"/>
    <w:rsid w:val="00451464"/>
    <w:rsid w:val="00454A56"/>
    <w:rsid w:val="00455E07"/>
    <w:rsid w:val="004569C6"/>
    <w:rsid w:val="00460916"/>
    <w:rsid w:val="00463AD7"/>
    <w:rsid w:val="00467597"/>
    <w:rsid w:val="00470203"/>
    <w:rsid w:val="004744BF"/>
    <w:rsid w:val="00474B89"/>
    <w:rsid w:val="0047611B"/>
    <w:rsid w:val="004761B8"/>
    <w:rsid w:val="004776C9"/>
    <w:rsid w:val="00483B89"/>
    <w:rsid w:val="004861FD"/>
    <w:rsid w:val="00490455"/>
    <w:rsid w:val="0049634F"/>
    <w:rsid w:val="00496F60"/>
    <w:rsid w:val="004A0F0E"/>
    <w:rsid w:val="004A1ED9"/>
    <w:rsid w:val="004A2D66"/>
    <w:rsid w:val="004B40E2"/>
    <w:rsid w:val="004B7B10"/>
    <w:rsid w:val="004C091A"/>
    <w:rsid w:val="004C114F"/>
    <w:rsid w:val="004C30D6"/>
    <w:rsid w:val="004C3BD7"/>
    <w:rsid w:val="004C4510"/>
    <w:rsid w:val="004C5615"/>
    <w:rsid w:val="004C5CEC"/>
    <w:rsid w:val="004C6C94"/>
    <w:rsid w:val="004D0BDB"/>
    <w:rsid w:val="004D13F9"/>
    <w:rsid w:val="004D25AB"/>
    <w:rsid w:val="004D5119"/>
    <w:rsid w:val="004D560A"/>
    <w:rsid w:val="004D6A5F"/>
    <w:rsid w:val="004E1E6B"/>
    <w:rsid w:val="004F1E56"/>
    <w:rsid w:val="004F1E7E"/>
    <w:rsid w:val="004F44F2"/>
    <w:rsid w:val="004F5A88"/>
    <w:rsid w:val="004F5AB7"/>
    <w:rsid w:val="004F5F54"/>
    <w:rsid w:val="004F6364"/>
    <w:rsid w:val="004F7A52"/>
    <w:rsid w:val="0050271D"/>
    <w:rsid w:val="005030A1"/>
    <w:rsid w:val="00504237"/>
    <w:rsid w:val="00505556"/>
    <w:rsid w:val="005056CC"/>
    <w:rsid w:val="00505BC9"/>
    <w:rsid w:val="00510CA0"/>
    <w:rsid w:val="00515369"/>
    <w:rsid w:val="00520C96"/>
    <w:rsid w:val="00521BCE"/>
    <w:rsid w:val="00522E74"/>
    <w:rsid w:val="005232BD"/>
    <w:rsid w:val="0052356C"/>
    <w:rsid w:val="005245DE"/>
    <w:rsid w:val="0052647E"/>
    <w:rsid w:val="00530F34"/>
    <w:rsid w:val="005364EC"/>
    <w:rsid w:val="00536D41"/>
    <w:rsid w:val="0053739E"/>
    <w:rsid w:val="0054204F"/>
    <w:rsid w:val="005443CD"/>
    <w:rsid w:val="00544C64"/>
    <w:rsid w:val="00545668"/>
    <w:rsid w:val="00546E23"/>
    <w:rsid w:val="0056110D"/>
    <w:rsid w:val="005624B9"/>
    <w:rsid w:val="00563A9E"/>
    <w:rsid w:val="00565C69"/>
    <w:rsid w:val="00570C21"/>
    <w:rsid w:val="00571D72"/>
    <w:rsid w:val="0057237F"/>
    <w:rsid w:val="00576F27"/>
    <w:rsid w:val="0059257D"/>
    <w:rsid w:val="0059682D"/>
    <w:rsid w:val="00596AD3"/>
    <w:rsid w:val="005A18F6"/>
    <w:rsid w:val="005A37FB"/>
    <w:rsid w:val="005A3D20"/>
    <w:rsid w:val="005A47BF"/>
    <w:rsid w:val="005B0A88"/>
    <w:rsid w:val="005B1657"/>
    <w:rsid w:val="005B2E7E"/>
    <w:rsid w:val="005B3E6C"/>
    <w:rsid w:val="005B5B91"/>
    <w:rsid w:val="005B612C"/>
    <w:rsid w:val="005B6450"/>
    <w:rsid w:val="005B715D"/>
    <w:rsid w:val="005C118A"/>
    <w:rsid w:val="005C1DD4"/>
    <w:rsid w:val="005C4D40"/>
    <w:rsid w:val="005C6AB4"/>
    <w:rsid w:val="005C763F"/>
    <w:rsid w:val="005D1BE4"/>
    <w:rsid w:val="005D68D8"/>
    <w:rsid w:val="005D721B"/>
    <w:rsid w:val="005E04F0"/>
    <w:rsid w:val="005E26A2"/>
    <w:rsid w:val="005E3C60"/>
    <w:rsid w:val="005E52E6"/>
    <w:rsid w:val="005E720C"/>
    <w:rsid w:val="005F3040"/>
    <w:rsid w:val="005F56AB"/>
    <w:rsid w:val="005F7250"/>
    <w:rsid w:val="00602140"/>
    <w:rsid w:val="00603EAA"/>
    <w:rsid w:val="00604B18"/>
    <w:rsid w:val="00605BBE"/>
    <w:rsid w:val="006240BE"/>
    <w:rsid w:val="0062458A"/>
    <w:rsid w:val="006267A9"/>
    <w:rsid w:val="00627670"/>
    <w:rsid w:val="0063088E"/>
    <w:rsid w:val="006334A8"/>
    <w:rsid w:val="00635FEF"/>
    <w:rsid w:val="00644A0C"/>
    <w:rsid w:val="00645086"/>
    <w:rsid w:val="00647942"/>
    <w:rsid w:val="00651AEA"/>
    <w:rsid w:val="00654FBE"/>
    <w:rsid w:val="00657D36"/>
    <w:rsid w:val="0066087C"/>
    <w:rsid w:val="00661B59"/>
    <w:rsid w:val="0066234C"/>
    <w:rsid w:val="0066301E"/>
    <w:rsid w:val="00670050"/>
    <w:rsid w:val="00672C59"/>
    <w:rsid w:val="0068348F"/>
    <w:rsid w:val="00683967"/>
    <w:rsid w:val="0068426B"/>
    <w:rsid w:val="006851AC"/>
    <w:rsid w:val="0069080A"/>
    <w:rsid w:val="006927C2"/>
    <w:rsid w:val="00695CD4"/>
    <w:rsid w:val="006A146A"/>
    <w:rsid w:val="006A5BFF"/>
    <w:rsid w:val="006C1AE5"/>
    <w:rsid w:val="006C1D99"/>
    <w:rsid w:val="006C4DA3"/>
    <w:rsid w:val="006D0BB2"/>
    <w:rsid w:val="006D1F7F"/>
    <w:rsid w:val="006D7C44"/>
    <w:rsid w:val="006E1AFF"/>
    <w:rsid w:val="006F2AB8"/>
    <w:rsid w:val="006F37FE"/>
    <w:rsid w:val="0070116C"/>
    <w:rsid w:val="00707C28"/>
    <w:rsid w:val="00710B8F"/>
    <w:rsid w:val="00712BCE"/>
    <w:rsid w:val="00720B5A"/>
    <w:rsid w:val="00721D45"/>
    <w:rsid w:val="00723272"/>
    <w:rsid w:val="007340EA"/>
    <w:rsid w:val="0073631E"/>
    <w:rsid w:val="00736C98"/>
    <w:rsid w:val="00736F6A"/>
    <w:rsid w:val="00742152"/>
    <w:rsid w:val="00754B66"/>
    <w:rsid w:val="007662CB"/>
    <w:rsid w:val="007673C7"/>
    <w:rsid w:val="00782B21"/>
    <w:rsid w:val="007837BA"/>
    <w:rsid w:val="00784247"/>
    <w:rsid w:val="00785703"/>
    <w:rsid w:val="00792D83"/>
    <w:rsid w:val="0079318C"/>
    <w:rsid w:val="00794D58"/>
    <w:rsid w:val="00796C65"/>
    <w:rsid w:val="007973A2"/>
    <w:rsid w:val="007A1052"/>
    <w:rsid w:val="007A3EB9"/>
    <w:rsid w:val="007A59F4"/>
    <w:rsid w:val="007B0EDA"/>
    <w:rsid w:val="007B17C8"/>
    <w:rsid w:val="007B31F8"/>
    <w:rsid w:val="007B53CE"/>
    <w:rsid w:val="007B5A30"/>
    <w:rsid w:val="007C2BD9"/>
    <w:rsid w:val="007C45F0"/>
    <w:rsid w:val="007D0810"/>
    <w:rsid w:val="007D23CF"/>
    <w:rsid w:val="007D4CE8"/>
    <w:rsid w:val="007E4EEF"/>
    <w:rsid w:val="007E7DE3"/>
    <w:rsid w:val="007F2511"/>
    <w:rsid w:val="007F4735"/>
    <w:rsid w:val="007F6533"/>
    <w:rsid w:val="007F6B84"/>
    <w:rsid w:val="007F7FCB"/>
    <w:rsid w:val="00802421"/>
    <w:rsid w:val="0080328F"/>
    <w:rsid w:val="00805EBF"/>
    <w:rsid w:val="00806307"/>
    <w:rsid w:val="008065D5"/>
    <w:rsid w:val="008073B7"/>
    <w:rsid w:val="0081298C"/>
    <w:rsid w:val="00813B28"/>
    <w:rsid w:val="00814DDD"/>
    <w:rsid w:val="0081650D"/>
    <w:rsid w:val="008246BE"/>
    <w:rsid w:val="00824FA3"/>
    <w:rsid w:val="00830298"/>
    <w:rsid w:val="00830D66"/>
    <w:rsid w:val="00831995"/>
    <w:rsid w:val="008322E9"/>
    <w:rsid w:val="008325E1"/>
    <w:rsid w:val="00835C27"/>
    <w:rsid w:val="00843023"/>
    <w:rsid w:val="00843B13"/>
    <w:rsid w:val="008500F9"/>
    <w:rsid w:val="00851BD7"/>
    <w:rsid w:val="0085445B"/>
    <w:rsid w:val="00854C57"/>
    <w:rsid w:val="008552CC"/>
    <w:rsid w:val="00856958"/>
    <w:rsid w:val="0086279E"/>
    <w:rsid w:val="00863B0B"/>
    <w:rsid w:val="0086418B"/>
    <w:rsid w:val="00866A31"/>
    <w:rsid w:val="0087294B"/>
    <w:rsid w:val="00872CB1"/>
    <w:rsid w:val="00872D4D"/>
    <w:rsid w:val="0087406F"/>
    <w:rsid w:val="00874870"/>
    <w:rsid w:val="00880005"/>
    <w:rsid w:val="008829E3"/>
    <w:rsid w:val="00882F56"/>
    <w:rsid w:val="00884FEA"/>
    <w:rsid w:val="00886625"/>
    <w:rsid w:val="00890FF9"/>
    <w:rsid w:val="00891B9B"/>
    <w:rsid w:val="00897E06"/>
    <w:rsid w:val="008A0605"/>
    <w:rsid w:val="008A0FE0"/>
    <w:rsid w:val="008A1186"/>
    <w:rsid w:val="008A2193"/>
    <w:rsid w:val="008A4DEF"/>
    <w:rsid w:val="008A505B"/>
    <w:rsid w:val="008A5C7F"/>
    <w:rsid w:val="008A68FF"/>
    <w:rsid w:val="008A7188"/>
    <w:rsid w:val="008B093C"/>
    <w:rsid w:val="008B425E"/>
    <w:rsid w:val="008B509B"/>
    <w:rsid w:val="008B63CE"/>
    <w:rsid w:val="008B7CE7"/>
    <w:rsid w:val="008C3822"/>
    <w:rsid w:val="008C557D"/>
    <w:rsid w:val="008C6043"/>
    <w:rsid w:val="008C6478"/>
    <w:rsid w:val="008D12D7"/>
    <w:rsid w:val="008D2395"/>
    <w:rsid w:val="008D495E"/>
    <w:rsid w:val="008E36A6"/>
    <w:rsid w:val="008E36AC"/>
    <w:rsid w:val="008E4F41"/>
    <w:rsid w:val="008F2FC1"/>
    <w:rsid w:val="008F3E5F"/>
    <w:rsid w:val="008F5843"/>
    <w:rsid w:val="008F5D66"/>
    <w:rsid w:val="008F6D79"/>
    <w:rsid w:val="008F7562"/>
    <w:rsid w:val="00902156"/>
    <w:rsid w:val="00903C20"/>
    <w:rsid w:val="00904EAE"/>
    <w:rsid w:val="0090768B"/>
    <w:rsid w:val="00910F61"/>
    <w:rsid w:val="00911F3C"/>
    <w:rsid w:val="0091267B"/>
    <w:rsid w:val="00915156"/>
    <w:rsid w:val="009176DA"/>
    <w:rsid w:val="00917ABF"/>
    <w:rsid w:val="00930BBA"/>
    <w:rsid w:val="009319C7"/>
    <w:rsid w:val="00934FD4"/>
    <w:rsid w:val="00937EF0"/>
    <w:rsid w:val="00941B9B"/>
    <w:rsid w:val="0094238B"/>
    <w:rsid w:val="009463C3"/>
    <w:rsid w:val="009509AA"/>
    <w:rsid w:val="00952F0E"/>
    <w:rsid w:val="00957450"/>
    <w:rsid w:val="00960184"/>
    <w:rsid w:val="00961363"/>
    <w:rsid w:val="00962E5B"/>
    <w:rsid w:val="009642E6"/>
    <w:rsid w:val="00966592"/>
    <w:rsid w:val="00966D54"/>
    <w:rsid w:val="00971922"/>
    <w:rsid w:val="00971C68"/>
    <w:rsid w:val="00974517"/>
    <w:rsid w:val="009745E3"/>
    <w:rsid w:val="009868FA"/>
    <w:rsid w:val="009935AC"/>
    <w:rsid w:val="00993DD1"/>
    <w:rsid w:val="00994794"/>
    <w:rsid w:val="009949AB"/>
    <w:rsid w:val="00995410"/>
    <w:rsid w:val="009B0CA6"/>
    <w:rsid w:val="009B21C6"/>
    <w:rsid w:val="009B2497"/>
    <w:rsid w:val="009C2144"/>
    <w:rsid w:val="009C2CBC"/>
    <w:rsid w:val="009C4D2E"/>
    <w:rsid w:val="009C5A40"/>
    <w:rsid w:val="009D2E93"/>
    <w:rsid w:val="009D380A"/>
    <w:rsid w:val="009E2E2C"/>
    <w:rsid w:val="009E5628"/>
    <w:rsid w:val="009E695D"/>
    <w:rsid w:val="009F0933"/>
    <w:rsid w:val="009F444B"/>
    <w:rsid w:val="009F5F4D"/>
    <w:rsid w:val="00A06830"/>
    <w:rsid w:val="00A12406"/>
    <w:rsid w:val="00A130F1"/>
    <w:rsid w:val="00A16078"/>
    <w:rsid w:val="00A22307"/>
    <w:rsid w:val="00A22564"/>
    <w:rsid w:val="00A22DA3"/>
    <w:rsid w:val="00A23B3D"/>
    <w:rsid w:val="00A244DA"/>
    <w:rsid w:val="00A255F7"/>
    <w:rsid w:val="00A25AEE"/>
    <w:rsid w:val="00A32EEE"/>
    <w:rsid w:val="00A330F6"/>
    <w:rsid w:val="00A337AA"/>
    <w:rsid w:val="00A345EF"/>
    <w:rsid w:val="00A350E8"/>
    <w:rsid w:val="00A35188"/>
    <w:rsid w:val="00A35DC2"/>
    <w:rsid w:val="00A36B6B"/>
    <w:rsid w:val="00A41D28"/>
    <w:rsid w:val="00A41D31"/>
    <w:rsid w:val="00A42D93"/>
    <w:rsid w:val="00A47231"/>
    <w:rsid w:val="00A51F9E"/>
    <w:rsid w:val="00A5660C"/>
    <w:rsid w:val="00A6363B"/>
    <w:rsid w:val="00A65079"/>
    <w:rsid w:val="00A72D2A"/>
    <w:rsid w:val="00A73685"/>
    <w:rsid w:val="00A76109"/>
    <w:rsid w:val="00A761B1"/>
    <w:rsid w:val="00A839CC"/>
    <w:rsid w:val="00A83A4B"/>
    <w:rsid w:val="00A867FD"/>
    <w:rsid w:val="00A9082B"/>
    <w:rsid w:val="00A94463"/>
    <w:rsid w:val="00AA13E8"/>
    <w:rsid w:val="00AA23E0"/>
    <w:rsid w:val="00AA389D"/>
    <w:rsid w:val="00AA3A93"/>
    <w:rsid w:val="00AA581D"/>
    <w:rsid w:val="00AA6257"/>
    <w:rsid w:val="00AA7B76"/>
    <w:rsid w:val="00AA7E2C"/>
    <w:rsid w:val="00AB13DE"/>
    <w:rsid w:val="00AB73FB"/>
    <w:rsid w:val="00AC054F"/>
    <w:rsid w:val="00AC0CFB"/>
    <w:rsid w:val="00AC6C0F"/>
    <w:rsid w:val="00AD1C3E"/>
    <w:rsid w:val="00AD3266"/>
    <w:rsid w:val="00AD7ECE"/>
    <w:rsid w:val="00AE1957"/>
    <w:rsid w:val="00AE35A9"/>
    <w:rsid w:val="00AE4600"/>
    <w:rsid w:val="00AF58BD"/>
    <w:rsid w:val="00AF6D6D"/>
    <w:rsid w:val="00AF6E89"/>
    <w:rsid w:val="00B045C2"/>
    <w:rsid w:val="00B05A60"/>
    <w:rsid w:val="00B062C4"/>
    <w:rsid w:val="00B0766F"/>
    <w:rsid w:val="00B07C81"/>
    <w:rsid w:val="00B11A5E"/>
    <w:rsid w:val="00B11D3B"/>
    <w:rsid w:val="00B1416A"/>
    <w:rsid w:val="00B1486B"/>
    <w:rsid w:val="00B20EDF"/>
    <w:rsid w:val="00B21C3F"/>
    <w:rsid w:val="00B37A86"/>
    <w:rsid w:val="00B37D4B"/>
    <w:rsid w:val="00B40BCB"/>
    <w:rsid w:val="00B414A0"/>
    <w:rsid w:val="00B42B5A"/>
    <w:rsid w:val="00B46D4F"/>
    <w:rsid w:val="00B512A3"/>
    <w:rsid w:val="00B61C64"/>
    <w:rsid w:val="00B639DD"/>
    <w:rsid w:val="00B63F30"/>
    <w:rsid w:val="00B66D39"/>
    <w:rsid w:val="00B7344C"/>
    <w:rsid w:val="00B802DA"/>
    <w:rsid w:val="00B81C46"/>
    <w:rsid w:val="00B833C6"/>
    <w:rsid w:val="00B92276"/>
    <w:rsid w:val="00B9486D"/>
    <w:rsid w:val="00B9499B"/>
    <w:rsid w:val="00B95CAC"/>
    <w:rsid w:val="00BA02B9"/>
    <w:rsid w:val="00BA0C48"/>
    <w:rsid w:val="00BA1382"/>
    <w:rsid w:val="00BA46F3"/>
    <w:rsid w:val="00BA4920"/>
    <w:rsid w:val="00BB395E"/>
    <w:rsid w:val="00BB58D1"/>
    <w:rsid w:val="00BC5451"/>
    <w:rsid w:val="00BD0AD5"/>
    <w:rsid w:val="00BD3B64"/>
    <w:rsid w:val="00BD585B"/>
    <w:rsid w:val="00BD69E2"/>
    <w:rsid w:val="00BD6A83"/>
    <w:rsid w:val="00BE51C4"/>
    <w:rsid w:val="00BE5B8C"/>
    <w:rsid w:val="00BF0B36"/>
    <w:rsid w:val="00BF21DB"/>
    <w:rsid w:val="00BF44CC"/>
    <w:rsid w:val="00C014B3"/>
    <w:rsid w:val="00C0252D"/>
    <w:rsid w:val="00C031FE"/>
    <w:rsid w:val="00C0473A"/>
    <w:rsid w:val="00C20CCF"/>
    <w:rsid w:val="00C22B3B"/>
    <w:rsid w:val="00C24079"/>
    <w:rsid w:val="00C2502C"/>
    <w:rsid w:val="00C26592"/>
    <w:rsid w:val="00C30D51"/>
    <w:rsid w:val="00C3309F"/>
    <w:rsid w:val="00C34C6C"/>
    <w:rsid w:val="00C42122"/>
    <w:rsid w:val="00C5155C"/>
    <w:rsid w:val="00C51D06"/>
    <w:rsid w:val="00C5498A"/>
    <w:rsid w:val="00C556AE"/>
    <w:rsid w:val="00C55FED"/>
    <w:rsid w:val="00C5693C"/>
    <w:rsid w:val="00C574CE"/>
    <w:rsid w:val="00C60D9A"/>
    <w:rsid w:val="00C642D0"/>
    <w:rsid w:val="00C67FA4"/>
    <w:rsid w:val="00C700DB"/>
    <w:rsid w:val="00C737C5"/>
    <w:rsid w:val="00C7470D"/>
    <w:rsid w:val="00C76A34"/>
    <w:rsid w:val="00C82CE9"/>
    <w:rsid w:val="00C8565B"/>
    <w:rsid w:val="00C86588"/>
    <w:rsid w:val="00C8747D"/>
    <w:rsid w:val="00C922A2"/>
    <w:rsid w:val="00C954BD"/>
    <w:rsid w:val="00C96033"/>
    <w:rsid w:val="00CA035C"/>
    <w:rsid w:val="00CA12F7"/>
    <w:rsid w:val="00CA3396"/>
    <w:rsid w:val="00CA7DC9"/>
    <w:rsid w:val="00CB2D50"/>
    <w:rsid w:val="00CB3EA8"/>
    <w:rsid w:val="00CB55ED"/>
    <w:rsid w:val="00CB761B"/>
    <w:rsid w:val="00CC3220"/>
    <w:rsid w:val="00CC5402"/>
    <w:rsid w:val="00CC5491"/>
    <w:rsid w:val="00CC5BC6"/>
    <w:rsid w:val="00CC75FA"/>
    <w:rsid w:val="00CC791A"/>
    <w:rsid w:val="00CD1FC7"/>
    <w:rsid w:val="00CD3070"/>
    <w:rsid w:val="00CD3652"/>
    <w:rsid w:val="00CD3A97"/>
    <w:rsid w:val="00CD64E5"/>
    <w:rsid w:val="00CD7782"/>
    <w:rsid w:val="00CD7E9B"/>
    <w:rsid w:val="00CE49EE"/>
    <w:rsid w:val="00CF1D5E"/>
    <w:rsid w:val="00CF296B"/>
    <w:rsid w:val="00CF3828"/>
    <w:rsid w:val="00CF4D36"/>
    <w:rsid w:val="00D05DCF"/>
    <w:rsid w:val="00D061E8"/>
    <w:rsid w:val="00D067E3"/>
    <w:rsid w:val="00D078D3"/>
    <w:rsid w:val="00D0790A"/>
    <w:rsid w:val="00D16298"/>
    <w:rsid w:val="00D17CEF"/>
    <w:rsid w:val="00D24484"/>
    <w:rsid w:val="00D24AC9"/>
    <w:rsid w:val="00D25FBE"/>
    <w:rsid w:val="00D26D6E"/>
    <w:rsid w:val="00D27651"/>
    <w:rsid w:val="00D300D0"/>
    <w:rsid w:val="00D3348B"/>
    <w:rsid w:val="00D34494"/>
    <w:rsid w:val="00D3662E"/>
    <w:rsid w:val="00D3734E"/>
    <w:rsid w:val="00D435FE"/>
    <w:rsid w:val="00D44884"/>
    <w:rsid w:val="00D52855"/>
    <w:rsid w:val="00D565CE"/>
    <w:rsid w:val="00D6064A"/>
    <w:rsid w:val="00D61098"/>
    <w:rsid w:val="00D67FC9"/>
    <w:rsid w:val="00D71326"/>
    <w:rsid w:val="00D7256A"/>
    <w:rsid w:val="00D752D1"/>
    <w:rsid w:val="00D76368"/>
    <w:rsid w:val="00D80BD2"/>
    <w:rsid w:val="00D81AF1"/>
    <w:rsid w:val="00D83138"/>
    <w:rsid w:val="00D83DA0"/>
    <w:rsid w:val="00D866A3"/>
    <w:rsid w:val="00D91009"/>
    <w:rsid w:val="00DA3007"/>
    <w:rsid w:val="00DA51DE"/>
    <w:rsid w:val="00DA6BDC"/>
    <w:rsid w:val="00DB2D1E"/>
    <w:rsid w:val="00DB4DAB"/>
    <w:rsid w:val="00DB5683"/>
    <w:rsid w:val="00DB71A9"/>
    <w:rsid w:val="00DB751E"/>
    <w:rsid w:val="00DC2EBA"/>
    <w:rsid w:val="00DC3026"/>
    <w:rsid w:val="00DC386A"/>
    <w:rsid w:val="00DC4906"/>
    <w:rsid w:val="00DC4F65"/>
    <w:rsid w:val="00DC7DC1"/>
    <w:rsid w:val="00DD07AA"/>
    <w:rsid w:val="00DD1483"/>
    <w:rsid w:val="00DD46BC"/>
    <w:rsid w:val="00DD557C"/>
    <w:rsid w:val="00DD5EF1"/>
    <w:rsid w:val="00DE5ECF"/>
    <w:rsid w:val="00DE62C8"/>
    <w:rsid w:val="00DE6555"/>
    <w:rsid w:val="00DE783C"/>
    <w:rsid w:val="00DF0C14"/>
    <w:rsid w:val="00DF1660"/>
    <w:rsid w:val="00DF1F5C"/>
    <w:rsid w:val="00DF280F"/>
    <w:rsid w:val="00DF3584"/>
    <w:rsid w:val="00DF4108"/>
    <w:rsid w:val="00DF4FBA"/>
    <w:rsid w:val="00DF6A02"/>
    <w:rsid w:val="00E033BF"/>
    <w:rsid w:val="00E115D6"/>
    <w:rsid w:val="00E11B0D"/>
    <w:rsid w:val="00E13224"/>
    <w:rsid w:val="00E26082"/>
    <w:rsid w:val="00E3089F"/>
    <w:rsid w:val="00E31822"/>
    <w:rsid w:val="00E33556"/>
    <w:rsid w:val="00E3736A"/>
    <w:rsid w:val="00E37C77"/>
    <w:rsid w:val="00E44173"/>
    <w:rsid w:val="00E53E80"/>
    <w:rsid w:val="00E5443F"/>
    <w:rsid w:val="00E54C87"/>
    <w:rsid w:val="00E5732A"/>
    <w:rsid w:val="00E60A32"/>
    <w:rsid w:val="00E6123B"/>
    <w:rsid w:val="00E62BAA"/>
    <w:rsid w:val="00E64921"/>
    <w:rsid w:val="00E66C09"/>
    <w:rsid w:val="00E66DE8"/>
    <w:rsid w:val="00E67A46"/>
    <w:rsid w:val="00E705F4"/>
    <w:rsid w:val="00E71C2A"/>
    <w:rsid w:val="00E74BE2"/>
    <w:rsid w:val="00E828CF"/>
    <w:rsid w:val="00E8411D"/>
    <w:rsid w:val="00E8494C"/>
    <w:rsid w:val="00E84BBC"/>
    <w:rsid w:val="00E865E4"/>
    <w:rsid w:val="00E938AE"/>
    <w:rsid w:val="00E93DF2"/>
    <w:rsid w:val="00E97153"/>
    <w:rsid w:val="00E9733A"/>
    <w:rsid w:val="00EA01CA"/>
    <w:rsid w:val="00EA3CDE"/>
    <w:rsid w:val="00EA4B56"/>
    <w:rsid w:val="00EA7EA4"/>
    <w:rsid w:val="00EB0BBF"/>
    <w:rsid w:val="00EB1758"/>
    <w:rsid w:val="00EB7CD8"/>
    <w:rsid w:val="00EC4D7C"/>
    <w:rsid w:val="00ED0208"/>
    <w:rsid w:val="00EE1541"/>
    <w:rsid w:val="00EE2FFB"/>
    <w:rsid w:val="00EF017F"/>
    <w:rsid w:val="00EF3AD6"/>
    <w:rsid w:val="00F02EF9"/>
    <w:rsid w:val="00F116D3"/>
    <w:rsid w:val="00F12696"/>
    <w:rsid w:val="00F15ECC"/>
    <w:rsid w:val="00F16779"/>
    <w:rsid w:val="00F1730B"/>
    <w:rsid w:val="00F173FE"/>
    <w:rsid w:val="00F17983"/>
    <w:rsid w:val="00F201FB"/>
    <w:rsid w:val="00F27C36"/>
    <w:rsid w:val="00F30405"/>
    <w:rsid w:val="00F326B1"/>
    <w:rsid w:val="00F357FF"/>
    <w:rsid w:val="00F42B7E"/>
    <w:rsid w:val="00F4611C"/>
    <w:rsid w:val="00F51675"/>
    <w:rsid w:val="00F550F5"/>
    <w:rsid w:val="00F56A36"/>
    <w:rsid w:val="00F6130A"/>
    <w:rsid w:val="00F63B24"/>
    <w:rsid w:val="00F64733"/>
    <w:rsid w:val="00F64A04"/>
    <w:rsid w:val="00F66629"/>
    <w:rsid w:val="00F6676B"/>
    <w:rsid w:val="00F67F65"/>
    <w:rsid w:val="00F71888"/>
    <w:rsid w:val="00F745A9"/>
    <w:rsid w:val="00F84F1A"/>
    <w:rsid w:val="00F8500F"/>
    <w:rsid w:val="00F85530"/>
    <w:rsid w:val="00F97DDF"/>
    <w:rsid w:val="00FA425A"/>
    <w:rsid w:val="00FA4FF0"/>
    <w:rsid w:val="00FA7AAD"/>
    <w:rsid w:val="00FB0622"/>
    <w:rsid w:val="00FB0814"/>
    <w:rsid w:val="00FB4184"/>
    <w:rsid w:val="00FC1A0D"/>
    <w:rsid w:val="00FC31F2"/>
    <w:rsid w:val="00FC60E3"/>
    <w:rsid w:val="00FC756A"/>
    <w:rsid w:val="00FD22D3"/>
    <w:rsid w:val="00FD474F"/>
    <w:rsid w:val="00FD4E88"/>
    <w:rsid w:val="00FD5708"/>
    <w:rsid w:val="00FD77B6"/>
    <w:rsid w:val="00FE1C4B"/>
    <w:rsid w:val="00FE6926"/>
    <w:rsid w:val="00FE6965"/>
    <w:rsid w:val="00FE7035"/>
    <w:rsid w:val="00FE78B0"/>
    <w:rsid w:val="00FF0A42"/>
    <w:rsid w:val="00FF0E22"/>
    <w:rsid w:val="00FF38A7"/>
    <w:rsid w:val="00FF4B6A"/>
    <w:rsid w:val="00FF60C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8B"/>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pPr>
      <w:widowControl w:val="0"/>
      <w:numPr>
        <w:ilvl w:val="5"/>
        <w:numId w:val="1"/>
      </w:numPr>
      <w:spacing w:after="220"/>
      <w:jc w:val="both"/>
      <w:outlineLvl w:val="5"/>
    </w:pPr>
    <w:rPr>
      <w:b/>
    </w:rPr>
  </w:style>
  <w:style w:type="paragraph" w:styleId="Heading7">
    <w:name w:val="heading 7"/>
    <w:basedOn w:val="Normal"/>
    <w:next w:val="ParaNum"/>
    <w:link w:val="Heading7Char"/>
    <w:qFormat/>
    <w:pPr>
      <w:widowControl w:val="0"/>
      <w:numPr>
        <w:ilvl w:val="6"/>
        <w:numId w:val="1"/>
      </w:numPr>
      <w:spacing w:after="220"/>
      <w:jc w:val="both"/>
      <w:outlineLvl w:val="6"/>
    </w:pPr>
    <w:rPr>
      <w:b/>
    </w:rPr>
  </w:style>
  <w:style w:type="paragraph" w:styleId="Heading8">
    <w:name w:val="heading 8"/>
    <w:basedOn w:val="Normal"/>
    <w:next w:val="ParaNum"/>
    <w:link w:val="Heading8Char"/>
    <w:qFormat/>
    <w:pPr>
      <w:widowControl w:val="0"/>
      <w:numPr>
        <w:ilvl w:val="7"/>
        <w:numId w:val="1"/>
      </w:numPr>
      <w:spacing w:after="220"/>
      <w:jc w:val="both"/>
      <w:outlineLvl w:val="7"/>
    </w:pPr>
    <w:rPr>
      <w:b/>
    </w:rPr>
  </w:style>
  <w:style w:type="paragraph" w:styleId="Heading9">
    <w:name w:val="heading 9"/>
    <w:basedOn w:val="Normal"/>
    <w:next w:val="ParaNum"/>
    <w:link w:val="Heading9Char"/>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ParaNum">
    <w:name w:val="ParaNum"/>
    <w:basedOn w:val="Normal"/>
    <w:pPr>
      <w:tabs>
        <w:tab w:val="left" w:pos="1440"/>
      </w:tabs>
      <w:spacing w:after="220"/>
      <w:ind w:firstLine="720"/>
    </w:pPr>
  </w:style>
  <w:style w:type="paragraph" w:styleId="FootnoteText">
    <w:name w:val="footnote text"/>
    <w:aliases w:val="FOOTN,Footnote Text Char,Footnote Text Char Char3 Char,Footnote Text Char Char3 Char Char Char,Footnote Text Char1,Footnote Text Char1 Char,Footnote Text Char1 Char Char1 Char,Footnote Text Char1 Char Char1 Char Char1 Char,fn,fn Char1 Char"/>
    <w:basedOn w:val="Normal"/>
    <w:link w:val="FootnoteTextChar3"/>
    <w:uiPriority w:val="99"/>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 Char,Footnote Text Char Char3 Char Char,Footnote Text Char Char3 Char Char Char Char,Footnote Text Char1 Char Char,Footnote Text Char1 Char Char1 Char Char,Footnote Text Char1 Char Char1 Char Char1 Char Char"/>
    <w:semiHidden/>
    <w:locked/>
    <w:rPr>
      <w:rFonts w:cs="Times New Roman"/>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Pr>
      <w:rFonts w:cs="Times New Roman"/>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 Char3 Char Char Char Char1,Footnote Text Char Char3 Char Char1,Footnote Text Char1 Char Char1,Footnote Text Char1 Char Char1 Char Char1,Footnote Text Char1 Char Char1 Char Char1 Char Char1"/>
    <w:link w:val="FootnoteText"/>
    <w:uiPriority w:val="99"/>
    <w:locked/>
    <w:rPr>
      <w:rFonts w:cs="Times New Roman"/>
      <w:lang w:val="en-US" w:eastAsia="en-US" w:bidi="ar-SA"/>
    </w:rPr>
  </w:style>
  <w:style w:type="character" w:customStyle="1" w:styleId="FootnoteTextCharCharChar">
    <w:name w:val="Footnote Text Char Char Char"/>
    <w:aliases w:val="Footnote Text Ch Char Char,Footnote Text Char Char Char Char Char,Footnote Text Char Char Char Char Char Char,Footnote Text Char1 Char Char Char,Footnote Text Char1 Char Char Char Char Char,Footnote Text Char2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 Char Char Char Char1,Footnote Text Char Char Char Char Char1,Footnote Text Char Char Char1,Footnote Text Char1 Char Char Char Char Char1,Footnote Text Char1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 Char Char Char Char2,Footnote Text Char Char Char Char Char2,Footnote Text Char Char Char2,Footnote Text Char1 Char Char Char Char Char2,Footnote Text Char1 Char Char Char2"/>
    <w:semiHidden/>
    <w:rPr>
      <w:rFonts w:cs="Times New Roman"/>
      <w:lang w:val="en-US" w:eastAsia="en-US" w:bidi="ar-SA"/>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rPr>
  </w:style>
  <w:style w:type="paragraph" w:customStyle="1" w:styleId="Default">
    <w:name w:val="Default"/>
    <w:pPr>
      <w:autoSpaceDE w:val="0"/>
      <w:autoSpaceDN w:val="0"/>
      <w:adjustRightInd w:val="0"/>
    </w:pPr>
    <w:rPr>
      <w:color w:val="000000"/>
      <w:sz w:val="24"/>
      <w:szCs w:val="24"/>
    </w:rPr>
  </w:style>
  <w:style w:type="character" w:customStyle="1" w:styleId="EmailStyle54">
    <w:name w:val="EmailStyle54"/>
    <w:semiHidden/>
    <w:rPr>
      <w:rFonts w:ascii="Arial" w:hAnsi="Arial" w:cs="Arial"/>
      <w:b w:val="0"/>
      <w:bCs w:val="0"/>
      <w:i w:val="0"/>
      <w:iCs w:val="0"/>
      <w:strike w:val="0"/>
      <w:color w:val="auto"/>
      <w:sz w:val="22"/>
      <w:szCs w:val="22"/>
      <w:u w:val="none"/>
    </w:rPr>
  </w:style>
  <w:style w:type="character" w:customStyle="1" w:styleId="text-blue1">
    <w:name w:val="text-blue1"/>
    <w:rPr>
      <w:rFonts w:ascii="Verdana" w:hAnsi="Verdana" w:hint="default"/>
      <w:color w:val="000099"/>
      <w:sz w:val="18"/>
      <w:szCs w:val="18"/>
    </w:rPr>
  </w:style>
  <w:style w:type="character" w:customStyle="1" w:styleId="EmailStyle561">
    <w:name w:val="EmailStyle561"/>
    <w:semiHidden/>
    <w:rPr>
      <w:rFonts w:ascii="Arial" w:hAnsi="Arial" w:cs="Arial"/>
      <w:b w:val="0"/>
      <w:bCs w:val="0"/>
      <w:i w:val="0"/>
      <w:iCs w:val="0"/>
      <w:strike w:val="0"/>
      <w:color w:val="0000FF"/>
      <w:sz w:val="22"/>
      <w:szCs w:val="22"/>
      <w:u w:val="none"/>
    </w:rPr>
  </w:style>
  <w:style w:type="character" w:customStyle="1" w:styleId="EmailStyle57">
    <w:name w:val="EmailStyle57"/>
    <w:semiHidden/>
    <w:rsid w:val="003F099E"/>
    <w:rPr>
      <w:rFonts w:ascii="Arial" w:hAnsi="Arial" w:cs="Arial"/>
      <w:b w:val="0"/>
      <w:bCs w:val="0"/>
      <w:i w:val="0"/>
      <w:iCs w:val="0"/>
      <w:strike w:val="0"/>
      <w:color w:val="auto"/>
      <w:sz w:val="22"/>
      <w:szCs w:val="22"/>
      <w:u w:val="none"/>
    </w:rPr>
  </w:style>
  <w:style w:type="character" w:customStyle="1" w:styleId="FootnoteTextChar3CharChar1">
    <w:name w:val="Footnote Text Char3 Char Char1"/>
    <w:aliases w:val="Footnote Text Char Char2 Char Char Char1,Footnote Text Char Char2 Char Char Char2 Char Char1,Footnote Text Char3 Char Char Char2 Char Char1,Footnote Text Char3 Char1,Footnote Text Char4 Char1 Char Char1"/>
    <w:uiPriority w:val="99"/>
    <w:rsid w:val="00891B9B"/>
    <w:rPr>
      <w:sz w:val="20"/>
      <w:szCs w:val="20"/>
    </w:rPr>
  </w:style>
  <w:style w:type="character" w:styleId="Hyperlink">
    <w:name w:val="Hyperlink"/>
    <w:uiPriority w:val="99"/>
    <w:unhideWhenUsed/>
    <w:rsid w:val="00891B9B"/>
    <w:rPr>
      <w:color w:val="0000FF"/>
      <w:u w:val="single"/>
    </w:rPr>
  </w:style>
  <w:style w:type="paragraph" w:styleId="ListParagraph">
    <w:name w:val="List Paragraph"/>
    <w:basedOn w:val="Normal"/>
    <w:uiPriority w:val="34"/>
    <w:qFormat/>
    <w:rsid w:val="00E31822"/>
    <w:pPr>
      <w:ind w:left="720"/>
      <w:contextualSpacing/>
    </w:pPr>
  </w:style>
  <w:style w:type="paragraph" w:styleId="Revision">
    <w:name w:val="Revision"/>
    <w:hidden/>
    <w:uiPriority w:val="99"/>
    <w:semiHidden/>
    <w:rsid w:val="008A505B"/>
    <w:rPr>
      <w:sz w:val="22"/>
    </w:rPr>
  </w:style>
  <w:style w:type="character" w:styleId="Emphasis">
    <w:name w:val="Emphasis"/>
    <w:basedOn w:val="DefaultParagraphFont"/>
    <w:uiPriority w:val="20"/>
    <w:qFormat/>
    <w:rsid w:val="00353D9C"/>
    <w:rPr>
      <w:i/>
      <w:iCs/>
    </w:rPr>
  </w:style>
  <w:style w:type="character" w:customStyle="1" w:styleId="cosearchterm7">
    <w:name w:val="co_searchterm7"/>
    <w:basedOn w:val="DefaultParagraphFont"/>
    <w:rsid w:val="00353D9C"/>
    <w:rPr>
      <w:b/>
      <w:bCs/>
      <w:color w:val="252525"/>
    </w:rPr>
  </w:style>
  <w:style w:type="character" w:styleId="PlaceholderText">
    <w:name w:val="Placeholder Text"/>
    <w:basedOn w:val="DefaultParagraphFont"/>
    <w:uiPriority w:val="99"/>
    <w:semiHidden/>
    <w:rsid w:val="00D81AF1"/>
    <w:rPr>
      <w:color w:val="808080"/>
    </w:rPr>
  </w:style>
  <w:style w:type="character" w:customStyle="1" w:styleId="FootnoteTextChar5Char">
    <w:name w:val="Footnote Text Char5 Char"/>
    <w:aliases w:val="Footnote Text Char2 Char1 Char1 Char Char40 Char,Footnote Text Char2 Char4 Char,Footnote Text Char3 Char1 Char2 Char Char,Footnote Text Char3 Char1 Char2 Char Char Char Char,Footnote Text Char5 Char Char Char"/>
    <w:basedOn w:val="DefaultParagraphFont"/>
    <w:rsid w:val="000B2392"/>
  </w:style>
  <w:style w:type="character" w:customStyle="1" w:styleId="UnresolvedMention">
    <w:name w:val="Unresolved Mention"/>
    <w:basedOn w:val="DefaultParagraphFont"/>
    <w:uiPriority w:val="99"/>
    <w:semiHidden/>
    <w:unhideWhenUsed/>
    <w:rsid w:val="006D1F7F"/>
    <w:rPr>
      <w:color w:val="808080"/>
      <w:shd w:val="clear" w:color="auto" w:fill="E6E6E6"/>
    </w:rPr>
  </w:style>
  <w:style w:type="character" w:styleId="FollowedHyperlink">
    <w:name w:val="FollowedHyperlink"/>
    <w:basedOn w:val="DefaultParagraphFont"/>
    <w:semiHidden/>
    <w:unhideWhenUsed/>
    <w:rsid w:val="00E97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2018-03-16T14:12:33Z</dcterms:created>
  <dcterms:modified xsi:type="dcterms:W3CDTF">2018-03-16T14:12:33Z</dcterms:modified>
</cp:coreProperties>
</file>