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6D78E9">
      <w:pPr>
        <w:pStyle w:val="Header"/>
        <w:tabs>
          <w:tab w:val="clear" w:pos="4320"/>
          <w:tab w:val="clear" w:pos="8640"/>
        </w:tabs>
        <w:rPr>
          <w:b/>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6D78E9">
      <w:pPr>
        <w:jc w:val="right"/>
        <w:rPr>
          <w:b/>
          <w:szCs w:val="22"/>
        </w:rPr>
      </w:pPr>
      <w:r w:rsidRPr="006D78E9">
        <w:rPr>
          <w:b/>
          <w:szCs w:val="22"/>
        </w:rPr>
        <w:t>DA 18-</w:t>
      </w:r>
      <w:r w:rsidR="004612CB">
        <w:rPr>
          <w:b/>
          <w:szCs w:val="22"/>
        </w:rPr>
        <w:t>313</w:t>
      </w:r>
    </w:p>
    <w:p w:rsidR="006D78E9" w:rsidRPr="00A374E4" w:rsidP="006D78E9">
      <w:pPr>
        <w:jc w:val="right"/>
        <w:rPr>
          <w:b/>
          <w:szCs w:val="22"/>
        </w:rPr>
      </w:pPr>
      <w:r w:rsidRPr="00A374E4">
        <w:rPr>
          <w:b/>
          <w:szCs w:val="22"/>
        </w:rPr>
        <w:t>Released</w:t>
      </w:r>
      <w:r>
        <w:rPr>
          <w:b/>
          <w:szCs w:val="22"/>
        </w:rPr>
        <w:t>:  March 28, 2018</w:t>
      </w:r>
    </w:p>
    <w:p w:rsidR="006D78E9" w:rsidRPr="00A374E4" w:rsidP="006D78E9">
      <w:pPr>
        <w:jc w:val="right"/>
        <w:rPr>
          <w:szCs w:val="22"/>
        </w:rPr>
      </w:pPr>
    </w:p>
    <w:p w:rsidR="006D78E9" w:rsidP="006D78E9">
      <w:pPr>
        <w:spacing w:before="120" w:after="120"/>
        <w:contextualSpacing/>
        <w:jc w:val="center"/>
        <w:rPr>
          <w:b/>
          <w:szCs w:val="22"/>
        </w:rPr>
      </w:pPr>
      <w:r w:rsidRPr="00A374E4">
        <w:rPr>
          <w:b/>
          <w:szCs w:val="22"/>
        </w:rPr>
        <w:t xml:space="preserve">WIRELINE COMPETITION BUREAU ANNOUNCES </w:t>
      </w:r>
      <w:r>
        <w:rPr>
          <w:b/>
          <w:szCs w:val="22"/>
        </w:rPr>
        <w:t xml:space="preserve">UPCOMING LNPA </w:t>
      </w:r>
    </w:p>
    <w:p w:rsidR="006D78E9" w:rsidP="006D78E9">
      <w:pPr>
        <w:spacing w:before="120" w:after="120"/>
        <w:contextualSpacing/>
        <w:jc w:val="center"/>
        <w:rPr>
          <w:b/>
          <w:szCs w:val="22"/>
        </w:rPr>
      </w:pPr>
      <w:r>
        <w:rPr>
          <w:b/>
          <w:szCs w:val="22"/>
        </w:rPr>
        <w:t xml:space="preserve">TRANSITION OUTREACH AND EDUCATION PLAN </w:t>
      </w:r>
      <w:r w:rsidRPr="00A374E4">
        <w:rPr>
          <w:b/>
          <w:szCs w:val="22"/>
        </w:rPr>
        <w:t>WEBCAST</w:t>
      </w:r>
      <w:r>
        <w:rPr>
          <w:b/>
          <w:szCs w:val="22"/>
        </w:rPr>
        <w:t xml:space="preserve"> </w:t>
      </w:r>
    </w:p>
    <w:p w:rsidR="006D78E9" w:rsidP="006D78E9">
      <w:pPr>
        <w:spacing w:before="120" w:after="120"/>
        <w:contextualSpacing/>
        <w:jc w:val="center"/>
        <w:rPr>
          <w:b/>
          <w:szCs w:val="22"/>
        </w:rPr>
      </w:pPr>
      <w:r>
        <w:rPr>
          <w:b/>
          <w:szCs w:val="22"/>
        </w:rPr>
        <w:t xml:space="preserve">TO PREPARE FOR APRIL 8 SOUTHEAST REGION CUTOVER </w:t>
      </w:r>
    </w:p>
    <w:p w:rsidR="006D78E9" w:rsidP="006D78E9">
      <w:pPr>
        <w:jc w:val="center"/>
        <w:rPr>
          <w:b/>
          <w:szCs w:val="22"/>
        </w:rPr>
      </w:pPr>
    </w:p>
    <w:p w:rsidR="006D78E9" w:rsidRPr="00A374E4" w:rsidP="006D78E9">
      <w:pPr>
        <w:jc w:val="center"/>
        <w:rPr>
          <w:b/>
          <w:szCs w:val="22"/>
        </w:rPr>
      </w:pPr>
      <w:r w:rsidRPr="00A374E4">
        <w:rPr>
          <w:b/>
          <w:szCs w:val="22"/>
        </w:rPr>
        <w:t>WC Docket Nos. 07-149 and 09-109</w:t>
      </w:r>
    </w:p>
    <w:p w:rsidR="006D78E9" w:rsidRPr="00A374E4" w:rsidP="006D78E9">
      <w:pPr>
        <w:jc w:val="center"/>
        <w:rPr>
          <w:b/>
          <w:szCs w:val="22"/>
        </w:rPr>
      </w:pPr>
      <w:r w:rsidRPr="00A374E4">
        <w:rPr>
          <w:b/>
          <w:szCs w:val="22"/>
        </w:rPr>
        <w:t>CC Docket No. 95-116</w:t>
      </w:r>
    </w:p>
    <w:p w:rsidR="006D78E9" w:rsidRPr="00A374E4" w:rsidP="006D78E9">
      <w:pPr>
        <w:jc w:val="center"/>
        <w:rPr>
          <w:b/>
          <w:szCs w:val="22"/>
        </w:rPr>
      </w:pPr>
      <w:r w:rsidRPr="00A374E4">
        <w:rPr>
          <w:b/>
          <w:szCs w:val="22"/>
        </w:rPr>
        <w:t xml:space="preserve">  </w:t>
      </w:r>
    </w:p>
    <w:p w:rsidR="006D78E9" w:rsidP="006D78E9">
      <w:r>
        <w:rPr>
          <w:szCs w:val="22"/>
        </w:rPr>
        <w:t xml:space="preserve">By </w:t>
      </w:r>
      <w:r>
        <w:t xml:space="preserve">this Public Notice, the Wireline Competition Bureau (WCB) announces that the 27th Local Number Portability Administrator (LNPA) Transition Outreach and Education Plan (TOEP) webcast will take place on </w:t>
      </w:r>
      <w:r>
        <w:rPr>
          <w:b/>
          <w:iCs/>
          <w:szCs w:val="22"/>
        </w:rPr>
        <w:t>April 4</w:t>
      </w:r>
      <w:r w:rsidRPr="00A374E4">
        <w:rPr>
          <w:b/>
          <w:iCs/>
          <w:szCs w:val="22"/>
        </w:rPr>
        <w:t>,</w:t>
      </w:r>
      <w:r>
        <w:rPr>
          <w:b/>
          <w:iCs/>
          <w:szCs w:val="22"/>
        </w:rPr>
        <w:t xml:space="preserve"> 2018 at 3:00 pm ET</w:t>
      </w:r>
      <w:r>
        <w:rPr>
          <w:iCs/>
          <w:szCs w:val="22"/>
        </w:rPr>
        <w:t>.</w:t>
      </w:r>
      <w:r>
        <w:rPr>
          <w:iCs/>
          <w:szCs w:val="22"/>
          <w:vertAlign w:val="superscript"/>
        </w:rPr>
        <w:footnoteReference w:id="2"/>
      </w:r>
      <w:r>
        <w:rPr>
          <w:iCs/>
          <w:szCs w:val="22"/>
        </w:rPr>
        <w:t xml:space="preserve">  During the webcast, PricewaterhouseCoopers LLP, the Transition Oversight Manager (TOM), will</w:t>
      </w:r>
      <w:r>
        <w:t xml:space="preserve"> provide outreach and education about the </w:t>
      </w:r>
      <w:r>
        <w:rPr>
          <w:szCs w:val="22"/>
        </w:rPr>
        <w:t>first regional transition from Neustar to iconectiv as the next LNPA.</w:t>
      </w:r>
      <w:r>
        <w:rPr>
          <w:rStyle w:val="FootnoteReference"/>
          <w:szCs w:val="22"/>
        </w:rPr>
        <w:footnoteReference w:id="3"/>
      </w:r>
      <w:r>
        <w:rPr>
          <w:szCs w:val="22"/>
        </w:rPr>
        <w:t xml:space="preserve">  Specifically, the webcast will focus on the cutover in the Southeast Region</w:t>
      </w:r>
      <w:r>
        <w:rPr>
          <w:rStyle w:val="FootnoteReference"/>
          <w:szCs w:val="22"/>
        </w:rPr>
        <w:footnoteReference w:id="4"/>
      </w:r>
      <w:r>
        <w:rPr>
          <w:szCs w:val="22"/>
        </w:rPr>
        <w:t xml:space="preserve"> on </w:t>
      </w:r>
      <w:r w:rsidRPr="00AE55B8">
        <w:rPr>
          <w:b/>
          <w:szCs w:val="22"/>
        </w:rPr>
        <w:t>April 8, 2018</w:t>
      </w:r>
      <w:r w:rsidRPr="00012385">
        <w:rPr>
          <w:szCs w:val="22"/>
        </w:rPr>
        <w:t>.</w:t>
      </w:r>
      <w:r>
        <w:rPr>
          <w:b/>
          <w:szCs w:val="22"/>
        </w:rPr>
        <w:t xml:space="preserve">  </w:t>
      </w:r>
      <w:r>
        <w:rPr>
          <w:iCs/>
          <w:szCs w:val="22"/>
        </w:rPr>
        <w:t>T</w:t>
      </w:r>
      <w:r w:rsidRPr="00FE208C">
        <w:rPr>
          <w:iCs/>
          <w:szCs w:val="22"/>
        </w:rPr>
        <w:t>h</w:t>
      </w:r>
      <w:r>
        <w:rPr>
          <w:iCs/>
          <w:szCs w:val="22"/>
        </w:rPr>
        <w:t>e</w:t>
      </w:r>
      <w:r w:rsidRPr="00FE208C">
        <w:rPr>
          <w:iCs/>
          <w:szCs w:val="22"/>
        </w:rPr>
        <w:t xml:space="preserve"> webcast </w:t>
      </w:r>
      <w:r>
        <w:rPr>
          <w:iCs/>
          <w:szCs w:val="22"/>
        </w:rPr>
        <w:t>will discuss</w:t>
      </w:r>
      <w:r w:rsidRPr="00FE208C">
        <w:rPr>
          <w:iCs/>
          <w:szCs w:val="22"/>
        </w:rPr>
        <w:t xml:space="preserve"> </w:t>
      </w:r>
      <w:r w:rsidRPr="00FE208C">
        <w:rPr>
          <w:szCs w:val="22"/>
        </w:rPr>
        <w:t>preparatory activities and updated industry communications plans</w:t>
      </w:r>
      <w:r>
        <w:rPr>
          <w:szCs w:val="22"/>
        </w:rPr>
        <w:t xml:space="preserve"> for the Southeast Region cutover</w:t>
      </w:r>
      <w:r w:rsidRPr="00FE208C">
        <w:rPr>
          <w:rFonts w:ascii="Arial" w:hAnsi="Arial" w:cs="Arial"/>
          <w:sz w:val="20"/>
        </w:rPr>
        <w:t>.</w:t>
      </w:r>
      <w:r>
        <w:rPr>
          <w:rFonts w:ascii="Arial" w:hAnsi="Arial" w:cs="Arial"/>
          <w:sz w:val="20"/>
        </w:rPr>
        <w:t xml:space="preserve">   </w:t>
      </w:r>
    </w:p>
    <w:p w:rsidR="006D78E9" w:rsidP="006D78E9">
      <w:pPr>
        <w:rPr>
          <w:iCs/>
          <w:szCs w:val="22"/>
        </w:rPr>
      </w:pPr>
    </w:p>
    <w:p w:rsidR="006D78E9" w:rsidRPr="00CA2239" w:rsidP="006D78E9">
      <w:pPr>
        <w:rPr>
          <w:iCs/>
          <w:szCs w:val="22"/>
        </w:rPr>
      </w:pPr>
      <w:r w:rsidRPr="00642846">
        <w:rPr>
          <w:iCs/>
          <w:szCs w:val="22"/>
        </w:rPr>
        <w:t xml:space="preserve">These webcasts </w:t>
      </w:r>
      <w:r>
        <w:rPr>
          <w:iCs/>
          <w:szCs w:val="22"/>
        </w:rPr>
        <w:t xml:space="preserve">conducted by the TOM </w:t>
      </w:r>
      <w:r w:rsidRPr="00642846">
        <w:rPr>
          <w:iCs/>
          <w:szCs w:val="22"/>
        </w:rPr>
        <w:t>are one of the channels used to communicate with the public</w:t>
      </w:r>
      <w:r>
        <w:rPr>
          <w:iCs/>
          <w:szCs w:val="22"/>
        </w:rPr>
        <w:t xml:space="preserve"> in accordance with the LNPA TOEP as </w:t>
      </w:r>
      <w:r w:rsidRPr="00642846">
        <w:rPr>
          <w:iCs/>
          <w:szCs w:val="22"/>
        </w:rPr>
        <w:t>described in the Transition Oversight Plan.</w:t>
      </w:r>
      <w:r>
        <w:rPr>
          <w:rStyle w:val="FootnoteReference"/>
          <w:iCs/>
          <w:szCs w:val="22"/>
        </w:rPr>
        <w:footnoteReference w:id="5"/>
      </w:r>
      <w:r w:rsidRPr="00A374E4">
        <w:rPr>
          <w:iCs/>
          <w:szCs w:val="22"/>
        </w:rPr>
        <w:t xml:space="preserve"> </w:t>
      </w:r>
      <w:r>
        <w:rPr>
          <w:iCs/>
          <w:szCs w:val="22"/>
        </w:rPr>
        <w:t xml:space="preserve"> They are designed to keep parties informed about the LNPA transition.  </w:t>
      </w:r>
      <w:r w:rsidRPr="00AE62F6">
        <w:t>Interested</w:t>
      </w:r>
      <w:r>
        <w:t xml:space="preserve"> parties may register and find additional details for the session by visiting: </w:t>
      </w:r>
      <w:r>
        <w:fldChar w:fldCharType="begin"/>
      </w:r>
      <w:r>
        <w:instrText xml:space="preserve"> HYPERLINK "https://urldefense.proofpoint.com/v2/url?u=https-3A__event.webcasts.com_starthere.jsp-3Fei-3D1187054-26tp-5Fkey-3D93c69a8b06&amp;d=DwMBAg&amp;c=y0h0omCe0jAUGr4gAQ02Fw&amp;r=QKwTKKcjIRdxrmwvZfGQLP3KmlRgR08QhehA6G3XCLQ&amp;m=zBKKUu54d1Gnceql54Md8_yy0VamjVEsJTIHcBkuCbA&amp;s=ZrPO_qlm4zxzbzR5K8Y36e1w69qd_kptpC8PJZi53RY&amp;e=" \t "_blank" </w:instrText>
      </w:r>
      <w:r>
        <w:fldChar w:fldCharType="separate"/>
      </w:r>
      <w:r w:rsidRPr="001C074F">
        <w:rPr>
          <w:rStyle w:val="Hyperlink"/>
          <w:szCs w:val="22"/>
        </w:rPr>
        <w:t>https://event.webcasts.com/starthere.jsp?ei=1187054&amp;tp_key=93c69a8b06</w:t>
      </w:r>
      <w:r>
        <w:fldChar w:fldCharType="end"/>
      </w:r>
      <w:r w:rsidRPr="001C074F">
        <w:rPr>
          <w:color w:val="0000FF"/>
          <w:szCs w:val="22"/>
        </w:rPr>
        <w:t xml:space="preserve">  </w:t>
      </w:r>
    </w:p>
    <w:p w:rsidR="006D78E9" w:rsidP="006D78E9"/>
    <w:p w:rsidR="006D78E9" w:rsidRPr="00A209B7" w:rsidP="006D78E9">
      <w:r>
        <w:t xml:space="preserve">Materials from prior TOEP sessions as well as other LNPA transition reference documents are available at the following link: </w:t>
      </w:r>
      <w:r>
        <w:fldChar w:fldCharType="begin"/>
      </w:r>
      <w:r>
        <w:instrText xml:space="preserve"> HYPERLINK "https://www.napmllc.org/pages/npacrfp/npacRFP_RefDocs.aspx" </w:instrText>
      </w:r>
      <w:r>
        <w:fldChar w:fldCharType="separate"/>
      </w:r>
      <w:r w:rsidRPr="003467CB">
        <w:rPr>
          <w:rStyle w:val="Hyperlink"/>
        </w:rPr>
        <w:t>https://www.napmllc.org/pages/npacrfp/npacRFP_RefDocs.aspx</w:t>
      </w:r>
      <w:r>
        <w:fldChar w:fldCharType="end"/>
      </w:r>
      <w:r>
        <w:t xml:space="preserve">.  </w:t>
      </w:r>
    </w:p>
    <w:p w:rsidR="006D78E9" w:rsidP="006D78E9">
      <w:pPr>
        <w:rPr>
          <w:iCs/>
          <w:szCs w:val="22"/>
        </w:rPr>
      </w:pPr>
    </w:p>
    <w:p w:rsidR="006D78E9" w:rsidP="006D78E9">
      <w:r>
        <w:t xml:space="preserve">If you have trouble registering, please contact the TOM using the following link for assistance: </w:t>
      </w:r>
      <w:r>
        <w:fldChar w:fldCharType="begin"/>
      </w:r>
      <w:r>
        <w:instrText xml:space="preserve"> HYPERLINK "https://www.napmllc.org/pages/npacrfp/npacRFP_Comments.aspx" </w:instrText>
      </w:r>
      <w:r>
        <w:fldChar w:fldCharType="separate"/>
      </w:r>
      <w:r w:rsidRPr="003467CB">
        <w:rPr>
          <w:rStyle w:val="Hyperlink"/>
        </w:rPr>
        <w:t>https://www.napmllc.org/pages/npacrfp/npacRFP_Comments.aspx</w:t>
      </w:r>
      <w:r>
        <w:fldChar w:fldCharType="end"/>
      </w:r>
      <w:r>
        <w:t>.  At any time, use the same link to submit questions or general feedback.</w:t>
      </w:r>
      <w:r>
        <w:t xml:space="preserve"> </w:t>
      </w:r>
    </w:p>
    <w:p w:rsidR="006D78E9" w:rsidP="006D78E9"/>
    <w:p w:rsidR="006D78E9" w:rsidP="006D78E9">
      <w:pPr>
        <w:rPr>
          <w:color w:val="1A1919"/>
          <w:szCs w:val="22"/>
        </w:rPr>
      </w:pPr>
      <w:r>
        <w:rPr>
          <w:b/>
          <w:i/>
          <w:color w:val="1A1919"/>
          <w:szCs w:val="22"/>
        </w:rPr>
        <w:t>Ex P</w:t>
      </w:r>
      <w:r w:rsidRPr="00843D5F">
        <w:rPr>
          <w:b/>
          <w:i/>
          <w:color w:val="1A1919"/>
          <w:szCs w:val="22"/>
        </w:rPr>
        <w:t>arte</w:t>
      </w:r>
      <w:r w:rsidRPr="00843D5F">
        <w:rPr>
          <w:b/>
          <w:color w:val="1A1919"/>
          <w:szCs w:val="22"/>
        </w:rPr>
        <w:t xml:space="preserve"> Presentations. </w:t>
      </w:r>
      <w:r>
        <w:rPr>
          <w:b/>
          <w:color w:val="1A1919"/>
          <w:szCs w:val="22"/>
        </w:rPr>
        <w:t xml:space="preserve">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6"/>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ection 1.1206 of the Commission’s rules apply.</w:t>
      </w:r>
      <w:r>
        <w:rPr>
          <w:color w:val="1A1919"/>
          <w:szCs w:val="22"/>
        </w:rPr>
        <w:t xml:space="preserve">  </w:t>
      </w:r>
    </w:p>
    <w:p w:rsidR="006D78E9" w:rsidP="006D78E9">
      <w:pPr>
        <w:rPr>
          <w:color w:val="1A1919"/>
          <w:szCs w:val="22"/>
        </w:rPr>
      </w:pPr>
    </w:p>
    <w:p w:rsidR="006D78E9" w:rsidRPr="00642846" w:rsidP="006D78E9">
      <w:pPr>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6D78E9" w:rsidRPr="00642846" w:rsidP="006D78E9">
      <w:pPr>
        <w:rPr>
          <w:color w:val="1A1919"/>
          <w:szCs w:val="22"/>
        </w:rPr>
      </w:pPr>
    </w:p>
    <w:p w:rsidR="006D78E9" w:rsidP="006D78E9">
      <w:pPr>
        <w:spacing w:after="113" w:line="245" w:lineRule="auto"/>
        <w:ind w:left="-15"/>
        <w:rPr>
          <w:szCs w:val="22"/>
        </w:rPr>
      </w:pPr>
      <w:r w:rsidRPr="00642846">
        <w:rPr>
          <w:szCs w:val="22"/>
        </w:rPr>
        <w:t>For further information, contact Michelle Sclater</w:t>
      </w:r>
      <w:r>
        <w:rPr>
          <w:szCs w:val="22"/>
        </w:rPr>
        <w:t xml:space="preserve"> of the WCB </w:t>
      </w:r>
      <w:r w:rsidRPr="00642846">
        <w:rPr>
          <w:szCs w:val="22"/>
        </w:rPr>
        <w:t>at</w:t>
      </w:r>
      <w:r>
        <w:rPr>
          <w:szCs w:val="22"/>
        </w:rPr>
        <w:t xml:space="preserve"> </w:t>
      </w:r>
      <w:r w:rsidRPr="00A374E4">
        <w:rPr>
          <w:szCs w:val="22"/>
        </w:rPr>
        <w:t xml:space="preserve">(202) 418-0388 or </w:t>
      </w:r>
      <w:r>
        <w:fldChar w:fldCharType="begin"/>
      </w:r>
      <w:r>
        <w:instrText xml:space="preserve"> HYPERLINK "mailto:Michelle.Sclater@fcc.gov" </w:instrText>
      </w:r>
      <w:r>
        <w:fldChar w:fldCharType="separate"/>
      </w:r>
      <w:r w:rsidRPr="00A374E4">
        <w:rPr>
          <w:rStyle w:val="Hyperlink"/>
          <w:szCs w:val="22"/>
        </w:rPr>
        <w:t>Michelle.Sclater@fcc.gov</w:t>
      </w:r>
      <w:r>
        <w:fldChar w:fldCharType="end"/>
      </w:r>
      <w:r>
        <w:rPr>
          <w:szCs w:val="22"/>
        </w:rPr>
        <w:t xml:space="preserve">, or Marilyn Jones of the WCB at </w:t>
      </w:r>
      <w:r w:rsidRPr="00642846">
        <w:rPr>
          <w:szCs w:val="22"/>
        </w:rPr>
        <w:t xml:space="preserve">(202) 418-2357 or </w:t>
      </w:r>
      <w:r>
        <w:fldChar w:fldCharType="begin"/>
      </w:r>
      <w:r>
        <w:instrText xml:space="preserve"> HYPERLINK "mailto:Marilyn.Jones@fcc.gov" </w:instrText>
      </w:r>
      <w:r>
        <w:fldChar w:fldCharType="separate"/>
      </w:r>
      <w:r w:rsidRPr="00A374E4">
        <w:rPr>
          <w:color w:val="0000FF"/>
          <w:szCs w:val="22"/>
          <w:u w:val="single"/>
        </w:rPr>
        <w:t>Marilyn.Jones@fcc.gov</w:t>
      </w:r>
      <w:r>
        <w:fldChar w:fldCharType="end"/>
      </w:r>
      <w:r w:rsidRPr="007D5E50">
        <w:rPr>
          <w:color w:val="0000FF"/>
          <w:szCs w:val="22"/>
        </w:rPr>
        <w:t>.</w:t>
      </w:r>
    </w:p>
    <w:p w:rsidR="006D78E9" w:rsidRPr="00030299" w:rsidP="006D78E9">
      <w:pPr>
        <w:jc w:val="center"/>
        <w:rPr>
          <w:szCs w:val="22"/>
        </w:rPr>
      </w:pPr>
      <w:r w:rsidRPr="00642846">
        <w:rPr>
          <w:b/>
          <w:szCs w:val="22"/>
        </w:rPr>
        <w:t>– FCC –</w:t>
      </w:r>
    </w:p>
    <w:p w:rsidR="006D78E9" w:rsidP="006D78E9">
      <w:pPr>
        <w:jc w:val="center"/>
        <w:rPr>
          <w:b/>
          <w:sz w:val="24"/>
        </w:rPr>
      </w:pPr>
    </w:p>
    <w:p w:rsidR="006D78E9" w:rsidP="006D78E9">
      <w:pPr>
        <w:jc w:val="center"/>
        <w:rPr>
          <w:sz w:val="24"/>
        </w:rPr>
      </w:pPr>
    </w:p>
    <w:p w:rsidR="006D78E9" w:rsidP="006D78E9">
      <w:pPr>
        <w:spacing w:before="120" w:after="240"/>
        <w:rPr>
          <w:sz w:val="24"/>
        </w:rPr>
      </w:pPr>
    </w:p>
    <w:p w:rsidR="006D78E9" w:rsidP="006D78E9">
      <w:pPr>
        <w:jc w:val="right"/>
        <w:rPr>
          <w:sz w:val="24"/>
        </w:rPr>
      </w:pPr>
    </w:p>
    <w:p w:rsidR="00602577" w:rsidP="006D78E9">
      <w:pPr>
        <w:spacing w:before="60"/>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470">
      <w:r>
        <w:separator/>
      </w:r>
    </w:p>
  </w:footnote>
  <w:footnote w:type="continuationSeparator" w:id="1">
    <w:p w:rsidR="00AD5470">
      <w:r>
        <w:continuationSeparator/>
      </w:r>
    </w:p>
  </w:footnote>
  <w:footnote w:id="2">
    <w:p w:rsidR="006D78E9" w:rsidRPr="00DB3097" w:rsidP="006D78E9">
      <w:pPr>
        <w:pStyle w:val="FootnoteText"/>
        <w:rPr>
          <w:sz w:val="20"/>
        </w:rPr>
      </w:pPr>
      <w:r w:rsidRPr="006E5B47">
        <w:rPr>
          <w:rStyle w:val="FootnoteReference"/>
          <w:sz w:val="20"/>
        </w:rPr>
        <w:footnoteRef/>
      </w:r>
      <w:r w:rsidRPr="006E5B47">
        <w:rPr>
          <w:sz w:val="20"/>
        </w:rPr>
        <w:t xml:space="preserve"> </w:t>
      </w:r>
      <w:r w:rsidRPr="000571A9">
        <w:rPr>
          <w:iCs/>
          <w:sz w:val="20"/>
        </w:rPr>
        <w:t>The TOM has conducted a TOEP webcast nearly every month, starting on December 9, 2015.</w:t>
      </w:r>
      <w:r>
        <w:rPr>
          <w:iCs/>
          <w:szCs w:val="22"/>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October 11, 2017; November 7, 2017; December 12, 2017; January 17, 2018; February 14, 2018; and March 14, 2018.</w:t>
      </w:r>
    </w:p>
  </w:footnote>
  <w:footnote w:id="3">
    <w:p w:rsidR="006D78E9" w:rsidRPr="00FE208C" w:rsidP="006D78E9">
      <w:pPr>
        <w:pStyle w:val="FootnoteText"/>
        <w:rPr>
          <w:sz w:val="20"/>
        </w:rPr>
      </w:pPr>
      <w:r>
        <w:rPr>
          <w:rStyle w:val="FootnoteReference"/>
        </w:rPr>
        <w:footnoteRef/>
      </w:r>
      <w:r>
        <w:t xml:space="preserve"> </w:t>
      </w:r>
      <w:r>
        <w:rPr>
          <w:sz w:val="20"/>
        </w:rPr>
        <w:t xml:space="preserve">Ancillary Services (the Enhanced Law Enforcement Platform, the Wireless Do-Not-Call Database, and Interactive Voice Response Services) were transitioned to iconectiv on March 4, 2018.  </w:t>
      </w:r>
      <w:r w:rsidRPr="00012385">
        <w:rPr>
          <w:i/>
          <w:sz w:val="20"/>
        </w:rPr>
        <w:t>See Wireline Competition Bureau Announces Transition of Wireless Do-Not-Call, Enhanced Law Enforcement Platform and Law Enforcement Public Safety Answering Point Interactive Voice Response Services to Next LNPA</w:t>
      </w:r>
      <w:r>
        <w:rPr>
          <w:sz w:val="20"/>
        </w:rPr>
        <w:t>, Public Notice, DA 18-218 (rel. Mar. 6, 2018).</w:t>
      </w:r>
    </w:p>
  </w:footnote>
  <w:footnote w:id="4">
    <w:p w:rsidR="006D78E9" w:rsidRPr="00FE208C" w:rsidP="006D78E9">
      <w:pPr>
        <w:pStyle w:val="FootnoteText"/>
        <w:rPr>
          <w:sz w:val="20"/>
        </w:rPr>
      </w:pPr>
      <w:bookmarkStart w:id="2" w:name="_Hlk509997360"/>
      <w:r>
        <w:rPr>
          <w:rStyle w:val="FootnoteReference"/>
        </w:rPr>
        <w:footnoteRef/>
      </w:r>
      <w:r>
        <w:t xml:space="preserve"> </w:t>
      </w:r>
      <w:r>
        <w:rPr>
          <w:sz w:val="20"/>
        </w:rPr>
        <w:t>The Southeast Region consists of nine states – Alabama, Florida, Georgia, Kentucky, Louisiana, Mississippi, North Carolina, South Carolina and Tennessee – and the U.S. territories of Puerto Rico and the U.S. Virgin Islands.</w:t>
      </w:r>
      <w:bookmarkEnd w:id="2"/>
    </w:p>
  </w:footnote>
  <w:footnote w:id="5">
    <w:p w:rsidR="006D78E9" w:rsidRPr="006E5B47" w:rsidP="006D78E9">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r>
        <w:fldChar w:fldCharType="begin"/>
      </w:r>
      <w:r>
        <w:instrText xml:space="preserve"> HYPERLINK "https://www.napmllc.org/Docs/npac/ref_docs/16-12%20-%20TOP.docx" </w:instrText>
      </w:r>
      <w:r>
        <w:fldChar w:fldCharType="separate"/>
      </w:r>
      <w:r w:rsidRPr="00DB3097">
        <w:rPr>
          <w:rStyle w:val="Hyperlink"/>
          <w:sz w:val="20"/>
        </w:rPr>
        <w:t>https://www.napmllc.org/Docs/npac/ref_docs/16-12%20-%20TOP.docx</w:t>
      </w:r>
      <w:r>
        <w:fldChar w:fldCharType="end"/>
      </w:r>
      <w:r w:rsidRPr="006E5B47">
        <w:rPr>
          <w:sz w:val="20"/>
        </w:rPr>
        <w:t>.</w:t>
      </w:r>
    </w:p>
  </w:footnote>
  <w:footnote w:id="6">
    <w:p w:rsidR="006D78E9" w:rsidRPr="00DB3097" w:rsidP="006D78E9">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w:t>
      </w:r>
      <w:r>
        <w:rPr>
          <w:color w:val="1A1919"/>
          <w:sz w:val="20"/>
        </w:rPr>
        <w:t>WCB</w:t>
      </w:r>
      <w:r w:rsidRPr="00DB3097">
        <w:rPr>
          <w:color w:val="1A1919"/>
          <w:sz w:val="20"/>
        </w:rPr>
        <w:t xml:space="preserve">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w:t>
      </w:r>
      <w:r>
        <w:rPr>
          <w:sz w:val="20"/>
        </w:rPr>
        <w:t xml:space="preserve"> (</w:t>
      </w:r>
      <w:r w:rsidRPr="00DB3097">
        <w:rPr>
          <w:i/>
          <w:color w:val="1A1919"/>
          <w:sz w:val="20"/>
        </w:rPr>
        <w:t>LNPA Ex Parte Status PN</w:t>
      </w:r>
      <w:r w:rsidRPr="00012385">
        <w:rPr>
          <w:color w:val="1A1919"/>
          <w:sz w:val="20"/>
        </w:rPr>
        <w:t>)</w:t>
      </w:r>
      <w:r w:rsidRPr="00DB3097">
        <w:rPr>
          <w:sz w:val="20"/>
        </w:rPr>
        <w:t>.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E9"/>
    <w:rsid w:val="00012385"/>
    <w:rsid w:val="000155DB"/>
    <w:rsid w:val="000265AE"/>
    <w:rsid w:val="00030299"/>
    <w:rsid w:val="000571A9"/>
    <w:rsid w:val="001C074F"/>
    <w:rsid w:val="003467CB"/>
    <w:rsid w:val="004612CB"/>
    <w:rsid w:val="00602577"/>
    <w:rsid w:val="00642846"/>
    <w:rsid w:val="006D78E9"/>
    <w:rsid w:val="006E5B47"/>
    <w:rsid w:val="007D5E50"/>
    <w:rsid w:val="00843D5F"/>
    <w:rsid w:val="00A209B7"/>
    <w:rsid w:val="00A374E4"/>
    <w:rsid w:val="00AD5470"/>
    <w:rsid w:val="00AE55B8"/>
    <w:rsid w:val="00AE62F6"/>
    <w:rsid w:val="00BD5FC3"/>
    <w:rsid w:val="00CA2239"/>
    <w:rsid w:val="00CD6943"/>
    <w:rsid w:val="00D17DC0"/>
    <w:rsid w:val="00D60EFF"/>
    <w:rsid w:val="00DB3097"/>
    <w:rsid w:val="00FE20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6D78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2018-03-28T19:33:55Z</dcterms:created>
  <dcterms:modified xsi:type="dcterms:W3CDTF">2018-03-28T19:33:55Z</dcterms:modified>
</cp:coreProperties>
</file>