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41EE5" w14:paraId="6D74E074" w14:textId="77777777">
      <w:bookmarkStart w:id="0" w:name="_GoBack"/>
      <w:bookmarkEnd w:id="0"/>
    </w:p>
    <w:p w:rsidR="00441EE5" w14:paraId="37D3A6EC" w14:textId="77777777"/>
    <w:p w:rsidR="00441EE5" w14:paraId="4DB76B0C" w14:textId="77777777"/>
    <w:p w:rsidR="00441EE5" w14:paraId="109297DC" w14:textId="5F6B2C88">
      <w:pPr>
        <w:jc w:val="right"/>
        <w:rPr>
          <w:b/>
          <w:sz w:val="24"/>
          <w:szCs w:val="24"/>
        </w:rPr>
      </w:pPr>
      <w:r>
        <w:tab/>
      </w:r>
      <w:r>
        <w:tab/>
      </w:r>
      <w:r>
        <w:tab/>
      </w:r>
      <w:r>
        <w:tab/>
      </w:r>
      <w:r>
        <w:tab/>
      </w:r>
      <w:r>
        <w:tab/>
      </w:r>
      <w:r>
        <w:tab/>
      </w:r>
      <w:r>
        <w:tab/>
      </w:r>
      <w:r>
        <w:tab/>
      </w:r>
      <w:r>
        <w:tab/>
      </w:r>
      <w:r>
        <w:rPr>
          <w:b/>
          <w:sz w:val="24"/>
          <w:szCs w:val="24"/>
        </w:rPr>
        <w:t xml:space="preserve">DA </w:t>
      </w:r>
      <w:r w:rsidRPr="004351AC" w:rsidR="004351AC">
        <w:rPr>
          <w:b/>
          <w:sz w:val="24"/>
          <w:szCs w:val="24"/>
        </w:rPr>
        <w:t>18-317</w:t>
      </w:r>
    </w:p>
    <w:p w:rsidR="00441EE5" w14:paraId="62D886FF" w14:textId="77777777">
      <w:pPr>
        <w:jc w:val="right"/>
        <w:rPr>
          <w:b/>
          <w:sz w:val="24"/>
          <w:szCs w:val="24"/>
        </w:rPr>
      </w:pPr>
    </w:p>
    <w:p w:rsidR="00441EE5" w14:paraId="27BFC7B2" w14:textId="77777777">
      <w:pPr>
        <w:jc w:val="center"/>
        <w:rPr>
          <w:b/>
          <w:sz w:val="36"/>
          <w:szCs w:val="36"/>
        </w:rPr>
      </w:pPr>
      <w:r>
        <w:rPr>
          <w:b/>
          <w:sz w:val="36"/>
          <w:szCs w:val="36"/>
        </w:rPr>
        <w:t>Small Entity Compliance Guide</w:t>
      </w:r>
    </w:p>
    <w:p w:rsidR="00441EE5" w14:paraId="035CB017" w14:textId="77777777">
      <w:pPr>
        <w:jc w:val="center"/>
        <w:rPr>
          <w:b/>
          <w:sz w:val="36"/>
          <w:szCs w:val="36"/>
        </w:rPr>
      </w:pPr>
    </w:p>
    <w:p w:rsidR="001B26BE" w:rsidRPr="005800C1" w:rsidP="001B26BE" w14:paraId="15DC0D38" w14:textId="77777777">
      <w:pPr>
        <w:tabs>
          <w:tab w:val="center" w:pos="4680"/>
        </w:tabs>
        <w:suppressAutoHyphens/>
        <w:jc w:val="center"/>
        <w:rPr>
          <w:b/>
          <w:spacing w:val="-2"/>
          <w:sz w:val="22"/>
          <w:szCs w:val="22"/>
        </w:rPr>
      </w:pPr>
      <w:r w:rsidRPr="005800C1">
        <w:rPr>
          <w:b/>
          <w:spacing w:val="-2"/>
          <w:sz w:val="22"/>
          <w:szCs w:val="22"/>
        </w:rPr>
        <w:t>Rules and Policies Regarding Calling Number Identification Service – Caller ID</w:t>
      </w:r>
    </w:p>
    <w:p w:rsidR="00E11C98" w:rsidRPr="005800C1" w:rsidP="008E37BA" w14:paraId="35F3CCED" w14:textId="77777777">
      <w:pPr>
        <w:tabs>
          <w:tab w:val="left" w:pos="360"/>
        </w:tabs>
        <w:ind w:left="1080" w:right="720"/>
        <w:jc w:val="center"/>
        <w:rPr>
          <w:b/>
          <w:sz w:val="22"/>
          <w:szCs w:val="22"/>
        </w:rPr>
      </w:pPr>
    </w:p>
    <w:p w:rsidR="00E11C98" w:rsidRPr="005800C1" w:rsidP="00E11C98" w14:paraId="650960AF" w14:textId="77777777">
      <w:pPr>
        <w:jc w:val="center"/>
        <w:rPr>
          <w:b/>
          <w:bCs/>
          <w:sz w:val="22"/>
          <w:szCs w:val="22"/>
        </w:rPr>
      </w:pPr>
      <w:r w:rsidRPr="005800C1">
        <w:rPr>
          <w:b/>
          <w:bCs/>
          <w:sz w:val="22"/>
          <w:szCs w:val="22"/>
        </w:rPr>
        <w:t>FCC 17-132</w:t>
      </w:r>
    </w:p>
    <w:p w:rsidR="00E11C98" w:rsidRPr="005800C1" w:rsidP="00E11C98" w14:paraId="33CF0971" w14:textId="77777777">
      <w:pPr>
        <w:jc w:val="center"/>
        <w:rPr>
          <w:sz w:val="22"/>
          <w:szCs w:val="22"/>
        </w:rPr>
      </w:pPr>
      <w:r w:rsidRPr="005800C1">
        <w:rPr>
          <w:b/>
          <w:spacing w:val="-2"/>
          <w:sz w:val="22"/>
          <w:szCs w:val="22"/>
        </w:rPr>
        <w:t>CC</w:t>
      </w:r>
      <w:r w:rsidRPr="005800C1">
        <w:rPr>
          <w:b/>
          <w:spacing w:val="-2"/>
          <w:sz w:val="22"/>
          <w:szCs w:val="22"/>
        </w:rPr>
        <w:t xml:space="preserve"> Docket No. </w:t>
      </w:r>
      <w:r w:rsidRPr="005800C1">
        <w:rPr>
          <w:b/>
          <w:spacing w:val="-2"/>
          <w:sz w:val="22"/>
          <w:szCs w:val="22"/>
        </w:rPr>
        <w:t>91-281</w:t>
      </w:r>
    </w:p>
    <w:p w:rsidR="00E11C98" w:rsidP="00424132" w14:paraId="28AA1529" w14:textId="77777777">
      <w:pPr>
        <w:tabs>
          <w:tab w:val="left" w:pos="360"/>
        </w:tabs>
        <w:ind w:left="1080" w:right="648"/>
        <w:jc w:val="both"/>
        <w:rPr>
          <w:b/>
          <w:sz w:val="22"/>
          <w:szCs w:val="22"/>
        </w:rPr>
      </w:pPr>
    </w:p>
    <w:p w:rsidR="00424132" w:rsidP="00424132" w14:paraId="1FFA88F5" w14:textId="77777777">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424132" w:rsidP="00424132" w14:paraId="6964E848" w14:textId="77777777">
      <w:pPr>
        <w:tabs>
          <w:tab w:val="left" w:pos="360"/>
        </w:tabs>
        <w:ind w:left="1080" w:right="720"/>
        <w:jc w:val="both"/>
        <w:rPr>
          <w:b/>
          <w:sz w:val="22"/>
          <w:szCs w:val="22"/>
        </w:rPr>
      </w:pPr>
    </w:p>
    <w:p w:rsidR="00424132" w:rsidP="00424132" w14:paraId="5F3004B8" w14:textId="77777777">
      <w:pPr>
        <w:tabs>
          <w:tab w:val="left" w:pos="360"/>
        </w:tabs>
        <w:ind w:left="1080" w:right="720"/>
        <w:jc w:val="both"/>
        <w:rPr>
          <w:b/>
          <w:sz w:val="22"/>
          <w:szCs w:val="22"/>
        </w:rPr>
      </w:pPr>
      <w:r>
        <w:rPr>
          <w:b/>
          <w:sz w:val="22"/>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 w:val="22"/>
              <w:szCs w:val="22"/>
            </w:rPr>
            <w:t>Consumer</w:t>
          </w:r>
        </w:smartTag>
        <w:r>
          <w:rPr>
            <w:b/>
            <w:sz w:val="22"/>
            <w:szCs w:val="22"/>
          </w:rPr>
          <w:t xml:space="preserve"> </w:t>
        </w:r>
        <w:smartTag w:uri="urn:schemas-microsoft-com:office:smarttags" w:element="PlaceType">
          <w:r>
            <w:rPr>
              <w:b/>
              <w:sz w:val="22"/>
              <w:szCs w:val="22"/>
            </w:rPr>
            <w:t>Center</w:t>
          </w:r>
        </w:smartTag>
      </w:smartTag>
      <w:r>
        <w:rPr>
          <w:b/>
          <w:sz w:val="22"/>
          <w:szCs w:val="22"/>
        </w:rPr>
        <w:t>:</w:t>
      </w:r>
    </w:p>
    <w:p w:rsidR="00424132" w:rsidP="00424132" w14:paraId="5031FCA1" w14:textId="77777777">
      <w:pPr>
        <w:rPr>
          <w:b/>
          <w:sz w:val="22"/>
          <w:szCs w:val="22"/>
        </w:rPr>
      </w:pPr>
    </w:p>
    <w:p w:rsidR="00424132" w:rsidP="00424132" w14:paraId="28B59B02" w14:textId="77777777">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424132" w:rsidP="00424132" w14:paraId="5A08727E" w14:textId="7D9BD2CF">
      <w:pPr>
        <w:jc w:val="center"/>
        <w:rPr>
          <w:b/>
          <w:color w:val="000000"/>
          <w:sz w:val="22"/>
          <w:szCs w:val="22"/>
        </w:rPr>
      </w:pPr>
      <w:r>
        <w:fldChar w:fldCharType="begin"/>
      </w:r>
      <w:r>
        <w:instrText xml:space="preserve"> HYPERLINK "mailto:fccinfo@fcc.gov" </w:instrText>
      </w:r>
      <w:r>
        <w:fldChar w:fldCharType="separate"/>
      </w:r>
      <w:r>
        <w:fldChar w:fldCharType="end"/>
      </w:r>
      <w:r w:rsidR="005800C1">
        <w:rPr>
          <w:rStyle w:val="Hyperlink"/>
          <w:b/>
          <w:sz w:val="22"/>
          <w:szCs w:val="22"/>
        </w:rPr>
        <w:t xml:space="preserve"> </w:t>
      </w:r>
    </w:p>
    <w:p w:rsidR="00424132" w:rsidP="00424132" w14:paraId="111D32A7" w14:textId="77777777">
      <w:pPr>
        <w:spacing w:before="120" w:after="120"/>
      </w:pPr>
      <w:r>
        <w:rPr>
          <w:b/>
          <w:bCs/>
          <w:color w:val="0000FF"/>
          <w:sz w:val="22"/>
          <w:szCs w:val="22"/>
        </w:rPr>
        <w:br w:type="page"/>
      </w:r>
    </w:p>
    <w:p w:rsidR="00E11C98" w:rsidP="00E11C98" w14:paraId="282CF335" w14:textId="77777777">
      <w:pPr>
        <w:jc w:val="center"/>
        <w:rPr>
          <w:b/>
          <w:sz w:val="24"/>
          <w:szCs w:val="24"/>
        </w:rPr>
      </w:pPr>
      <w:r>
        <w:rPr>
          <w:b/>
          <w:sz w:val="24"/>
          <w:szCs w:val="24"/>
        </w:rPr>
        <w:t>TABLE OF CONTENTS</w:t>
      </w:r>
    </w:p>
    <w:p w:rsidR="00E11C98" w:rsidP="00E11C98" w14:paraId="5F7AF71E" w14:textId="77777777">
      <w:pPr>
        <w:jc w:val="center"/>
        <w:rPr>
          <w:sz w:val="24"/>
          <w:szCs w:val="24"/>
        </w:rPr>
      </w:pPr>
    </w:p>
    <w:p w:rsidR="00E11C98" w:rsidP="00E11C98" w14:paraId="0B6722F4" w14:textId="77777777">
      <w:pPr>
        <w:numPr>
          <w:ilvl w:val="0"/>
          <w:numId w:val="10"/>
        </w:numPr>
        <w:tabs>
          <w:tab w:val="clear" w:pos="1080"/>
        </w:tabs>
        <w:ind w:left="0" w:firstLine="0"/>
        <w:rPr>
          <w:sz w:val="24"/>
          <w:szCs w:val="24"/>
        </w:rPr>
      </w:pPr>
      <w:r>
        <w:rPr>
          <w:sz w:val="24"/>
          <w:szCs w:val="24"/>
        </w:rPr>
        <w:t>OBJECTIVES OF THE PROCEEDING……………………………………</w:t>
      </w:r>
      <w:r w:rsidR="00112921">
        <w:rPr>
          <w:sz w:val="24"/>
          <w:szCs w:val="24"/>
        </w:rPr>
        <w:t>…….</w:t>
      </w:r>
      <w:r>
        <w:rPr>
          <w:sz w:val="24"/>
          <w:szCs w:val="24"/>
        </w:rPr>
        <w:t>……</w:t>
      </w:r>
      <w:r w:rsidR="00AD134D">
        <w:rPr>
          <w:sz w:val="24"/>
          <w:szCs w:val="24"/>
        </w:rPr>
        <w:t>....3</w:t>
      </w:r>
    </w:p>
    <w:p w:rsidR="00E11C98" w:rsidP="00E11C98" w14:paraId="0EB49115" w14:textId="77777777">
      <w:pPr>
        <w:rPr>
          <w:sz w:val="24"/>
          <w:szCs w:val="24"/>
        </w:rPr>
      </w:pPr>
    </w:p>
    <w:p w:rsidR="00E11C98" w:rsidP="00E11C98" w14:paraId="402E8D13" w14:textId="77777777">
      <w:pPr>
        <w:numPr>
          <w:ilvl w:val="0"/>
          <w:numId w:val="10"/>
        </w:numPr>
        <w:tabs>
          <w:tab w:val="clear" w:pos="1080"/>
        </w:tabs>
        <w:ind w:left="720"/>
        <w:rPr>
          <w:sz w:val="24"/>
          <w:szCs w:val="24"/>
        </w:rPr>
      </w:pPr>
      <w:r>
        <w:rPr>
          <w:sz w:val="24"/>
          <w:szCs w:val="24"/>
        </w:rPr>
        <w:t>COMPLIANCE REQUIREMENTS ……………….…</w:t>
      </w:r>
      <w:r w:rsidR="00112921">
        <w:rPr>
          <w:sz w:val="24"/>
          <w:szCs w:val="24"/>
        </w:rPr>
        <w:t>……………………….………….3</w:t>
      </w:r>
    </w:p>
    <w:p w:rsidR="00E11C98" w:rsidP="00E11C98" w14:paraId="54E6DF74" w14:textId="77777777">
      <w:pPr>
        <w:rPr>
          <w:sz w:val="24"/>
          <w:szCs w:val="24"/>
        </w:rPr>
      </w:pPr>
    </w:p>
    <w:p w:rsidR="00E11C98" w:rsidP="00E11C98" w14:paraId="38173EE8" w14:textId="77777777">
      <w:pPr>
        <w:numPr>
          <w:ilvl w:val="0"/>
          <w:numId w:val="10"/>
        </w:numPr>
        <w:tabs>
          <w:tab w:val="clear" w:pos="1080"/>
        </w:tabs>
        <w:ind w:left="720"/>
        <w:rPr>
          <w:sz w:val="24"/>
          <w:szCs w:val="24"/>
        </w:rPr>
      </w:pPr>
      <w:r>
        <w:rPr>
          <w:sz w:val="24"/>
          <w:szCs w:val="24"/>
        </w:rPr>
        <w:t>RECORDKEEPING AND REPORTING REQUIREMENTS……</w:t>
      </w:r>
      <w:r>
        <w:rPr>
          <w:sz w:val="24"/>
          <w:szCs w:val="24"/>
        </w:rPr>
        <w:t>…………………………………</w:t>
      </w:r>
      <w:r>
        <w:rPr>
          <w:sz w:val="24"/>
          <w:szCs w:val="24"/>
        </w:rPr>
        <w:t>…</w:t>
      </w:r>
      <w:r>
        <w:rPr>
          <w:sz w:val="24"/>
          <w:szCs w:val="24"/>
        </w:rPr>
        <w:t>…………………</w:t>
      </w:r>
      <w:r>
        <w:rPr>
          <w:sz w:val="24"/>
          <w:szCs w:val="24"/>
        </w:rPr>
        <w:t>…..</w:t>
      </w:r>
      <w:r>
        <w:rPr>
          <w:sz w:val="24"/>
          <w:szCs w:val="24"/>
        </w:rPr>
        <w:t>…</w:t>
      </w:r>
      <w:r w:rsidRPr="00CE0908">
        <w:rPr>
          <w:sz w:val="24"/>
          <w:szCs w:val="24"/>
        </w:rPr>
        <w:t>.…</w:t>
      </w:r>
      <w:r>
        <w:rPr>
          <w:sz w:val="24"/>
          <w:szCs w:val="24"/>
        </w:rPr>
        <w:t>…</w:t>
      </w:r>
      <w:r w:rsidR="00ED1E65">
        <w:rPr>
          <w:sz w:val="24"/>
          <w:szCs w:val="24"/>
        </w:rPr>
        <w:t>4</w:t>
      </w:r>
    </w:p>
    <w:p w:rsidR="00112921" w:rsidP="00112921" w14:paraId="6ED514FB" w14:textId="77777777">
      <w:pPr>
        <w:pStyle w:val="ListParagraph"/>
        <w:rPr>
          <w:sz w:val="24"/>
          <w:szCs w:val="24"/>
        </w:rPr>
      </w:pPr>
    </w:p>
    <w:p w:rsidR="00112921" w:rsidRPr="00CE0908" w:rsidP="00E11C98" w14:paraId="7F92E50E" w14:textId="77777777">
      <w:pPr>
        <w:numPr>
          <w:ilvl w:val="0"/>
          <w:numId w:val="10"/>
        </w:numPr>
        <w:tabs>
          <w:tab w:val="clear" w:pos="1080"/>
        </w:tabs>
        <w:ind w:left="720"/>
        <w:rPr>
          <w:sz w:val="24"/>
          <w:szCs w:val="24"/>
        </w:rPr>
      </w:pPr>
      <w:r>
        <w:rPr>
          <w:sz w:val="24"/>
          <w:szCs w:val="24"/>
        </w:rPr>
        <w:t>IMPLEMENTATION DATE……………………………………………………………..4</w:t>
      </w:r>
    </w:p>
    <w:p w:rsidR="00E11C98" w:rsidP="00E11C98" w14:paraId="416A3E4D" w14:textId="77777777">
      <w:pPr>
        <w:rPr>
          <w:sz w:val="24"/>
          <w:szCs w:val="24"/>
        </w:rPr>
      </w:pPr>
    </w:p>
    <w:p w:rsidR="00E11C98" w:rsidP="00E11C98" w14:paraId="23E4DF53" w14:textId="77777777">
      <w:pPr>
        <w:numPr>
          <w:ilvl w:val="0"/>
          <w:numId w:val="10"/>
        </w:numPr>
        <w:tabs>
          <w:tab w:val="clear" w:pos="1080"/>
        </w:tabs>
        <w:ind w:left="0" w:firstLine="0"/>
        <w:rPr>
          <w:sz w:val="24"/>
          <w:szCs w:val="24"/>
        </w:rPr>
      </w:pPr>
      <w:r>
        <w:rPr>
          <w:sz w:val="24"/>
          <w:szCs w:val="24"/>
        </w:rPr>
        <w:t>WEBLINKS………………………………………………</w:t>
      </w:r>
      <w:r w:rsidR="00112921">
        <w:rPr>
          <w:sz w:val="24"/>
          <w:szCs w:val="24"/>
        </w:rPr>
        <w:t>…….</w:t>
      </w:r>
      <w:r>
        <w:rPr>
          <w:sz w:val="24"/>
          <w:szCs w:val="24"/>
        </w:rPr>
        <w:t>………….……...………</w:t>
      </w:r>
      <w:r w:rsidR="00ED1E65">
        <w:rPr>
          <w:sz w:val="24"/>
          <w:szCs w:val="24"/>
        </w:rPr>
        <w:t>4</w:t>
      </w:r>
    </w:p>
    <w:p w:rsidR="00E11C98" w:rsidP="00E11C98" w14:paraId="1E583458" w14:textId="77777777">
      <w:pPr>
        <w:rPr>
          <w:sz w:val="24"/>
          <w:szCs w:val="24"/>
        </w:rPr>
      </w:pPr>
    </w:p>
    <w:p w:rsidR="00E11C98" w:rsidRPr="005800C1" w:rsidP="001B26BE" w14:paraId="38DCC87F" w14:textId="77777777">
      <w:pPr>
        <w:pStyle w:val="ListParagraph"/>
        <w:numPr>
          <w:ilvl w:val="0"/>
          <w:numId w:val="14"/>
        </w:numPr>
        <w:rPr>
          <w:b/>
          <w:sz w:val="22"/>
          <w:szCs w:val="22"/>
        </w:rPr>
      </w:pPr>
      <w:r w:rsidRPr="001B26BE">
        <w:rPr>
          <w:sz w:val="24"/>
          <w:szCs w:val="24"/>
        </w:rPr>
        <w:br w:type="page"/>
      </w:r>
      <w:r w:rsidRPr="005800C1">
        <w:rPr>
          <w:b/>
          <w:sz w:val="22"/>
          <w:szCs w:val="22"/>
        </w:rPr>
        <w:t>OBJECTIVES OF THE PROCEEDING</w:t>
      </w:r>
    </w:p>
    <w:p w:rsidR="001B26BE" w:rsidRPr="005800C1" w:rsidP="001B26BE" w14:paraId="09047047" w14:textId="77777777">
      <w:pPr>
        <w:rPr>
          <w:sz w:val="22"/>
          <w:szCs w:val="22"/>
        </w:rPr>
      </w:pPr>
    </w:p>
    <w:p w:rsidR="00E11C98" w:rsidRPr="00B67F43" w:rsidP="00E11C98" w14:paraId="0A5419DB" w14:textId="7C08D19F">
      <w:pPr>
        <w:rPr>
          <w:sz w:val="22"/>
          <w:szCs w:val="22"/>
        </w:rPr>
      </w:pPr>
      <w:r w:rsidRPr="005800C1">
        <w:rPr>
          <w:sz w:val="22"/>
          <w:szCs w:val="22"/>
        </w:rPr>
        <w:t xml:space="preserve">In </w:t>
      </w:r>
      <w:r w:rsidRPr="005800C1" w:rsidR="00B10E80">
        <w:rPr>
          <w:sz w:val="22"/>
          <w:szCs w:val="22"/>
        </w:rPr>
        <w:t>its</w:t>
      </w:r>
      <w:r w:rsidRPr="005800C1">
        <w:rPr>
          <w:sz w:val="22"/>
          <w:szCs w:val="22"/>
        </w:rPr>
        <w:t xml:space="preserve"> </w:t>
      </w:r>
      <w:r w:rsidRPr="005800C1">
        <w:rPr>
          <w:i/>
          <w:sz w:val="22"/>
          <w:szCs w:val="22"/>
        </w:rPr>
        <w:t>Report and Order</w:t>
      </w:r>
      <w:r w:rsidRPr="005800C1">
        <w:rPr>
          <w:sz w:val="22"/>
          <w:szCs w:val="22"/>
        </w:rPr>
        <w:t xml:space="preserve"> in CC Docket 91-281, the Commission</w:t>
      </w:r>
      <w:r w:rsidRPr="005800C1" w:rsidR="009E4323">
        <w:rPr>
          <w:sz w:val="22"/>
          <w:szCs w:val="22"/>
        </w:rPr>
        <w:t xml:space="preserve"> amended</w:t>
      </w:r>
      <w:r w:rsidRPr="005800C1">
        <w:rPr>
          <w:sz w:val="22"/>
          <w:szCs w:val="22"/>
        </w:rPr>
        <w:t xml:space="preserve"> rules</w:t>
      </w:r>
      <w:r>
        <w:rPr>
          <w:rStyle w:val="FootnoteReference"/>
          <w:szCs w:val="22"/>
        </w:rPr>
        <w:footnoteReference w:id="2"/>
      </w:r>
      <w:r w:rsidRPr="005800C1" w:rsidR="00104FB4">
        <w:rPr>
          <w:sz w:val="22"/>
          <w:szCs w:val="22"/>
        </w:rPr>
        <w:t xml:space="preserve"> that </w:t>
      </w:r>
      <w:r w:rsidRPr="005800C1">
        <w:rPr>
          <w:sz w:val="22"/>
          <w:szCs w:val="22"/>
        </w:rPr>
        <w:t>are intended to provide a more streamlined approach to investigating threatening calls from a blocked number.  Additionally, t</w:t>
      </w:r>
      <w:r w:rsidRPr="00B67F43">
        <w:rPr>
          <w:sz w:val="22"/>
          <w:szCs w:val="22"/>
        </w:rPr>
        <w:t xml:space="preserve">he </w:t>
      </w:r>
      <w:r w:rsidRPr="00B67F43">
        <w:rPr>
          <w:i/>
          <w:sz w:val="22"/>
          <w:szCs w:val="22"/>
        </w:rPr>
        <w:t>Report and Order</w:t>
      </w:r>
      <w:r w:rsidRPr="00B67F43">
        <w:rPr>
          <w:sz w:val="22"/>
          <w:szCs w:val="22"/>
        </w:rPr>
        <w:t xml:space="preserve"> amends the Commission’s rules to allow non-public emergency services to obtain blocked Caller ID information associated with calls requesting assistance.</w:t>
      </w:r>
      <w:r>
        <w:rPr>
          <w:rStyle w:val="FootnoteReference"/>
          <w:szCs w:val="22"/>
        </w:rPr>
        <w:footnoteReference w:id="3"/>
      </w:r>
    </w:p>
    <w:p w:rsidR="001B26BE" w:rsidRPr="005800C1" w:rsidP="00E11C98" w14:paraId="577093AA" w14:textId="77777777">
      <w:pPr>
        <w:rPr>
          <w:sz w:val="22"/>
          <w:szCs w:val="22"/>
        </w:rPr>
      </w:pPr>
    </w:p>
    <w:p w:rsidR="001B26BE" w:rsidP="00E11C98" w14:paraId="14DDC7F0" w14:textId="5835B608">
      <w:pPr>
        <w:rPr>
          <w:sz w:val="22"/>
        </w:rPr>
      </w:pPr>
      <w:r w:rsidRPr="001B26BE">
        <w:rPr>
          <w:sz w:val="22"/>
        </w:rPr>
        <w:t xml:space="preserve">Specifically, in the </w:t>
      </w:r>
      <w:r w:rsidRPr="001B26BE">
        <w:rPr>
          <w:i/>
          <w:sz w:val="22"/>
        </w:rPr>
        <w:t>Report and Order</w:t>
      </w:r>
      <w:r w:rsidRPr="001B26BE">
        <w:rPr>
          <w:sz w:val="22"/>
        </w:rPr>
        <w:t xml:space="preserve"> the Commission amended its rules to</w:t>
      </w:r>
      <w:r>
        <w:rPr>
          <w:sz w:val="22"/>
        </w:rPr>
        <w:t xml:space="preserve"> (a) </w:t>
      </w:r>
      <w:r w:rsidR="007E1616">
        <w:rPr>
          <w:sz w:val="22"/>
        </w:rPr>
        <w:t xml:space="preserve">create an exemption from Caller ID privacy rules </w:t>
      </w:r>
      <w:r w:rsidR="005A4F46">
        <w:rPr>
          <w:sz w:val="22"/>
        </w:rPr>
        <w:t>for threatening calls with blocked Caller ID</w:t>
      </w:r>
      <w:r w:rsidR="0072669D">
        <w:rPr>
          <w:sz w:val="22"/>
        </w:rPr>
        <w:t>, and (b) create an exemption from Caller ID privacy rules for calls to</w:t>
      </w:r>
      <w:r w:rsidR="00B60CE5">
        <w:rPr>
          <w:sz w:val="22"/>
        </w:rPr>
        <w:t xml:space="preserve"> </w:t>
      </w:r>
      <w:r w:rsidR="009E4323">
        <w:rPr>
          <w:sz w:val="22"/>
        </w:rPr>
        <w:t xml:space="preserve">non-public </w:t>
      </w:r>
      <w:r w:rsidR="00B60CE5">
        <w:rPr>
          <w:sz w:val="22"/>
        </w:rPr>
        <w:t xml:space="preserve">emergency services from </w:t>
      </w:r>
      <w:r w:rsidR="0072669D">
        <w:rPr>
          <w:sz w:val="22"/>
        </w:rPr>
        <w:t xml:space="preserve">a blocked Caller ID. </w:t>
      </w:r>
      <w:r w:rsidR="00880C6F">
        <w:rPr>
          <w:sz w:val="22"/>
        </w:rPr>
        <w:t xml:space="preserve"> </w:t>
      </w:r>
      <w:r w:rsidR="00880C6F">
        <w:rPr>
          <w:sz w:val="22"/>
          <w:szCs w:val="24"/>
        </w:rPr>
        <w:t xml:space="preserve">The decisions in the </w:t>
      </w:r>
      <w:r w:rsidR="00880C6F">
        <w:rPr>
          <w:i/>
          <w:sz w:val="22"/>
          <w:szCs w:val="24"/>
        </w:rPr>
        <w:t xml:space="preserve">Report and Order </w:t>
      </w:r>
      <w:r w:rsidR="00880C6F">
        <w:rPr>
          <w:sz w:val="22"/>
          <w:szCs w:val="24"/>
        </w:rPr>
        <w:t>streamline the investigation of threatening calls by removing the waiver process the Commission previously used.</w:t>
      </w:r>
    </w:p>
    <w:p w:rsidR="0072669D" w:rsidP="00E11C98" w14:paraId="1B4BFA3D" w14:textId="77777777">
      <w:pPr>
        <w:rPr>
          <w:sz w:val="22"/>
        </w:rPr>
      </w:pPr>
    </w:p>
    <w:p w:rsidR="00F935B3" w:rsidRPr="00F935B3" w:rsidP="00F935B3" w14:paraId="34A619A4" w14:textId="421920E6">
      <w:pPr>
        <w:autoSpaceDE w:val="0"/>
        <w:autoSpaceDN w:val="0"/>
        <w:adjustRightInd w:val="0"/>
        <w:rPr>
          <w:rFonts w:ascii="TimesNewRoman" w:hAnsi="TimesNewRoman" w:cs="TimesNewRoman"/>
          <w:color w:val="010101"/>
          <w:sz w:val="22"/>
          <w:szCs w:val="22"/>
        </w:rPr>
      </w:pPr>
      <w:r>
        <w:rPr>
          <w:sz w:val="22"/>
          <w:szCs w:val="24"/>
        </w:rPr>
        <w:t xml:space="preserve">The decisions made in this </w:t>
      </w:r>
      <w:r w:rsidR="009E33C4">
        <w:rPr>
          <w:i/>
          <w:sz w:val="22"/>
          <w:szCs w:val="24"/>
        </w:rPr>
        <w:t>Report and Order</w:t>
      </w:r>
      <w:r w:rsidR="009E33C4">
        <w:rPr>
          <w:sz w:val="22"/>
          <w:szCs w:val="24"/>
        </w:rPr>
        <w:t xml:space="preserve"> will help law enforcement investigate threatening calls</w:t>
      </w:r>
      <w:r w:rsidR="008B0433">
        <w:rPr>
          <w:sz w:val="22"/>
          <w:szCs w:val="24"/>
        </w:rPr>
        <w:t xml:space="preserve"> and places the burden of determining what constitutes a threatening call on law enforcement rather than small businesses.</w:t>
      </w:r>
      <w:r>
        <w:rPr>
          <w:rStyle w:val="FootnoteReference"/>
          <w:szCs w:val="24"/>
        </w:rPr>
        <w:footnoteReference w:id="4"/>
      </w:r>
      <w:r w:rsidR="009E33C4">
        <w:rPr>
          <w:sz w:val="22"/>
          <w:szCs w:val="24"/>
        </w:rPr>
        <w:t xml:space="preserve">  Also, these decisions will aid in the provision of private emergency services to callers with blocked Caller ID. </w:t>
      </w:r>
      <w:r w:rsidR="00880C6F">
        <w:rPr>
          <w:sz w:val="22"/>
          <w:szCs w:val="24"/>
        </w:rPr>
        <w:t xml:space="preserve"> </w:t>
      </w:r>
      <w:r w:rsidR="008F08FF">
        <w:rPr>
          <w:sz w:val="22"/>
          <w:szCs w:val="24"/>
        </w:rPr>
        <w:t>At least one large, private emergency service, Chevrah Hatzalah Volunteer Ambulance Corps Inc. (Hatzalah)</w:t>
      </w:r>
      <w:r w:rsidR="00104FB4">
        <w:rPr>
          <w:sz w:val="22"/>
          <w:szCs w:val="24"/>
        </w:rPr>
        <w:t>,</w:t>
      </w:r>
      <w:r w:rsidR="008F08FF">
        <w:rPr>
          <w:sz w:val="22"/>
          <w:szCs w:val="24"/>
        </w:rPr>
        <w:t xml:space="preserve"> </w:t>
      </w:r>
      <w:r w:rsidR="00E05438">
        <w:rPr>
          <w:sz w:val="22"/>
          <w:szCs w:val="24"/>
        </w:rPr>
        <w:t xml:space="preserve">operates using a computer-aided dispatch system </w:t>
      </w:r>
      <w:r w:rsidRPr="00F935B3">
        <w:rPr>
          <w:rFonts w:ascii="TimesNewRoman" w:hAnsi="TimesNewRoman" w:cs="TimesNewRoman"/>
          <w:color w:val="010101"/>
          <w:sz w:val="22"/>
          <w:szCs w:val="22"/>
        </w:rPr>
        <w:t>“that provides</w:t>
      </w:r>
    </w:p>
    <w:p w:rsidR="00F935B3" w:rsidRPr="009D070F" w:rsidP="00F935B3" w14:paraId="633267AA" w14:textId="77777777">
      <w:pPr>
        <w:autoSpaceDE w:val="0"/>
        <w:autoSpaceDN w:val="0"/>
        <w:adjustRightInd w:val="0"/>
        <w:rPr>
          <w:rFonts w:ascii="TimesNewRoman" w:hAnsi="TimesNewRoman" w:cs="TimesNewRoman"/>
          <w:color w:val="010101"/>
          <w:sz w:val="22"/>
          <w:szCs w:val="22"/>
        </w:rPr>
      </w:pPr>
      <w:r w:rsidRPr="009D070F">
        <w:rPr>
          <w:rFonts w:ascii="TimesNewRoman" w:hAnsi="TimesNewRoman" w:cs="TimesNewRoman"/>
          <w:color w:val="010101"/>
          <w:sz w:val="22"/>
          <w:szCs w:val="22"/>
        </w:rPr>
        <w:t>dispatchers with instant caller identification and location for calls received from areas where it provides</w:t>
      </w:r>
    </w:p>
    <w:p w:rsidR="0072669D" w:rsidRPr="004A2590" w:rsidP="00275E0B" w14:paraId="4CCBA48A" w14:textId="590FE062">
      <w:pPr>
        <w:autoSpaceDE w:val="0"/>
        <w:autoSpaceDN w:val="0"/>
        <w:adjustRightInd w:val="0"/>
        <w:rPr>
          <w:rFonts w:ascii="TimesNewRoman" w:hAnsi="TimesNewRoman" w:cs="TimesNewRoman"/>
          <w:color w:val="010101"/>
          <w:sz w:val="22"/>
          <w:szCs w:val="22"/>
        </w:rPr>
      </w:pPr>
      <w:r w:rsidRPr="00EB51CA">
        <w:rPr>
          <w:rFonts w:ascii="TimesNewRoman" w:hAnsi="TimesNewRoman" w:cs="TimesNewRoman"/>
          <w:color w:val="010101"/>
          <w:sz w:val="22"/>
          <w:szCs w:val="22"/>
        </w:rPr>
        <w:t xml:space="preserve">ambulance service.  </w:t>
      </w:r>
      <w:r w:rsidRPr="00EB51CA" w:rsidR="009D070F">
        <w:rPr>
          <w:rFonts w:ascii="TimesNewRoman" w:hAnsi="TimesNewRoman" w:cs="TimesNewRoman"/>
          <w:color w:val="010101"/>
          <w:sz w:val="22"/>
          <w:szCs w:val="22"/>
        </w:rPr>
        <w:t>This</w:t>
      </w:r>
      <w:r w:rsidR="00B67F43">
        <w:rPr>
          <w:rFonts w:ascii="TimesNewRoman" w:hAnsi="TimesNewRoman" w:cs="TimesNewRoman"/>
          <w:color w:val="010101"/>
          <w:sz w:val="22"/>
          <w:szCs w:val="22"/>
        </w:rPr>
        <w:t>…</w:t>
      </w:r>
      <w:r w:rsidRPr="009D070F">
        <w:rPr>
          <w:rFonts w:ascii="TimesNewRoman" w:hAnsi="TimesNewRoman" w:cs="TimesNewRoman"/>
          <w:color w:val="010101"/>
          <w:sz w:val="22"/>
          <w:szCs w:val="22"/>
        </w:rPr>
        <w:t>system eliminates the need for the dispatcher to obtain</w:t>
      </w:r>
      <w:r w:rsidR="003747A6">
        <w:rPr>
          <w:rFonts w:ascii="TimesNewRoman" w:hAnsi="TimesNewRoman" w:cs="TimesNewRoman"/>
          <w:color w:val="010101"/>
          <w:sz w:val="22"/>
          <w:szCs w:val="22"/>
        </w:rPr>
        <w:t xml:space="preserve"> </w:t>
      </w:r>
      <w:r w:rsidRPr="009D070F">
        <w:rPr>
          <w:rFonts w:ascii="TimesNewRoman" w:hAnsi="TimesNewRoman" w:cs="TimesNewRoman"/>
          <w:color w:val="010101"/>
          <w:sz w:val="22"/>
          <w:szCs w:val="22"/>
        </w:rPr>
        <w:t>contact information from the caller, who may be unable to provide it due to the emergency that prompted</w:t>
      </w:r>
      <w:r w:rsidR="003747A6">
        <w:rPr>
          <w:rFonts w:ascii="TimesNewRoman" w:hAnsi="TimesNewRoman" w:cs="TimesNewRoman"/>
          <w:color w:val="010101"/>
          <w:sz w:val="22"/>
          <w:szCs w:val="22"/>
        </w:rPr>
        <w:t xml:space="preserve"> </w:t>
      </w:r>
      <w:r w:rsidRPr="00EB51CA">
        <w:rPr>
          <w:rFonts w:ascii="TimesNewRoman" w:hAnsi="TimesNewRoman" w:cs="TimesNewRoman"/>
          <w:color w:val="010101"/>
          <w:sz w:val="22"/>
          <w:szCs w:val="22"/>
        </w:rPr>
        <w:t>the call.”</w:t>
      </w:r>
      <w:r>
        <w:rPr>
          <w:rStyle w:val="FootnoteReference"/>
          <w:rFonts w:cs="TimesNewRoman"/>
          <w:szCs w:val="22"/>
        </w:rPr>
        <w:footnoteReference w:id="5"/>
      </w:r>
      <w:r>
        <w:rPr>
          <w:rFonts w:ascii="TimesNewRoman" w:hAnsi="TimesNewRoman" w:cs="TimesNewRoman"/>
          <w:color w:val="010101"/>
          <w:sz w:val="22"/>
          <w:szCs w:val="22"/>
        </w:rPr>
        <w:t xml:space="preserve"> </w:t>
      </w:r>
      <w:r w:rsidR="00E05438">
        <w:rPr>
          <w:sz w:val="22"/>
          <w:szCs w:val="24"/>
        </w:rPr>
        <w:t xml:space="preserve">The </w:t>
      </w:r>
      <w:r w:rsidR="00E05438">
        <w:rPr>
          <w:i/>
          <w:sz w:val="22"/>
          <w:szCs w:val="24"/>
        </w:rPr>
        <w:t>Report and Order</w:t>
      </w:r>
      <w:r w:rsidR="00E05438">
        <w:rPr>
          <w:sz w:val="22"/>
          <w:szCs w:val="24"/>
        </w:rPr>
        <w:t xml:space="preserve"> now allows </w:t>
      </w:r>
      <w:r w:rsidR="00EB51CA">
        <w:rPr>
          <w:sz w:val="22"/>
          <w:szCs w:val="24"/>
        </w:rPr>
        <w:t xml:space="preserve">non-public </w:t>
      </w:r>
      <w:r w:rsidR="00E05438">
        <w:rPr>
          <w:sz w:val="22"/>
          <w:szCs w:val="24"/>
        </w:rPr>
        <w:t>emergency services</w:t>
      </w:r>
      <w:r>
        <w:rPr>
          <w:rStyle w:val="FootnoteReference"/>
          <w:szCs w:val="24"/>
        </w:rPr>
        <w:footnoteReference w:id="6"/>
      </w:r>
      <w:r w:rsidR="00E05438">
        <w:rPr>
          <w:sz w:val="22"/>
          <w:szCs w:val="24"/>
        </w:rPr>
        <w:t xml:space="preserve"> to return a call if the calling party</w:t>
      </w:r>
      <w:r w:rsidR="00B3069F">
        <w:rPr>
          <w:sz w:val="22"/>
          <w:szCs w:val="24"/>
        </w:rPr>
        <w:t xml:space="preserve"> has blocked caller ID but</w:t>
      </w:r>
      <w:r w:rsidR="00E05438">
        <w:rPr>
          <w:sz w:val="22"/>
          <w:szCs w:val="24"/>
        </w:rPr>
        <w:t xml:space="preserve"> is disconnected, and allows such services to obtain caller location information using a computer-aided dispatch system when location information cannot be readily obtained from callers in distress.</w:t>
      </w:r>
      <w:r>
        <w:rPr>
          <w:rStyle w:val="FootnoteReference"/>
          <w:szCs w:val="24"/>
        </w:rPr>
        <w:footnoteReference w:id="7"/>
      </w:r>
    </w:p>
    <w:p w:rsidR="007345F6" w:rsidP="00E11C98" w14:paraId="3B742CAE" w14:textId="77777777">
      <w:pPr>
        <w:rPr>
          <w:sz w:val="22"/>
          <w:szCs w:val="24"/>
        </w:rPr>
      </w:pPr>
    </w:p>
    <w:p w:rsidR="007345F6" w:rsidP="007345F6" w14:paraId="72E2F449" w14:textId="77777777">
      <w:pPr>
        <w:pStyle w:val="ListParagraph"/>
        <w:numPr>
          <w:ilvl w:val="0"/>
          <w:numId w:val="12"/>
        </w:numPr>
        <w:rPr>
          <w:sz w:val="22"/>
          <w:szCs w:val="24"/>
        </w:rPr>
      </w:pPr>
      <w:r>
        <w:rPr>
          <w:b/>
          <w:sz w:val="22"/>
          <w:szCs w:val="24"/>
        </w:rPr>
        <w:t>COMPLIANCE REQUIREMENTS</w:t>
      </w:r>
    </w:p>
    <w:p w:rsidR="007345F6" w:rsidP="007345F6" w14:paraId="07C29600" w14:textId="77777777">
      <w:pPr>
        <w:rPr>
          <w:sz w:val="22"/>
          <w:szCs w:val="24"/>
        </w:rPr>
      </w:pPr>
    </w:p>
    <w:p w:rsidR="00371133" w:rsidP="007345F6" w14:paraId="4F012CAE" w14:textId="39962AA1">
      <w:pPr>
        <w:rPr>
          <w:sz w:val="22"/>
          <w:szCs w:val="24"/>
        </w:rPr>
      </w:pPr>
      <w:r>
        <w:rPr>
          <w:sz w:val="22"/>
          <w:szCs w:val="24"/>
        </w:rPr>
        <w:t xml:space="preserve">The </w:t>
      </w:r>
      <w:r>
        <w:rPr>
          <w:i/>
          <w:sz w:val="22"/>
          <w:szCs w:val="24"/>
        </w:rPr>
        <w:t xml:space="preserve">Report and Order </w:t>
      </w:r>
      <w:r>
        <w:rPr>
          <w:sz w:val="22"/>
          <w:szCs w:val="24"/>
        </w:rPr>
        <w:t xml:space="preserve">creates exemptions </w:t>
      </w:r>
      <w:r w:rsidR="00104FB4">
        <w:rPr>
          <w:sz w:val="22"/>
          <w:szCs w:val="24"/>
        </w:rPr>
        <w:t>from the caller ID privacy rules of</w:t>
      </w:r>
      <w:r>
        <w:rPr>
          <w:sz w:val="22"/>
          <w:szCs w:val="24"/>
        </w:rPr>
        <w:t xml:space="preserve"> </w:t>
      </w:r>
      <w:r w:rsidR="00C066E2">
        <w:rPr>
          <w:sz w:val="22"/>
          <w:szCs w:val="24"/>
        </w:rPr>
        <w:t>section 64.1601(b)</w:t>
      </w:r>
      <w:r w:rsidR="00B67F43">
        <w:rPr>
          <w:sz w:val="22"/>
          <w:szCs w:val="24"/>
        </w:rPr>
        <w:t xml:space="preserve"> of the Commission’s rules</w:t>
      </w:r>
      <w:r w:rsidR="009429BF">
        <w:rPr>
          <w:sz w:val="22"/>
          <w:szCs w:val="24"/>
        </w:rPr>
        <w:t xml:space="preserve">, which requires that </w:t>
      </w:r>
      <w:r w:rsidR="00C066E2">
        <w:rPr>
          <w:sz w:val="22"/>
          <w:szCs w:val="24"/>
        </w:rPr>
        <w:t>“originating carriers</w:t>
      </w:r>
      <w:r w:rsidR="00104FB4">
        <w:rPr>
          <w:sz w:val="22"/>
          <w:szCs w:val="24"/>
        </w:rPr>
        <w:t xml:space="preserve"> . . . </w:t>
      </w:r>
      <w:r w:rsidR="00C066E2">
        <w:rPr>
          <w:sz w:val="22"/>
          <w:szCs w:val="24"/>
        </w:rPr>
        <w:t xml:space="preserve">will recognize </w:t>
      </w:r>
      <w:r w:rsidR="008439B3">
        <w:rPr>
          <w:sz w:val="22"/>
          <w:szCs w:val="24"/>
        </w:rPr>
        <w:t>*</w:t>
      </w:r>
      <w:r w:rsidR="00C066E2">
        <w:rPr>
          <w:sz w:val="22"/>
          <w:szCs w:val="24"/>
        </w:rPr>
        <w:t>67 dialed as the first three digits of a call</w:t>
      </w:r>
      <w:r w:rsidR="00104FB4">
        <w:rPr>
          <w:sz w:val="22"/>
          <w:szCs w:val="24"/>
        </w:rPr>
        <w:t xml:space="preserve"> . . . </w:t>
      </w:r>
      <w:r w:rsidR="00C066E2">
        <w:rPr>
          <w:sz w:val="22"/>
          <w:szCs w:val="24"/>
        </w:rPr>
        <w:t>as a caller’s request that the CPN</w:t>
      </w:r>
      <w:r w:rsidR="00104FB4">
        <w:rPr>
          <w:sz w:val="22"/>
          <w:szCs w:val="24"/>
        </w:rPr>
        <w:t xml:space="preserve"> [(calling party number)]</w:t>
      </w:r>
      <w:r w:rsidR="00C066E2">
        <w:rPr>
          <w:sz w:val="22"/>
          <w:szCs w:val="24"/>
        </w:rPr>
        <w:t xml:space="preserve"> not be passed on an interstate call.”</w:t>
      </w:r>
      <w:r>
        <w:rPr>
          <w:rStyle w:val="FootnoteReference"/>
          <w:szCs w:val="24"/>
        </w:rPr>
        <w:footnoteReference w:id="8"/>
      </w:r>
      <w:r w:rsidR="00C066E2">
        <w:rPr>
          <w:sz w:val="22"/>
          <w:szCs w:val="24"/>
        </w:rPr>
        <w:t xml:space="preserve">  In the new exemptions outlined below, carriers must reveal the CPN </w:t>
      </w:r>
      <w:r w:rsidR="00104FB4">
        <w:rPr>
          <w:sz w:val="22"/>
          <w:szCs w:val="24"/>
        </w:rPr>
        <w:t xml:space="preserve">of a threatening call </w:t>
      </w:r>
      <w:r w:rsidR="00C066E2">
        <w:rPr>
          <w:sz w:val="22"/>
          <w:szCs w:val="24"/>
        </w:rPr>
        <w:t xml:space="preserve">to either law </w:t>
      </w:r>
      <w:r w:rsidR="00480660">
        <w:rPr>
          <w:sz w:val="22"/>
          <w:szCs w:val="24"/>
        </w:rPr>
        <w:t>enforcement or</w:t>
      </w:r>
      <w:r w:rsidR="00C066E2">
        <w:rPr>
          <w:sz w:val="22"/>
          <w:szCs w:val="24"/>
        </w:rPr>
        <w:t xml:space="preserve"> security personnel, as directed by law enforcement, or to non-public emergency services, respectively. </w:t>
      </w:r>
    </w:p>
    <w:p w:rsidR="00C066E2" w:rsidRPr="00371133" w:rsidP="007345F6" w14:paraId="7B1BEF44" w14:textId="77777777">
      <w:pPr>
        <w:rPr>
          <w:sz w:val="22"/>
          <w:szCs w:val="24"/>
        </w:rPr>
      </w:pPr>
    </w:p>
    <w:p w:rsidR="00E43533" w:rsidP="00E43533" w14:paraId="79B6FEA8" w14:textId="29FBF2E1">
      <w:pPr>
        <w:rPr>
          <w:sz w:val="22"/>
          <w:szCs w:val="22"/>
        </w:rPr>
      </w:pPr>
      <w:r w:rsidRPr="00E43533">
        <w:rPr>
          <w:sz w:val="22"/>
          <w:szCs w:val="22"/>
        </w:rPr>
        <w:t xml:space="preserve">The </w:t>
      </w:r>
      <w:r w:rsidRPr="00E43533">
        <w:rPr>
          <w:i/>
          <w:sz w:val="22"/>
          <w:szCs w:val="22"/>
        </w:rPr>
        <w:t xml:space="preserve">Report and Order </w:t>
      </w:r>
      <w:r w:rsidRPr="00E43533">
        <w:rPr>
          <w:sz w:val="22"/>
          <w:szCs w:val="22"/>
        </w:rPr>
        <w:t>creates exemptions from the Caller ID privacy rules as follows</w:t>
      </w:r>
      <w:r w:rsidRPr="00E43533">
        <w:rPr>
          <w:sz w:val="22"/>
          <w:szCs w:val="22"/>
        </w:rPr>
        <w:t>: (</w:t>
      </w:r>
      <w:r w:rsidRPr="00E43533">
        <w:rPr>
          <w:sz w:val="22"/>
          <w:szCs w:val="22"/>
        </w:rPr>
        <w:t>1) Section 64.1601(b)</w:t>
      </w:r>
      <w:r>
        <w:rPr>
          <w:sz w:val="22"/>
          <w:szCs w:val="22"/>
        </w:rPr>
        <w:t xml:space="preserve"> [requiring carriers uphold Caller ID privacy requests]</w:t>
      </w:r>
      <w:r w:rsidRPr="00E43533">
        <w:rPr>
          <w:sz w:val="22"/>
          <w:szCs w:val="22"/>
        </w:rPr>
        <w:t xml:space="preserve"> </w:t>
      </w:r>
      <w:r w:rsidR="00382509">
        <w:rPr>
          <w:sz w:val="22"/>
          <w:szCs w:val="22"/>
        </w:rPr>
        <w:t>“</w:t>
      </w:r>
      <w:r w:rsidRPr="00E43533">
        <w:rPr>
          <w:sz w:val="22"/>
          <w:szCs w:val="22"/>
        </w:rPr>
        <w:t>shall not apply when CPN delivery is made in connection with a threatening call.  Upon report</w:t>
      </w:r>
      <w:r w:rsidR="00B3069F">
        <w:rPr>
          <w:sz w:val="22"/>
          <w:szCs w:val="22"/>
        </w:rPr>
        <w:t xml:space="preserve"> </w:t>
      </w:r>
      <w:r w:rsidR="00382509">
        <w:rPr>
          <w:sz w:val="22"/>
          <w:szCs w:val="22"/>
        </w:rPr>
        <w:t>[</w:t>
      </w:r>
      <w:r w:rsidR="00B3069F">
        <w:rPr>
          <w:sz w:val="22"/>
          <w:szCs w:val="22"/>
        </w:rPr>
        <w:t>to the carrier</w:t>
      </w:r>
      <w:r w:rsidR="00382509">
        <w:rPr>
          <w:sz w:val="22"/>
          <w:szCs w:val="22"/>
        </w:rPr>
        <w:t>]</w:t>
      </w:r>
      <w:r w:rsidRPr="00E43533">
        <w:rPr>
          <w:sz w:val="22"/>
          <w:szCs w:val="22"/>
        </w:rPr>
        <w:t xml:space="preserve"> of such a threatening call by law enforcement on behalf of the threatened party, the carrier will provide any CPN of the calling party to law enforcement and, as directed by law enforcement, to security personnel for the called party for the purpose of identifying the party responsible for the threatening </w:t>
      </w:r>
      <w:r w:rsidRPr="00C066E2">
        <w:rPr>
          <w:sz w:val="22"/>
          <w:szCs w:val="22"/>
        </w:rPr>
        <w:t>call.</w:t>
      </w:r>
      <w:r w:rsidR="00382509">
        <w:rPr>
          <w:sz w:val="22"/>
          <w:szCs w:val="22"/>
        </w:rPr>
        <w:t>”</w:t>
      </w:r>
      <w:r>
        <w:rPr>
          <w:rStyle w:val="FootnoteReference"/>
          <w:szCs w:val="22"/>
        </w:rPr>
        <w:footnoteReference w:id="9"/>
      </w:r>
      <w:r w:rsidR="00382509">
        <w:rPr>
          <w:sz w:val="22"/>
          <w:szCs w:val="22"/>
        </w:rPr>
        <w:t xml:space="preserve"> </w:t>
      </w:r>
      <w:r w:rsidRPr="00C066E2" w:rsidR="00E610CC">
        <w:rPr>
          <w:sz w:val="22"/>
          <w:szCs w:val="22"/>
        </w:rPr>
        <w:t xml:space="preserve"> (2) </w:t>
      </w:r>
      <w:r w:rsidRPr="00C066E2" w:rsidR="00293163">
        <w:rPr>
          <w:sz w:val="22"/>
          <w:szCs w:val="22"/>
        </w:rPr>
        <w:t>Section 64.1601(b) [requiring carriers uphold Caller ID privacy requests] shall not apply</w:t>
      </w:r>
      <w:r w:rsidRPr="00C066E2" w:rsidR="00C066E2">
        <w:rPr>
          <w:sz w:val="22"/>
          <w:szCs w:val="22"/>
        </w:rPr>
        <w:t xml:space="preserve"> when CPN delivery </w:t>
      </w:r>
      <w:r w:rsidR="00382509">
        <w:rPr>
          <w:sz w:val="22"/>
          <w:szCs w:val="22"/>
        </w:rPr>
        <w:t>“</w:t>
      </w:r>
      <w:r w:rsidRPr="00C066E2" w:rsidR="00C066E2">
        <w:rPr>
          <w:sz w:val="22"/>
          <w:szCs w:val="22"/>
        </w:rPr>
        <w:t xml:space="preserve">[i]s used on a public agency’s emergency telephone line or in conjunction with 911 emergency services, on a telephone line to contact non-public emergency services licensed by the state or municipality, or on any entity’s emergency </w:t>
      </w:r>
      <w:r w:rsidRPr="00C066E2" w:rsidR="00C066E2">
        <w:rPr>
          <w:color w:val="000000"/>
          <w:sz w:val="22"/>
          <w:szCs w:val="22"/>
        </w:rPr>
        <w:t>assistance</w:t>
      </w:r>
      <w:r w:rsidRPr="00C066E2" w:rsidR="00C066E2">
        <w:rPr>
          <w:sz w:val="22"/>
          <w:szCs w:val="22"/>
        </w:rPr>
        <w:t xml:space="preserve"> poison control telephone line.</w:t>
      </w:r>
      <w:r w:rsidR="00382509">
        <w:rPr>
          <w:sz w:val="22"/>
          <w:szCs w:val="22"/>
        </w:rPr>
        <w:t>”</w:t>
      </w:r>
      <w:r>
        <w:rPr>
          <w:rStyle w:val="FootnoteReference"/>
          <w:szCs w:val="22"/>
        </w:rPr>
        <w:footnoteReference w:id="10"/>
      </w:r>
      <w:r w:rsidRPr="00C066E2" w:rsidR="00C066E2">
        <w:rPr>
          <w:sz w:val="22"/>
          <w:szCs w:val="22"/>
        </w:rPr>
        <w:t xml:space="preserve"> </w:t>
      </w:r>
    </w:p>
    <w:p w:rsidR="00BE2B19" w:rsidP="00E43533" w14:paraId="7C547614" w14:textId="77777777">
      <w:pPr>
        <w:rPr>
          <w:sz w:val="22"/>
          <w:szCs w:val="22"/>
        </w:rPr>
      </w:pPr>
    </w:p>
    <w:p w:rsidR="00BE2B19" w:rsidP="00E43533" w14:paraId="4F42D1A1" w14:textId="77777777">
      <w:pPr>
        <w:rPr>
          <w:b/>
          <w:i/>
          <w:sz w:val="22"/>
          <w:szCs w:val="22"/>
        </w:rPr>
      </w:pPr>
      <w:r>
        <w:rPr>
          <w:b/>
          <w:i/>
          <w:sz w:val="22"/>
          <w:szCs w:val="22"/>
        </w:rPr>
        <w:t>Threatening Call from a Blocked Caller ID Exemption (47 CFR § 64.1601(f))</w:t>
      </w:r>
    </w:p>
    <w:p w:rsidR="00BE2B19" w:rsidP="00E43533" w14:paraId="5170EAC6" w14:textId="77777777">
      <w:pPr>
        <w:rPr>
          <w:sz w:val="22"/>
          <w:szCs w:val="22"/>
        </w:rPr>
      </w:pPr>
    </w:p>
    <w:p w:rsidR="00BE2B19" w:rsidP="007C74B9" w14:paraId="73EB8D3C" w14:textId="250F7BD0">
      <w:pPr>
        <w:pStyle w:val="ListParagraph"/>
        <w:numPr>
          <w:ilvl w:val="0"/>
          <w:numId w:val="18"/>
        </w:numPr>
        <w:rPr>
          <w:sz w:val="22"/>
          <w:szCs w:val="22"/>
        </w:rPr>
      </w:pPr>
      <w:r>
        <w:rPr>
          <w:sz w:val="22"/>
          <w:szCs w:val="22"/>
        </w:rPr>
        <w:t xml:space="preserve">Under the amended rules, </w:t>
      </w:r>
      <w:r w:rsidR="00B3069F">
        <w:rPr>
          <w:sz w:val="22"/>
          <w:szCs w:val="22"/>
        </w:rPr>
        <w:t xml:space="preserve">when law enforcement reports a threatening call, </w:t>
      </w:r>
      <w:r>
        <w:rPr>
          <w:sz w:val="22"/>
          <w:szCs w:val="22"/>
        </w:rPr>
        <w:t xml:space="preserve">carriers are now required to reveal the blocked Caller ID of a threatening call to law enforcement and, as directed by law enforcement, </w:t>
      </w:r>
      <w:r w:rsidR="000D2EA8">
        <w:rPr>
          <w:sz w:val="22"/>
          <w:szCs w:val="22"/>
        </w:rPr>
        <w:t xml:space="preserve">to </w:t>
      </w:r>
      <w:r>
        <w:rPr>
          <w:sz w:val="22"/>
          <w:szCs w:val="22"/>
        </w:rPr>
        <w:t xml:space="preserve">security personnel. </w:t>
      </w:r>
    </w:p>
    <w:p w:rsidR="00FC418A" w:rsidRPr="00FC418A" w:rsidP="00FC418A" w14:paraId="2E9638CD" w14:textId="349A8311">
      <w:pPr>
        <w:pStyle w:val="ListParagraph"/>
        <w:numPr>
          <w:ilvl w:val="0"/>
          <w:numId w:val="18"/>
        </w:numPr>
        <w:rPr>
          <w:sz w:val="22"/>
          <w:szCs w:val="22"/>
        </w:rPr>
      </w:pPr>
      <w:r>
        <w:rPr>
          <w:sz w:val="22"/>
          <w:szCs w:val="22"/>
        </w:rPr>
        <w:t>More specifically, c</w:t>
      </w:r>
      <w:r>
        <w:rPr>
          <w:sz w:val="22"/>
          <w:szCs w:val="22"/>
        </w:rPr>
        <w:t>arriers must disclose the information to law enforcement</w:t>
      </w:r>
      <w:r w:rsidR="007C32C8">
        <w:rPr>
          <w:sz w:val="22"/>
          <w:szCs w:val="22"/>
        </w:rPr>
        <w:t xml:space="preserve"> when law enforcement makes a request on behalf of the threatened party</w:t>
      </w:r>
      <w:r>
        <w:rPr>
          <w:sz w:val="22"/>
          <w:szCs w:val="22"/>
        </w:rPr>
        <w:t xml:space="preserve">.  Law enforcement alone determines the credibility of the threat. </w:t>
      </w:r>
    </w:p>
    <w:p w:rsidR="003110C5" w:rsidRPr="00E74D0F" w:rsidP="00E74D0F" w14:paraId="2FFD891F" w14:textId="211986B3">
      <w:pPr>
        <w:pStyle w:val="ListParagraph"/>
        <w:numPr>
          <w:ilvl w:val="0"/>
          <w:numId w:val="18"/>
        </w:numPr>
        <w:rPr>
          <w:sz w:val="22"/>
          <w:szCs w:val="22"/>
        </w:rPr>
      </w:pPr>
      <w:r>
        <w:rPr>
          <w:sz w:val="22"/>
          <w:szCs w:val="22"/>
        </w:rPr>
        <w:t xml:space="preserve">The Commission will no longer use the waiver process to unblock the Caller ID of threatening calls from a blocked number. </w:t>
      </w:r>
      <w:r w:rsidRPr="00E74D0F" w:rsidR="00A71EC3">
        <w:rPr>
          <w:sz w:val="22"/>
          <w:szCs w:val="22"/>
        </w:rPr>
        <w:t xml:space="preserve"> </w:t>
      </w:r>
    </w:p>
    <w:p w:rsidR="00FC418A" w:rsidP="00E43533" w14:paraId="2C823D5C" w14:textId="77777777">
      <w:pPr>
        <w:rPr>
          <w:b/>
          <w:i/>
          <w:sz w:val="22"/>
          <w:szCs w:val="22"/>
        </w:rPr>
      </w:pPr>
    </w:p>
    <w:p w:rsidR="00382509" w:rsidP="00EF7645" w14:paraId="261F811C" w14:textId="21A8CDBD">
      <w:pPr>
        <w:rPr>
          <w:sz w:val="22"/>
          <w:szCs w:val="22"/>
        </w:rPr>
      </w:pPr>
      <w:r>
        <w:rPr>
          <w:b/>
          <w:i/>
          <w:sz w:val="22"/>
          <w:szCs w:val="22"/>
        </w:rPr>
        <w:t>Caller to Non-Public Emergency Services from Blocked Caller ID</w:t>
      </w:r>
      <w:r w:rsidRPr="00382509">
        <w:rPr>
          <w:b/>
          <w:i/>
          <w:sz w:val="22"/>
          <w:szCs w:val="22"/>
        </w:rPr>
        <w:t xml:space="preserve"> </w:t>
      </w:r>
      <w:r>
        <w:rPr>
          <w:b/>
          <w:i/>
          <w:sz w:val="22"/>
          <w:szCs w:val="22"/>
        </w:rPr>
        <w:t>Exemption (47 CFR § 64.1601((d)(4)(ii))</w:t>
      </w:r>
    </w:p>
    <w:p w:rsidR="00FC418A" w:rsidP="00E43533" w14:paraId="0107FD22" w14:textId="77777777">
      <w:pPr>
        <w:rPr>
          <w:sz w:val="22"/>
          <w:szCs w:val="22"/>
        </w:rPr>
      </w:pPr>
    </w:p>
    <w:p w:rsidR="00FC418A" w:rsidP="00FC418A" w14:paraId="2A86ADDC" w14:textId="77777777">
      <w:pPr>
        <w:pStyle w:val="ListParagraph"/>
        <w:numPr>
          <w:ilvl w:val="0"/>
          <w:numId w:val="19"/>
        </w:numPr>
        <w:rPr>
          <w:sz w:val="22"/>
          <w:szCs w:val="22"/>
        </w:rPr>
      </w:pPr>
      <w:r>
        <w:rPr>
          <w:sz w:val="22"/>
          <w:szCs w:val="22"/>
        </w:rPr>
        <w:t xml:space="preserve">Under the amended rules, carriers are now required to reveal the number of a caller with a blocked Caller ID who is requesting assistance from a non-public emergency service. </w:t>
      </w:r>
    </w:p>
    <w:p w:rsidR="00DF55D3" w:rsidP="00FC418A" w14:paraId="0BC8A6B8" w14:textId="587BCE4E">
      <w:pPr>
        <w:pStyle w:val="ListParagraph"/>
        <w:numPr>
          <w:ilvl w:val="0"/>
          <w:numId w:val="19"/>
        </w:numPr>
        <w:rPr>
          <w:sz w:val="22"/>
          <w:szCs w:val="22"/>
        </w:rPr>
      </w:pPr>
      <w:r>
        <w:rPr>
          <w:sz w:val="22"/>
          <w:szCs w:val="22"/>
        </w:rPr>
        <w:t>More specifically, w</w:t>
      </w:r>
      <w:r>
        <w:rPr>
          <w:sz w:val="22"/>
          <w:szCs w:val="22"/>
        </w:rPr>
        <w:t xml:space="preserve">hen contacted by a non-public emergency service, carriers will reveal the relevant CPN to the non-public emergency service for the provision of emergency aid. </w:t>
      </w:r>
    </w:p>
    <w:p w:rsidR="00DF55D3" w:rsidRPr="00DF55D3" w:rsidP="00DF55D3" w14:paraId="2BB09F00" w14:textId="77777777">
      <w:pPr>
        <w:rPr>
          <w:sz w:val="22"/>
          <w:szCs w:val="22"/>
        </w:rPr>
      </w:pPr>
    </w:p>
    <w:p w:rsidR="00DF55D3" w:rsidRPr="00DF55D3" w:rsidP="00DF55D3" w14:paraId="31D07D08" w14:textId="77777777">
      <w:pPr>
        <w:pStyle w:val="ListParagraph"/>
        <w:numPr>
          <w:ilvl w:val="0"/>
          <w:numId w:val="12"/>
        </w:numPr>
        <w:tabs>
          <w:tab w:val="left" w:pos="720"/>
        </w:tabs>
        <w:rPr>
          <w:b/>
          <w:sz w:val="22"/>
          <w:szCs w:val="22"/>
        </w:rPr>
      </w:pPr>
      <w:r w:rsidRPr="00DF55D3">
        <w:rPr>
          <w:b/>
          <w:sz w:val="22"/>
          <w:szCs w:val="22"/>
        </w:rPr>
        <w:t>RECORDKEEPING AND REPORTING REQUIREMENTS</w:t>
      </w:r>
    </w:p>
    <w:p w:rsidR="00DF55D3" w:rsidRPr="00DF55D3" w:rsidP="00DF55D3" w14:paraId="26597CAE" w14:textId="77777777">
      <w:pPr>
        <w:rPr>
          <w:sz w:val="22"/>
          <w:szCs w:val="22"/>
        </w:rPr>
      </w:pPr>
    </w:p>
    <w:p w:rsidR="00DF55D3" w:rsidRPr="00DF55D3" w:rsidP="00DF55D3" w14:paraId="5210D618" w14:textId="543627AD">
      <w:pPr>
        <w:rPr>
          <w:sz w:val="22"/>
          <w:szCs w:val="22"/>
        </w:rPr>
      </w:pPr>
      <w:r w:rsidRPr="00DF55D3">
        <w:rPr>
          <w:sz w:val="22"/>
          <w:szCs w:val="22"/>
        </w:rPr>
        <w:t xml:space="preserve">The </w:t>
      </w:r>
      <w:r w:rsidRPr="00DF55D3">
        <w:rPr>
          <w:i/>
          <w:sz w:val="22"/>
          <w:szCs w:val="22"/>
        </w:rPr>
        <w:t xml:space="preserve">Report and Order </w:t>
      </w:r>
      <w:r w:rsidRPr="00DF55D3">
        <w:rPr>
          <w:sz w:val="22"/>
          <w:szCs w:val="22"/>
        </w:rPr>
        <w:t xml:space="preserve">contains a new </w:t>
      </w:r>
      <w:r w:rsidR="00EF7645">
        <w:rPr>
          <w:sz w:val="22"/>
          <w:szCs w:val="22"/>
        </w:rPr>
        <w:t>reporting</w:t>
      </w:r>
      <w:r w:rsidRPr="00DF55D3">
        <w:rPr>
          <w:sz w:val="22"/>
          <w:szCs w:val="22"/>
        </w:rPr>
        <w:t xml:space="preserve"> requirement for the exemption of threatening calls</w:t>
      </w:r>
      <w:r>
        <w:rPr>
          <w:rStyle w:val="FootnoteReference"/>
          <w:szCs w:val="22"/>
        </w:rPr>
        <w:footnoteReference w:id="11"/>
      </w:r>
      <w:r w:rsidRPr="00DF55D3">
        <w:rPr>
          <w:sz w:val="22"/>
          <w:szCs w:val="22"/>
        </w:rPr>
        <w:t xml:space="preserve"> and call to non-public emergency services from Caller ID privacy rules.</w:t>
      </w:r>
      <w:r>
        <w:rPr>
          <w:rStyle w:val="FootnoteReference"/>
          <w:szCs w:val="22"/>
        </w:rPr>
        <w:footnoteReference w:id="12"/>
      </w:r>
      <w:r w:rsidRPr="00DF55D3">
        <w:rPr>
          <w:sz w:val="22"/>
          <w:szCs w:val="22"/>
        </w:rPr>
        <w:t xml:space="preserve"> </w:t>
      </w:r>
    </w:p>
    <w:p w:rsidR="00DF55D3" w:rsidRPr="00DF55D3" w:rsidP="00DF55D3" w14:paraId="6AF245B9" w14:textId="77777777">
      <w:pPr>
        <w:rPr>
          <w:sz w:val="22"/>
          <w:szCs w:val="22"/>
        </w:rPr>
      </w:pPr>
    </w:p>
    <w:p w:rsidR="00DF55D3" w:rsidP="00DF55D3" w14:paraId="6B69BB0C" w14:textId="77777777">
      <w:pPr>
        <w:pStyle w:val="ListParagraph"/>
        <w:numPr>
          <w:ilvl w:val="0"/>
          <w:numId w:val="20"/>
        </w:numPr>
        <w:rPr>
          <w:sz w:val="22"/>
          <w:szCs w:val="22"/>
        </w:rPr>
      </w:pPr>
      <w:r w:rsidRPr="00DF55D3">
        <w:rPr>
          <w:sz w:val="22"/>
          <w:szCs w:val="22"/>
        </w:rPr>
        <w:t>Carriers must reveal blocked Caller ID associated with a threatening call to requesting law enforcement officers or security personnel, as directed by law</w:t>
      </w:r>
      <w:r>
        <w:rPr>
          <w:sz w:val="22"/>
          <w:szCs w:val="22"/>
        </w:rPr>
        <w:t xml:space="preserve"> enforcement.</w:t>
      </w:r>
    </w:p>
    <w:p w:rsidR="00DF55D3" w:rsidRPr="00DF55D3" w:rsidP="00DF55D3" w14:paraId="5239AA7A" w14:textId="77777777">
      <w:pPr>
        <w:pStyle w:val="ListParagraph"/>
        <w:numPr>
          <w:ilvl w:val="0"/>
          <w:numId w:val="20"/>
        </w:numPr>
        <w:rPr>
          <w:sz w:val="22"/>
          <w:szCs w:val="22"/>
        </w:rPr>
      </w:pPr>
      <w:r>
        <w:rPr>
          <w:sz w:val="22"/>
          <w:szCs w:val="22"/>
        </w:rPr>
        <w:t xml:space="preserve">Carriers must reveal blocked Caller ID associated with a call for assistance to non-public emergency services to such services for the provision of emergency aid. </w:t>
      </w:r>
    </w:p>
    <w:p w:rsidR="00BE2B19" w:rsidRPr="00BE2B19" w:rsidP="00E43533" w14:paraId="094DF28D" w14:textId="77777777">
      <w:pPr>
        <w:rPr>
          <w:sz w:val="22"/>
          <w:szCs w:val="22"/>
        </w:rPr>
      </w:pPr>
    </w:p>
    <w:p w:rsidR="00DF55D3" w:rsidRPr="00112921" w:rsidP="00DF55D3" w14:paraId="0E5EB1BD" w14:textId="77777777">
      <w:pPr>
        <w:pStyle w:val="ListParagraph"/>
        <w:numPr>
          <w:ilvl w:val="0"/>
          <w:numId w:val="12"/>
        </w:numPr>
        <w:tabs>
          <w:tab w:val="left" w:pos="720"/>
        </w:tabs>
        <w:rPr>
          <w:b/>
          <w:sz w:val="22"/>
        </w:rPr>
      </w:pPr>
      <w:r w:rsidRPr="00112921">
        <w:rPr>
          <w:b/>
          <w:sz w:val="22"/>
        </w:rPr>
        <w:t>IMPLEMENTATION DATE</w:t>
      </w:r>
    </w:p>
    <w:p w:rsidR="007345F6" w:rsidRPr="00C066E2" w:rsidP="007345F6" w14:paraId="61D56112" w14:textId="77777777">
      <w:pPr>
        <w:rPr>
          <w:sz w:val="22"/>
          <w:szCs w:val="22"/>
        </w:rPr>
      </w:pPr>
    </w:p>
    <w:p w:rsidR="009429BF" w:rsidRPr="00B45317" w:rsidP="009429BF" w14:paraId="51F9DF55" w14:textId="38D7F304">
      <w:pPr>
        <w:rPr>
          <w:sz w:val="22"/>
          <w:szCs w:val="22"/>
        </w:rPr>
      </w:pPr>
      <w:r w:rsidRPr="009429BF">
        <w:rPr>
          <w:sz w:val="24"/>
          <w:szCs w:val="24"/>
        </w:rPr>
        <w:t xml:space="preserve">The following rules in </w:t>
      </w:r>
      <w:r w:rsidRPr="006E7653">
        <w:rPr>
          <w:sz w:val="22"/>
          <w:szCs w:val="22"/>
        </w:rPr>
        <w:t xml:space="preserve">the Report and Order </w:t>
      </w:r>
      <w:r w:rsidR="00EF5213">
        <w:rPr>
          <w:sz w:val="22"/>
          <w:szCs w:val="22"/>
        </w:rPr>
        <w:t xml:space="preserve">became </w:t>
      </w:r>
      <w:r w:rsidR="00B45317">
        <w:rPr>
          <w:sz w:val="22"/>
          <w:szCs w:val="22"/>
        </w:rPr>
        <w:t xml:space="preserve">effective on </w:t>
      </w:r>
      <w:r w:rsidRPr="006E7653" w:rsidR="006E7653">
        <w:rPr>
          <w:sz w:val="22"/>
          <w:szCs w:val="22"/>
        </w:rPr>
        <w:t>January 2, 2018, except for 47 CFR</w:t>
      </w:r>
      <w:r w:rsidR="00B45317">
        <w:rPr>
          <w:sz w:val="22"/>
          <w:szCs w:val="22"/>
        </w:rPr>
        <w:t xml:space="preserve"> §§</w:t>
      </w:r>
      <w:r w:rsidRPr="006E7653" w:rsidR="006E7653">
        <w:rPr>
          <w:sz w:val="22"/>
          <w:szCs w:val="22"/>
        </w:rPr>
        <w:t xml:space="preserve"> 64.1601(d)(4)(ii) and (f), which contain new or modified information collection requirements that require review by the Office of Management and Budget (OMB) under the Paperwork </w:t>
      </w:r>
      <w:r w:rsidRPr="006E4003" w:rsidR="006E4003">
        <w:rPr>
          <w:sz w:val="22"/>
          <w:szCs w:val="22"/>
        </w:rPr>
        <w:t>Reduction</w:t>
      </w:r>
      <w:r w:rsidRPr="006E7653" w:rsidR="006E7653">
        <w:rPr>
          <w:sz w:val="22"/>
          <w:szCs w:val="22"/>
        </w:rPr>
        <w:t xml:space="preserve"> Act (PRA)</w:t>
      </w:r>
      <w:r w:rsidR="00B45317">
        <w:rPr>
          <w:sz w:val="22"/>
          <w:szCs w:val="22"/>
        </w:rPr>
        <w:t>:  47 CFR §§ 64.1600(l), 64.1601(d)(4)(ii), 64.1601(f)</w:t>
      </w:r>
      <w:r w:rsidR="00C972C1">
        <w:rPr>
          <w:sz w:val="22"/>
          <w:szCs w:val="22"/>
        </w:rPr>
        <w:t>.</w:t>
      </w:r>
      <w:r w:rsidRPr="006E7653" w:rsidR="006E7653">
        <w:rPr>
          <w:sz w:val="22"/>
          <w:szCs w:val="22"/>
        </w:rPr>
        <w:t xml:space="preserve"> </w:t>
      </w:r>
      <w:r w:rsidR="007B458F">
        <w:rPr>
          <w:sz w:val="22"/>
          <w:szCs w:val="22"/>
        </w:rPr>
        <w:t xml:space="preserve">47 CFR </w:t>
      </w:r>
      <w:r w:rsidR="00B45317">
        <w:rPr>
          <w:sz w:val="22"/>
          <w:szCs w:val="22"/>
        </w:rPr>
        <w:t xml:space="preserve">§§ </w:t>
      </w:r>
      <w:r w:rsidR="007B458F">
        <w:rPr>
          <w:sz w:val="22"/>
          <w:szCs w:val="22"/>
        </w:rPr>
        <w:t xml:space="preserve">64.1601(d)(4)(ii) and (f) </w:t>
      </w:r>
      <w:r w:rsidRPr="006E7653" w:rsidR="006E7653">
        <w:rPr>
          <w:sz w:val="22"/>
          <w:szCs w:val="22"/>
        </w:rPr>
        <w:t xml:space="preserve">shall become effective 30 </w:t>
      </w:r>
      <w:r w:rsidR="00382509">
        <w:rPr>
          <w:sz w:val="22"/>
          <w:szCs w:val="22"/>
        </w:rPr>
        <w:t xml:space="preserve">(thirty) </w:t>
      </w:r>
      <w:r w:rsidRPr="006E7653" w:rsidR="006E7653">
        <w:rPr>
          <w:sz w:val="22"/>
          <w:szCs w:val="22"/>
        </w:rPr>
        <w:t>days after the Commission's publication of a document in the Federal Register, which will announce approval by OMB under the PRA.</w:t>
      </w:r>
    </w:p>
    <w:p w:rsidR="00E11C98" w:rsidP="00E11C98" w14:paraId="79F99A04" w14:textId="77777777">
      <w:pPr>
        <w:rPr>
          <w:sz w:val="24"/>
          <w:szCs w:val="24"/>
        </w:rPr>
      </w:pPr>
    </w:p>
    <w:p w:rsidR="00E11C98" w:rsidP="00E11C98" w14:paraId="779678FF" w14:textId="77777777">
      <w:pPr>
        <w:pStyle w:val="ParaNum"/>
        <w:widowControl/>
        <w:numPr>
          <w:ilvl w:val="0"/>
          <w:numId w:val="0"/>
        </w:numPr>
        <w:tabs>
          <w:tab w:val="left" w:pos="720"/>
        </w:tabs>
        <w:rPr>
          <w:b/>
        </w:rPr>
      </w:pPr>
      <w:r w:rsidRPr="00CE0908">
        <w:rPr>
          <w:b/>
          <w:sz w:val="24"/>
          <w:szCs w:val="24"/>
        </w:rPr>
        <w:t>V.</w:t>
      </w:r>
      <w:r w:rsidRPr="00CE0908">
        <w:rPr>
          <w:b/>
          <w:sz w:val="24"/>
          <w:szCs w:val="24"/>
        </w:rPr>
        <w:tab/>
        <w:t>Weblinks</w:t>
      </w:r>
    </w:p>
    <w:p w:rsidR="00441EE5" w:rsidP="00E11C98" w14:paraId="62ACBE0E" w14:textId="4E9B06C4">
      <w:pPr>
        <w:spacing w:before="120" w:after="120"/>
        <w:jc w:val="both"/>
        <w:rPr>
          <w:b/>
          <w:sz w:val="22"/>
          <w:szCs w:val="22"/>
        </w:rPr>
      </w:pPr>
      <w:r>
        <w:rPr>
          <w:b/>
          <w:sz w:val="22"/>
          <w:szCs w:val="22"/>
        </w:rPr>
        <w:t xml:space="preserve">A copy of the </w:t>
      </w:r>
      <w:r>
        <w:rPr>
          <w:b/>
          <w:i/>
          <w:sz w:val="22"/>
          <w:szCs w:val="22"/>
        </w:rPr>
        <w:t>Caller</w:t>
      </w:r>
      <w:r w:rsidR="00382509">
        <w:rPr>
          <w:b/>
          <w:i/>
          <w:sz w:val="22"/>
          <w:szCs w:val="22"/>
        </w:rPr>
        <w:t>-</w:t>
      </w:r>
      <w:r>
        <w:rPr>
          <w:b/>
          <w:i/>
          <w:sz w:val="22"/>
          <w:szCs w:val="22"/>
        </w:rPr>
        <w:t>ID Order</w:t>
      </w:r>
      <w:r>
        <w:rPr>
          <w:b/>
          <w:sz w:val="22"/>
          <w:szCs w:val="22"/>
        </w:rPr>
        <w:t xml:space="preserve"> is available at:</w:t>
      </w:r>
    </w:p>
    <w:p w:rsidR="009429BF" w:rsidP="00E11C98" w14:paraId="1803FCD3" w14:textId="0B5D47C0">
      <w:pPr>
        <w:spacing w:before="120" w:after="120"/>
        <w:jc w:val="both"/>
        <w:rPr>
          <w:b/>
          <w:sz w:val="22"/>
          <w:szCs w:val="22"/>
        </w:rPr>
      </w:pPr>
      <w:r>
        <w:fldChar w:fldCharType="begin"/>
      </w:r>
      <w:r>
        <w:instrText xml:space="preserve"> HYPERLINK "https://apps.fcc.gov/edocs_public/Query.do;jsessionid=7N4ZhG1V4QWjyhZqtTq3VQyd8WC7YLyVbJRBp1k9QbNjvh5lYGy6!1069318805!1284568789?numberFld=&amp;numberFld2=&amp;docket=&amp;dateFld=10%2F25%2F2017&amp;docTitleDesc=Rules+and+Policies+Regarding+Calling+Number+Identification+Service+%96+Caller+ID" </w:instrText>
      </w:r>
      <w:r>
        <w:fldChar w:fldCharType="separate"/>
      </w:r>
      <w:r w:rsidRPr="00844DCC" w:rsidR="00B52B84">
        <w:rPr>
          <w:rStyle w:val="Hyperlink"/>
          <w:sz w:val="22"/>
          <w:szCs w:val="22"/>
        </w:rPr>
        <w:t>https://apps.fcc.gov/edocs_public/Query.do;jsessionid=7N4ZhG1V4QWjyhZqtTq3VQyd8WC7YLyVbJRBp1k9QbNjvh5lYGy6!1069318805!1284568789?numberFld=&amp;numberFld2=&amp;docket=&amp;dateFld=10%2F25%2F2017&amp;docTitleDesc=Rules+and+Policies+Regarding+Calling+Number+Identification+Service+%96+Caller+ID</w:t>
      </w:r>
      <w:r>
        <w:fldChar w:fldCharType="end"/>
      </w:r>
      <w:r w:rsidR="00B52B84">
        <w:rPr>
          <w:b/>
          <w:sz w:val="22"/>
          <w:szCs w:val="22"/>
        </w:rPr>
        <w:t xml:space="preserve"> </w:t>
      </w:r>
    </w:p>
    <w:p w:rsidR="009429BF" w:rsidP="00E11C98" w14:paraId="6C06E70B" w14:textId="7769C155">
      <w:pPr>
        <w:spacing w:before="120" w:after="120"/>
        <w:jc w:val="both"/>
        <w:rPr>
          <w:b/>
          <w:sz w:val="22"/>
          <w:szCs w:val="22"/>
        </w:rPr>
      </w:pPr>
      <w:r>
        <w:rPr>
          <w:b/>
          <w:sz w:val="22"/>
          <w:szCs w:val="22"/>
        </w:rPr>
        <w:t xml:space="preserve">A copy of the Federal Register Summary of the </w:t>
      </w:r>
      <w:r>
        <w:rPr>
          <w:b/>
          <w:i/>
          <w:sz w:val="22"/>
          <w:szCs w:val="22"/>
        </w:rPr>
        <w:t>Caller</w:t>
      </w:r>
      <w:r w:rsidR="00382509">
        <w:rPr>
          <w:b/>
          <w:i/>
          <w:sz w:val="22"/>
          <w:szCs w:val="22"/>
        </w:rPr>
        <w:t>-</w:t>
      </w:r>
      <w:r>
        <w:rPr>
          <w:b/>
          <w:i/>
          <w:sz w:val="22"/>
          <w:szCs w:val="22"/>
        </w:rPr>
        <w:t>ID Order</w:t>
      </w:r>
      <w:r>
        <w:rPr>
          <w:b/>
          <w:sz w:val="22"/>
          <w:szCs w:val="22"/>
        </w:rPr>
        <w:t xml:space="preserve"> is available at: </w:t>
      </w:r>
    </w:p>
    <w:p w:rsidR="009429BF" w:rsidP="00E11C98" w14:paraId="5FDA7A45" w14:textId="717C08D6">
      <w:pPr>
        <w:spacing w:before="120" w:after="120"/>
        <w:jc w:val="both"/>
        <w:rPr>
          <w:b/>
          <w:i/>
          <w:sz w:val="22"/>
          <w:szCs w:val="22"/>
        </w:rPr>
      </w:pPr>
      <w:r>
        <w:rPr>
          <w:b/>
          <w:i/>
          <w:sz w:val="22"/>
          <w:szCs w:val="22"/>
        </w:rPr>
        <w:t xml:space="preserve"> </w:t>
      </w:r>
      <w:r>
        <w:fldChar w:fldCharType="begin"/>
      </w:r>
      <w:r>
        <w:instrText xml:space="preserve"> HYPERLINK "https://www.federalregister.gov/documents/2017/12/01/2017-25917/calling-number-identification-service-caller-id" </w:instrText>
      </w:r>
      <w:r>
        <w:fldChar w:fldCharType="separate"/>
      </w:r>
      <w:r w:rsidRPr="00844DCC" w:rsidR="00B52B84">
        <w:rPr>
          <w:rStyle w:val="Hyperlink"/>
          <w:sz w:val="22"/>
          <w:szCs w:val="22"/>
        </w:rPr>
        <w:t>https://www.federalregister.gov/documents/2017/12/01/2017-25917/calling-number-identification-service-caller-id</w:t>
      </w:r>
      <w:r>
        <w:fldChar w:fldCharType="end"/>
      </w:r>
    </w:p>
    <w:p w:rsidR="00B52B84" w:rsidRPr="009429BF" w:rsidP="00E11C98" w14:paraId="5B918AD9" w14:textId="77777777">
      <w:pPr>
        <w:spacing w:before="120" w:after="120"/>
        <w:jc w:val="both"/>
        <w:rPr>
          <w:b/>
          <w:sz w:val="22"/>
          <w:szCs w:val="22"/>
        </w:rPr>
      </w:pPr>
    </w:p>
    <w:sectPr w:rsidSect="004C20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EE5" w14:paraId="201BA0B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1EE5" w14:paraId="5EF264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EE5" w14:paraId="1E57E447" w14:textId="44B6EA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9F3">
      <w:rPr>
        <w:rStyle w:val="PageNumber"/>
        <w:noProof/>
      </w:rPr>
      <w:t>2</w:t>
    </w:r>
    <w:r>
      <w:rPr>
        <w:rStyle w:val="PageNumber"/>
      </w:rPr>
      <w:fldChar w:fldCharType="end"/>
    </w:r>
  </w:p>
  <w:p w:rsidR="00441EE5" w14:paraId="2CDD4B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9F3" w14:paraId="30AB3D0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5D6A" w14:paraId="6528F46E" w14:textId="77777777">
      <w:r>
        <w:separator/>
      </w:r>
    </w:p>
  </w:footnote>
  <w:footnote w:type="continuationSeparator" w:id="1">
    <w:p w:rsidR="00C75D6A" w14:paraId="056C5742" w14:textId="77777777">
      <w:r>
        <w:continuationSeparator/>
      </w:r>
    </w:p>
  </w:footnote>
  <w:footnote w:id="2">
    <w:p w:rsidR="0069235F" w14:paraId="47C0D70E" w14:textId="4EB676B0">
      <w:pPr>
        <w:pStyle w:val="FootnoteText"/>
      </w:pPr>
      <w:r>
        <w:rPr>
          <w:rStyle w:val="FootnoteReference"/>
        </w:rPr>
        <w:footnoteRef/>
      </w:r>
      <w:r>
        <w:t xml:space="preserve"> </w:t>
      </w:r>
      <w:r w:rsidRPr="00AB338E" w:rsidR="00EC0E42">
        <w:rPr>
          <w:i/>
        </w:rPr>
        <w:t>Rules and Policies Regarding Calling Number Identification Service — Caller ID</w:t>
      </w:r>
      <w:r w:rsidRPr="00AB338E" w:rsidR="00EC0E42">
        <w:t>, CC Docket No. 91-281</w:t>
      </w:r>
      <w:r w:rsidR="00064049">
        <w:t>, Report and Order</w:t>
      </w:r>
      <w:r w:rsidRPr="00AB338E" w:rsidR="00EC0E42">
        <w:t xml:space="preserve">, </w:t>
      </w:r>
      <w:r w:rsidR="00104FB4">
        <w:t xml:space="preserve">FCC 17-133, </w:t>
      </w:r>
      <w:r w:rsidR="00EC0E42">
        <w:t xml:space="preserve">2017 WL </w:t>
      </w:r>
      <w:r w:rsidR="00800BC4">
        <w:t>4863850</w:t>
      </w:r>
      <w:r w:rsidR="00D45B3A">
        <w:t xml:space="preserve">, </w:t>
      </w:r>
      <w:r w:rsidR="00104FB4">
        <w:t xml:space="preserve">at *2, </w:t>
      </w:r>
      <w:r w:rsidR="00D45B3A">
        <w:t>para</w:t>
      </w:r>
      <w:r w:rsidR="00800BC4">
        <w:t xml:space="preserve">. </w:t>
      </w:r>
      <w:r w:rsidR="00D45B3A">
        <w:t>7</w:t>
      </w:r>
      <w:r w:rsidR="00EC0E42">
        <w:t xml:space="preserve"> </w:t>
      </w:r>
      <w:r w:rsidRPr="00AB338E" w:rsidR="00EC0E42">
        <w:t>(</w:t>
      </w:r>
      <w:r w:rsidR="00104FB4">
        <w:t xml:space="preserve">rel. Oct. 25, </w:t>
      </w:r>
      <w:r w:rsidRPr="00AB338E" w:rsidR="00EC0E42">
        <w:t>2017) (</w:t>
      </w:r>
      <w:r w:rsidRPr="00905833" w:rsidR="00EC0E42">
        <w:rPr>
          <w:i/>
        </w:rPr>
        <w:t xml:space="preserve">Caller ID </w:t>
      </w:r>
      <w:r w:rsidR="00F03B49">
        <w:rPr>
          <w:i/>
        </w:rPr>
        <w:t>Order</w:t>
      </w:r>
      <w:r w:rsidRPr="00AB338E" w:rsidR="00EC0E42">
        <w:t>).</w:t>
      </w:r>
    </w:p>
  </w:footnote>
  <w:footnote w:id="3">
    <w:p w:rsidR="00D45B3A" w:rsidRPr="00B73D53" w14:paraId="1AF883DF" w14:textId="0D5AFAD4">
      <w:pPr>
        <w:pStyle w:val="FootnoteText"/>
      </w:pPr>
      <w:r>
        <w:rPr>
          <w:rStyle w:val="FootnoteReference"/>
        </w:rPr>
        <w:footnoteRef/>
      </w:r>
      <w:r>
        <w:t xml:space="preserve"> </w:t>
      </w:r>
      <w:r w:rsidR="00B73D53">
        <w:rPr>
          <w:i/>
        </w:rPr>
        <w:t>Caller ID Order</w:t>
      </w:r>
      <w:r w:rsidR="00B73D53">
        <w:t xml:space="preserve">, </w:t>
      </w:r>
      <w:r w:rsidR="00104FB4">
        <w:t xml:space="preserve">2017 </w:t>
      </w:r>
      <w:r w:rsidR="00B73D53">
        <w:t xml:space="preserve">WL 4863850, </w:t>
      </w:r>
      <w:r w:rsidR="00104FB4">
        <w:t xml:space="preserve">at *7, </w:t>
      </w:r>
      <w:r w:rsidR="00B73D53">
        <w:t xml:space="preserve">para. 24. </w:t>
      </w:r>
    </w:p>
  </w:footnote>
  <w:footnote w:id="4">
    <w:p w:rsidR="008B0433" w:rsidRPr="00E55B85" w:rsidP="008B0433" w14:paraId="7C60473E" w14:textId="6B56B548">
      <w:pPr>
        <w:pStyle w:val="FootnoteText"/>
      </w:pPr>
      <w:r>
        <w:rPr>
          <w:rStyle w:val="FootnoteReference"/>
        </w:rPr>
        <w:footnoteRef/>
      </w:r>
      <w:r>
        <w:t xml:space="preserve"> </w:t>
      </w:r>
      <w:r>
        <w:rPr>
          <w:i/>
        </w:rPr>
        <w:t>See id.</w:t>
      </w:r>
      <w:r>
        <w:t xml:space="preserve"> </w:t>
      </w:r>
      <w:r w:rsidR="00104FB4">
        <w:t xml:space="preserve">at *5, </w:t>
      </w:r>
      <w:r>
        <w:t>para. 17.</w:t>
      </w:r>
    </w:p>
  </w:footnote>
  <w:footnote w:id="5">
    <w:p w:rsidR="009D070F" w14:paraId="1A3F7BB0" w14:textId="688F2348">
      <w:pPr>
        <w:pStyle w:val="FootnoteText"/>
      </w:pPr>
      <w:r>
        <w:rPr>
          <w:rStyle w:val="FootnoteReference"/>
        </w:rPr>
        <w:footnoteRef/>
      </w:r>
      <w:r>
        <w:t xml:space="preserve"> </w:t>
      </w:r>
      <w:r w:rsidR="003747A6">
        <w:rPr>
          <w:i/>
        </w:rPr>
        <w:t>Petition of Chevrah Hatzalah Volunteer Ambulance Corps Inc. for Waiver of Section 1601(b) of the Commission’s Rules – Blocked Telephone Numbers</w:t>
      </w:r>
      <w:r w:rsidR="003747A6">
        <w:t>, CC Docket No. 91-281, Order, 28 FCC Rcd 1253, para. 6 (CGB 2013) (</w:t>
      </w:r>
      <w:r w:rsidR="003747A6">
        <w:rPr>
          <w:i/>
        </w:rPr>
        <w:t>Hatzalah Order</w:t>
      </w:r>
      <w:r w:rsidR="003747A6">
        <w:t>)</w:t>
      </w:r>
      <w:r w:rsidR="004A2590">
        <w:t>.</w:t>
      </w:r>
    </w:p>
  </w:footnote>
  <w:footnote w:id="6">
    <w:p w:rsidR="00EB51CA" w14:paraId="0ADB6060" w14:textId="6769B5C0">
      <w:pPr>
        <w:pStyle w:val="FootnoteText"/>
      </w:pPr>
      <w:r>
        <w:rPr>
          <w:rStyle w:val="FootnoteReference"/>
        </w:rPr>
        <w:footnoteRef/>
      </w:r>
      <w:r>
        <w:t xml:space="preserve"> </w:t>
      </w:r>
      <w:r>
        <w:rPr>
          <w:i/>
        </w:rPr>
        <w:t>Caller ID Order</w:t>
      </w:r>
      <w:r>
        <w:t>, 2017 WL 4863850, at *7, para. 29</w:t>
      </w:r>
      <w:r w:rsidR="004A2590">
        <w:t xml:space="preserve"> (“…entities providing emergency services must be licensed by a state or municipality to provide such services to qualify for this exemption.”)</w:t>
      </w:r>
      <w:r>
        <w:t>.</w:t>
      </w:r>
    </w:p>
  </w:footnote>
  <w:footnote w:id="7">
    <w:p w:rsidR="00E05438" w:rsidRPr="00E05438" w14:paraId="7DB347DB" w14:textId="04C5C340">
      <w:pPr>
        <w:pStyle w:val="FootnoteText"/>
      </w:pPr>
      <w:r>
        <w:rPr>
          <w:rStyle w:val="FootnoteReference"/>
        </w:rPr>
        <w:footnoteRef/>
      </w:r>
      <w:r>
        <w:t xml:space="preserve"> </w:t>
      </w:r>
      <w:r w:rsidR="00375A95">
        <w:rPr>
          <w:i/>
        </w:rPr>
        <w:t>See</w:t>
      </w:r>
      <w:r w:rsidRPr="00AF4B8A" w:rsidR="00AF4B8A">
        <w:rPr>
          <w:i/>
        </w:rPr>
        <w:t xml:space="preserve"> </w:t>
      </w:r>
      <w:r w:rsidR="00AF4B8A">
        <w:rPr>
          <w:i/>
        </w:rPr>
        <w:t>Caller ID Order</w:t>
      </w:r>
      <w:r w:rsidR="00375A95">
        <w:t xml:space="preserve">, </w:t>
      </w:r>
      <w:r w:rsidR="00104FB4">
        <w:t xml:space="preserve">2017 </w:t>
      </w:r>
      <w:r w:rsidR="00375A95">
        <w:t xml:space="preserve">WL 4863850, </w:t>
      </w:r>
      <w:r w:rsidR="00104FB4">
        <w:t xml:space="preserve">at *7, </w:t>
      </w:r>
      <w:r w:rsidR="00375A95">
        <w:t>para. 25</w:t>
      </w:r>
      <w:r w:rsidR="00AF4B8A">
        <w:t>.</w:t>
      </w:r>
    </w:p>
  </w:footnote>
  <w:footnote w:id="8">
    <w:p w:rsidR="00C066E2" w14:paraId="6900260F" w14:textId="77777777">
      <w:pPr>
        <w:pStyle w:val="FootnoteText"/>
      </w:pPr>
      <w:r>
        <w:rPr>
          <w:rStyle w:val="FootnoteReference"/>
        </w:rPr>
        <w:footnoteRef/>
      </w:r>
      <w:r>
        <w:t xml:space="preserve"> 47 CFR § 64.1601(b). </w:t>
      </w:r>
    </w:p>
  </w:footnote>
  <w:footnote w:id="9">
    <w:p w:rsidR="00480660" w14:paraId="45C10E53" w14:textId="51E76196">
      <w:pPr>
        <w:pStyle w:val="FootnoteText"/>
      </w:pPr>
      <w:r>
        <w:rPr>
          <w:rStyle w:val="FootnoteReference"/>
        </w:rPr>
        <w:footnoteRef/>
      </w:r>
      <w:r>
        <w:t xml:space="preserve"> 47 CFR § 64.1601(f)</w:t>
      </w:r>
      <w:r w:rsidR="00A8062A">
        <w:t xml:space="preserve">; </w:t>
      </w:r>
      <w:r w:rsidR="00A8062A">
        <w:rPr>
          <w:i/>
        </w:rPr>
        <w:t>see</w:t>
      </w:r>
      <w:r w:rsidR="00A8062A">
        <w:t xml:space="preserve"> </w:t>
      </w:r>
      <w:r w:rsidR="00A8062A">
        <w:rPr>
          <w:i/>
        </w:rPr>
        <w:t>Caller ID Order</w:t>
      </w:r>
      <w:r w:rsidR="00A8062A">
        <w:t xml:space="preserve">, </w:t>
      </w:r>
      <w:r w:rsidR="00382509">
        <w:t xml:space="preserve">2017 </w:t>
      </w:r>
      <w:r w:rsidR="00A8062A">
        <w:t xml:space="preserve">WL 4863850, </w:t>
      </w:r>
      <w:r w:rsidR="00382509">
        <w:t xml:space="preserve">at *5, *7, </w:t>
      </w:r>
      <w:r w:rsidR="00A8062A">
        <w:t>paras. 16-18</w:t>
      </w:r>
      <w:r w:rsidR="00382509">
        <w:t>, 23</w:t>
      </w:r>
      <w:r>
        <w:t>.</w:t>
      </w:r>
    </w:p>
  </w:footnote>
  <w:footnote w:id="10">
    <w:p w:rsidR="00480660" w14:paraId="1A4F702E" w14:textId="22AFABD2">
      <w:pPr>
        <w:pStyle w:val="FootnoteText"/>
      </w:pPr>
      <w:r>
        <w:rPr>
          <w:rStyle w:val="FootnoteReference"/>
        </w:rPr>
        <w:footnoteRef/>
      </w:r>
      <w:r>
        <w:t xml:space="preserve"> 47 CFR § 64.1601(d)(4)(ii)</w:t>
      </w:r>
      <w:r w:rsidR="002242E9">
        <w:t xml:space="preserve">; </w:t>
      </w:r>
      <w:r w:rsidR="002242E9">
        <w:rPr>
          <w:i/>
        </w:rPr>
        <w:t>see</w:t>
      </w:r>
      <w:r w:rsidRPr="002242E9" w:rsidR="002242E9">
        <w:rPr>
          <w:i/>
        </w:rPr>
        <w:t xml:space="preserve"> </w:t>
      </w:r>
      <w:r w:rsidR="002242E9">
        <w:rPr>
          <w:i/>
        </w:rPr>
        <w:t>Caller ID Order</w:t>
      </w:r>
      <w:r w:rsidR="002242E9">
        <w:t xml:space="preserve">, </w:t>
      </w:r>
      <w:r w:rsidR="00382509">
        <w:t xml:space="preserve">2017 </w:t>
      </w:r>
      <w:r w:rsidR="002242E9">
        <w:t xml:space="preserve">WL 4863850, </w:t>
      </w:r>
      <w:r w:rsidR="00382509">
        <w:t xml:space="preserve">at *7, </w:t>
      </w:r>
      <w:r w:rsidR="002242E9">
        <w:t>para. 25</w:t>
      </w:r>
      <w:r>
        <w:t xml:space="preserve">. </w:t>
      </w:r>
    </w:p>
  </w:footnote>
  <w:footnote w:id="11">
    <w:p w:rsidR="000D2EA8" w14:paraId="332784A2" w14:textId="5601EC9D">
      <w:pPr>
        <w:pStyle w:val="FootnoteText"/>
      </w:pPr>
      <w:r>
        <w:rPr>
          <w:rStyle w:val="FootnoteReference"/>
        </w:rPr>
        <w:footnoteRef/>
      </w:r>
      <w:r>
        <w:t xml:space="preserve"> </w:t>
      </w:r>
      <w:r>
        <w:rPr>
          <w:i/>
        </w:rPr>
        <w:t>Caller ID Order</w:t>
      </w:r>
      <w:r>
        <w:t xml:space="preserve">, </w:t>
      </w:r>
      <w:r w:rsidR="00382509">
        <w:t xml:space="preserve">2017 </w:t>
      </w:r>
      <w:r>
        <w:t xml:space="preserve">WL 4863850, </w:t>
      </w:r>
      <w:r w:rsidR="00382509">
        <w:t xml:space="preserve">at *2, </w:t>
      </w:r>
      <w:r>
        <w:t>para. 7.</w:t>
      </w:r>
    </w:p>
  </w:footnote>
  <w:footnote w:id="12">
    <w:p w:rsidR="000D2EA8" w14:paraId="26E0C8FB" w14:textId="083436CE">
      <w:pPr>
        <w:pStyle w:val="FootnoteText"/>
      </w:pPr>
      <w:r>
        <w:rPr>
          <w:rStyle w:val="FootnoteReference"/>
        </w:rPr>
        <w:footnoteRef/>
      </w:r>
      <w:r>
        <w:t xml:space="preserve"> </w:t>
      </w:r>
      <w:r w:rsidR="00382509">
        <w:rPr>
          <w:i/>
        </w:rPr>
        <w:t>Id</w:t>
      </w:r>
      <w:r w:rsidRPr="00EF7645" w:rsidR="00382509">
        <w:t>.</w:t>
      </w:r>
      <w:r>
        <w:t xml:space="preserve"> </w:t>
      </w:r>
      <w:r w:rsidR="00382509">
        <w:t xml:space="preserve">at *7, </w:t>
      </w:r>
      <w:r>
        <w:t>para.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9F3" w14:paraId="1B3D9D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9F3" w14:paraId="71496DE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1EE5" w14:paraId="7B14AC78"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273525" name="Picture 2"/>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5505"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441EE5" w:rsidP="001A5F4C" w14:paraId="39FAC5C5" w14:textId="6CDB70CF">
    <w:pPr>
      <w:jc w:val="center"/>
      <w:rPr>
        <w:rFonts w:ascii="CG Times (W1)" w:hAnsi="CG Times (W1)"/>
        <w:sz w:val="28"/>
      </w:rPr>
    </w:pPr>
    <w:r>
      <w:rPr>
        <w:rFonts w:ascii="CG Times (W1)" w:hAnsi="CG Times (W1)"/>
        <w:sz w:val="28"/>
      </w:rPr>
      <w:t>Washington, D.C. 20554</w:t>
    </w:r>
  </w:p>
  <w:p w:rsidR="001A5F4C" w:rsidP="001A5F4C" w14:paraId="3983A66B" w14:textId="4D9BB45A">
    <w:pPr>
      <w:jc w:val="center"/>
      <w:rPr>
        <w:rFonts w:ascii="CG Times (W1)" w:hAnsi="CG Times (W1)"/>
        <w:sz w:val="28"/>
      </w:rPr>
    </w:pPr>
  </w:p>
  <w:p w:rsidR="001A5F4C" w:rsidRPr="00F84551" w:rsidP="001A5F4C" w14:paraId="6962B3A4" w14:textId="3F2E1F43">
    <w:pPr>
      <w:jc w:val="center"/>
      <w:rPr>
        <w:sz w:val="22"/>
        <w:szCs w:val="22"/>
      </w:rPr>
    </w:pPr>
    <w:r w:rsidRPr="00F84551">
      <w:rPr>
        <w:sz w:val="22"/>
        <w:szCs w:val="22"/>
      </w:rPr>
      <w:t>March 29</w:t>
    </w:r>
    <w:r w:rsidRPr="00F84551">
      <w:rPr>
        <w:sz w:val="22"/>
        <w:szCs w:val="22"/>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6C47B1"/>
    <w:multiLevelType w:val="hybridMultilevel"/>
    <w:tmpl w:val="BDFE5AE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E367020"/>
    <w:multiLevelType w:val="hybridMultilevel"/>
    <w:tmpl w:val="7A1E35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9186B0F"/>
    <w:multiLevelType w:val="hybridMultilevel"/>
    <w:tmpl w:val="4B16E16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A961852"/>
    <w:multiLevelType w:val="hybridMultilevel"/>
    <w:tmpl w:val="16B4614C"/>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525415F"/>
    <w:multiLevelType w:val="hybridMultilevel"/>
    <w:tmpl w:val="3AF655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9631D6"/>
    <w:multiLevelType w:val="hybridMultilevel"/>
    <w:tmpl w:val="2ED889C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8A7BAF"/>
    <w:multiLevelType w:val="hybridMultilevel"/>
    <w:tmpl w:val="72D4CD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81F3DA0"/>
    <w:multiLevelType w:val="hybridMultilevel"/>
    <w:tmpl w:val="D0D4EB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505167EF"/>
    <w:multiLevelType w:val="hybridMultilevel"/>
    <w:tmpl w:val="3718139A"/>
    <w:lvl w:ilvl="0">
      <w:start w:val="1"/>
      <w:numFmt w:val="upp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AEF414E"/>
    <w:multiLevelType w:val="hybridMultilevel"/>
    <w:tmpl w:val="33F83BE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BC61547"/>
    <w:multiLevelType w:val="hybridMultilevel"/>
    <w:tmpl w:val="51024968"/>
    <w:lvl w:ilvl="0">
      <w:start w:val="2"/>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5F73034B"/>
    <w:multiLevelType w:val="hybridMultilevel"/>
    <w:tmpl w:val="820469A6"/>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1182925"/>
    <w:multiLevelType w:val="singleLevel"/>
    <w:tmpl w:val="C40EC6CE"/>
    <w:lvl w:ilvl="0">
      <w:start w:val="1"/>
      <w:numFmt w:val="decimal"/>
      <w:pStyle w:val="ParaNum"/>
      <w:lvlText w:val="%1."/>
      <w:lvlJc w:val="left"/>
      <w:pPr>
        <w:tabs>
          <w:tab w:val="num" w:pos="1080"/>
        </w:tabs>
        <w:ind w:firstLine="720"/>
      </w:pPr>
      <w:rPr>
        <w:rFonts w:cs="Times New Roman"/>
        <w:b w:val="0"/>
        <w:sz w:val="22"/>
        <w:szCs w:val="22"/>
      </w:rPr>
    </w:lvl>
  </w:abstractNum>
  <w:abstractNum w:abstractNumId="14">
    <w:nsid w:val="63C30CA6"/>
    <w:multiLevelType w:val="hybridMultilevel"/>
    <w:tmpl w:val="57C6E38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47E0649"/>
    <w:multiLevelType w:val="hybridMultilevel"/>
    <w:tmpl w:val="01E070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59B2A19"/>
    <w:multiLevelType w:val="hybridMultilevel"/>
    <w:tmpl w:val="474EF3B6"/>
    <w:lvl w:ilvl="0">
      <w:start w:val="1"/>
      <w:numFmt w:val="upperLetter"/>
      <w:lvlText w:val="%1."/>
      <w:lvlJc w:val="left"/>
      <w:pPr>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7">
    <w:nsid w:val="6E840514"/>
    <w:multiLevelType w:val="hybridMultilevel"/>
    <w:tmpl w:val="0540B4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C941BF6"/>
    <w:multiLevelType w:val="hybridMultilevel"/>
    <w:tmpl w:val="C59C97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FCF7A5F"/>
    <w:multiLevelType w:val="hybridMultilevel"/>
    <w:tmpl w:val="A714196A"/>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3"/>
  </w:num>
  <w:num w:numId="4">
    <w:abstractNumId w:val="19"/>
  </w:num>
  <w:num w:numId="5">
    <w:abstractNumId w:val="16"/>
  </w:num>
  <w:num w:numId="6">
    <w:abstractNumId w:val="0"/>
  </w:num>
  <w:num w:numId="7">
    <w:abstractNumId w:val="15"/>
  </w:num>
  <w:num w:numId="8">
    <w:abstractNumId w:val="5"/>
  </w:num>
  <w:num w:numId="9">
    <w:abstractNumId w:val="9"/>
  </w:num>
  <w:num w:numId="10">
    <w:abstractNumId w:val="3"/>
  </w:num>
  <w:num w:numId="11">
    <w:abstractNumId w:val="8"/>
  </w:num>
  <w:num w:numId="12">
    <w:abstractNumId w:val="11"/>
  </w:num>
  <w:num w:numId="13">
    <w:abstractNumId w:val="2"/>
  </w:num>
  <w:num w:numId="14">
    <w:abstractNumId w:val="14"/>
  </w:num>
  <w:num w:numId="15">
    <w:abstractNumId w:val="7"/>
  </w:num>
  <w:num w:numId="16">
    <w:abstractNumId w:val="12"/>
  </w:num>
  <w:num w:numId="17">
    <w:abstractNumId w:val="10"/>
  </w:num>
  <w:num w:numId="18">
    <w:abstractNumId w:val="4"/>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42"/>
    <w:rsid w:val="00041440"/>
    <w:rsid w:val="0004671D"/>
    <w:rsid w:val="00064049"/>
    <w:rsid w:val="0009026F"/>
    <w:rsid w:val="00096071"/>
    <w:rsid w:val="000A0B8A"/>
    <w:rsid w:val="000D2EA8"/>
    <w:rsid w:val="000E1312"/>
    <w:rsid w:val="000F1CCD"/>
    <w:rsid w:val="00104FB4"/>
    <w:rsid w:val="00112921"/>
    <w:rsid w:val="0011612C"/>
    <w:rsid w:val="001355DF"/>
    <w:rsid w:val="001429B3"/>
    <w:rsid w:val="00161296"/>
    <w:rsid w:val="001646FB"/>
    <w:rsid w:val="00194512"/>
    <w:rsid w:val="001A5F4C"/>
    <w:rsid w:val="001B0113"/>
    <w:rsid w:val="001B26BE"/>
    <w:rsid w:val="001B4549"/>
    <w:rsid w:val="001E74B9"/>
    <w:rsid w:val="002242E9"/>
    <w:rsid w:val="00233AD4"/>
    <w:rsid w:val="0024681C"/>
    <w:rsid w:val="002512BC"/>
    <w:rsid w:val="00275E0B"/>
    <w:rsid w:val="00293163"/>
    <w:rsid w:val="00293901"/>
    <w:rsid w:val="003110C5"/>
    <w:rsid w:val="00364716"/>
    <w:rsid w:val="00371133"/>
    <w:rsid w:val="003747A6"/>
    <w:rsid w:val="00375A95"/>
    <w:rsid w:val="00376F42"/>
    <w:rsid w:val="00382509"/>
    <w:rsid w:val="00397E63"/>
    <w:rsid w:val="00412F71"/>
    <w:rsid w:val="00424132"/>
    <w:rsid w:val="004351AC"/>
    <w:rsid w:val="00441EE5"/>
    <w:rsid w:val="00446B4E"/>
    <w:rsid w:val="00480660"/>
    <w:rsid w:val="00492553"/>
    <w:rsid w:val="004926F2"/>
    <w:rsid w:val="004A2590"/>
    <w:rsid w:val="004B5FA2"/>
    <w:rsid w:val="004B76DC"/>
    <w:rsid w:val="004C20BD"/>
    <w:rsid w:val="005318EF"/>
    <w:rsid w:val="005441FA"/>
    <w:rsid w:val="00546F2B"/>
    <w:rsid w:val="00566F9B"/>
    <w:rsid w:val="005800C1"/>
    <w:rsid w:val="005A218D"/>
    <w:rsid w:val="005A4F46"/>
    <w:rsid w:val="005B2AC1"/>
    <w:rsid w:val="005F66FF"/>
    <w:rsid w:val="006360EC"/>
    <w:rsid w:val="006363F3"/>
    <w:rsid w:val="0064637F"/>
    <w:rsid w:val="0065264E"/>
    <w:rsid w:val="00670DB1"/>
    <w:rsid w:val="00672E6B"/>
    <w:rsid w:val="0069235F"/>
    <w:rsid w:val="00692759"/>
    <w:rsid w:val="006A48BE"/>
    <w:rsid w:val="006B4D6B"/>
    <w:rsid w:val="006D6A63"/>
    <w:rsid w:val="006E4003"/>
    <w:rsid w:val="006E7653"/>
    <w:rsid w:val="006F2594"/>
    <w:rsid w:val="007055DB"/>
    <w:rsid w:val="00725F05"/>
    <w:rsid w:val="0072669D"/>
    <w:rsid w:val="007345F6"/>
    <w:rsid w:val="007A3A15"/>
    <w:rsid w:val="007B17F4"/>
    <w:rsid w:val="007B458F"/>
    <w:rsid w:val="007C32C8"/>
    <w:rsid w:val="007C6403"/>
    <w:rsid w:val="007C74B9"/>
    <w:rsid w:val="007C796A"/>
    <w:rsid w:val="007E1616"/>
    <w:rsid w:val="007E62CE"/>
    <w:rsid w:val="00800BC4"/>
    <w:rsid w:val="008025F1"/>
    <w:rsid w:val="00827DC4"/>
    <w:rsid w:val="0084186F"/>
    <w:rsid w:val="008435AF"/>
    <w:rsid w:val="008439B3"/>
    <w:rsid w:val="00844DCC"/>
    <w:rsid w:val="0085095C"/>
    <w:rsid w:val="00861E5F"/>
    <w:rsid w:val="00875292"/>
    <w:rsid w:val="00880C6F"/>
    <w:rsid w:val="008B0433"/>
    <w:rsid w:val="008B6B57"/>
    <w:rsid w:val="008E37BA"/>
    <w:rsid w:val="008F077E"/>
    <w:rsid w:val="008F08FF"/>
    <w:rsid w:val="008F0FC0"/>
    <w:rsid w:val="008F1FE7"/>
    <w:rsid w:val="00905833"/>
    <w:rsid w:val="0091403A"/>
    <w:rsid w:val="00920719"/>
    <w:rsid w:val="00923757"/>
    <w:rsid w:val="00924CF3"/>
    <w:rsid w:val="009429BF"/>
    <w:rsid w:val="00942AC0"/>
    <w:rsid w:val="00960583"/>
    <w:rsid w:val="00970168"/>
    <w:rsid w:val="009A54C2"/>
    <w:rsid w:val="009D070F"/>
    <w:rsid w:val="009E33C4"/>
    <w:rsid w:val="009E4323"/>
    <w:rsid w:val="00A3605E"/>
    <w:rsid w:val="00A71EC3"/>
    <w:rsid w:val="00A8062A"/>
    <w:rsid w:val="00A81C44"/>
    <w:rsid w:val="00AB322B"/>
    <w:rsid w:val="00AB338E"/>
    <w:rsid w:val="00AC1A6F"/>
    <w:rsid w:val="00AD134D"/>
    <w:rsid w:val="00AD21C6"/>
    <w:rsid w:val="00AF4B8A"/>
    <w:rsid w:val="00B01879"/>
    <w:rsid w:val="00B10E80"/>
    <w:rsid w:val="00B11C02"/>
    <w:rsid w:val="00B3069F"/>
    <w:rsid w:val="00B3480A"/>
    <w:rsid w:val="00B45317"/>
    <w:rsid w:val="00B52B84"/>
    <w:rsid w:val="00B60CE5"/>
    <w:rsid w:val="00B67F43"/>
    <w:rsid w:val="00B73D53"/>
    <w:rsid w:val="00B7718C"/>
    <w:rsid w:val="00BE2B19"/>
    <w:rsid w:val="00C066E2"/>
    <w:rsid w:val="00C17EFB"/>
    <w:rsid w:val="00C359D0"/>
    <w:rsid w:val="00C41A11"/>
    <w:rsid w:val="00C538D2"/>
    <w:rsid w:val="00C62316"/>
    <w:rsid w:val="00C67A74"/>
    <w:rsid w:val="00C75D6A"/>
    <w:rsid w:val="00C972C1"/>
    <w:rsid w:val="00CA4BCB"/>
    <w:rsid w:val="00CE0908"/>
    <w:rsid w:val="00CF7F0B"/>
    <w:rsid w:val="00D124DB"/>
    <w:rsid w:val="00D45B3A"/>
    <w:rsid w:val="00D50A14"/>
    <w:rsid w:val="00D71CE3"/>
    <w:rsid w:val="00D808F5"/>
    <w:rsid w:val="00D87846"/>
    <w:rsid w:val="00DB39D3"/>
    <w:rsid w:val="00DC304A"/>
    <w:rsid w:val="00DC6813"/>
    <w:rsid w:val="00DC6B62"/>
    <w:rsid w:val="00DE2269"/>
    <w:rsid w:val="00DE6BE2"/>
    <w:rsid w:val="00DF55D3"/>
    <w:rsid w:val="00E05438"/>
    <w:rsid w:val="00E11C98"/>
    <w:rsid w:val="00E2797D"/>
    <w:rsid w:val="00E42B39"/>
    <w:rsid w:val="00E43533"/>
    <w:rsid w:val="00E55B85"/>
    <w:rsid w:val="00E610CC"/>
    <w:rsid w:val="00E72F73"/>
    <w:rsid w:val="00E74D0F"/>
    <w:rsid w:val="00E76894"/>
    <w:rsid w:val="00E86082"/>
    <w:rsid w:val="00E86907"/>
    <w:rsid w:val="00E879A4"/>
    <w:rsid w:val="00EB4E6C"/>
    <w:rsid w:val="00EB51CA"/>
    <w:rsid w:val="00EC0E42"/>
    <w:rsid w:val="00EC49F3"/>
    <w:rsid w:val="00ED1E65"/>
    <w:rsid w:val="00EE2335"/>
    <w:rsid w:val="00EE2A23"/>
    <w:rsid w:val="00EE7702"/>
    <w:rsid w:val="00EF421E"/>
    <w:rsid w:val="00EF5213"/>
    <w:rsid w:val="00EF7645"/>
    <w:rsid w:val="00F03B49"/>
    <w:rsid w:val="00F62BFF"/>
    <w:rsid w:val="00F64247"/>
    <w:rsid w:val="00F83A51"/>
    <w:rsid w:val="00F84551"/>
    <w:rsid w:val="00F86C2A"/>
    <w:rsid w:val="00F935B3"/>
    <w:rsid w:val="00FC418A"/>
    <w:rsid w:val="00FC579B"/>
    <w:rsid w:val="00FD1E5F"/>
    <w:rsid w:val="00FD7625"/>
    <w:rsid w:val="00FE74A1"/>
    <w:rsid w:val="00FF5D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0B"/>
  </w:style>
  <w:style w:type="paragraph" w:styleId="Heading4">
    <w:name w:val="heading 4"/>
    <w:basedOn w:val="Normal"/>
    <w:next w:val="Normal"/>
    <w:link w:val="Heading4Char"/>
    <w:uiPriority w:val="99"/>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link w:val="ParaNumChar1"/>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style>
  <w:style w:type="character" w:styleId="PageNumber">
    <w:name w:val="page number"/>
    <w:uiPriority w:val="99"/>
    <w:rsid w:val="00CF7F0B"/>
    <w:rPr>
      <w:rFonts w:cs="Times New Roman"/>
    </w:rPr>
  </w:style>
  <w:style w:type="paragraph" w:styleId="ListParagraph">
    <w:name w:val="List Paragraph"/>
    <w:basedOn w:val="Normal"/>
    <w:uiPriority w:val="34"/>
    <w:qFormat/>
    <w:rsid w:val="00861E5F"/>
    <w:pPr>
      <w:ind w:left="720"/>
      <w:contextualSpacing/>
    </w:pPr>
  </w:style>
  <w:style w:type="paragraph" w:styleId="FootnoteText">
    <w:name w:val="footnote text"/>
    <w:aliases w:val="Footnote Text Char Char2,Footnote Text Char Char2 Char Char,Footnote Text Char Char2 Char Char Char Char,Footnote Text Char2 Char Char Char Char,Footnote Text Char2 Char1 Char,Footnote Text Char3,Footnote Text Char3 Char,fn,fn Ch"/>
    <w:link w:val="FootnoteTextChar1"/>
    <w:semiHidden/>
    <w:rsid w:val="00424132"/>
    <w:pPr>
      <w:spacing w:after="120"/>
    </w:pPr>
  </w:style>
  <w:style w:type="character" w:customStyle="1" w:styleId="FootnoteTextChar">
    <w:name w:val="Footnote Text Char"/>
    <w:aliases w:val="Footnote Text Char Char Char Char Char,Footnote Text Char Char Char Char Char Char1 Char,Footnote Text Char1 Char,Footnote Text Char1 Char Char Char,Footnote Text Char1 Char Char Char Char1 Char,Footnote Text Char2 Char Char,fn Char"/>
    <w:basedOn w:val="DefaultParagraphFont"/>
    <w:semiHidden/>
    <w:rsid w:val="00424132"/>
  </w:style>
  <w:style w:type="character" w:styleId="FootnoteReference">
    <w:name w:val="footnote reference"/>
    <w:aliases w:val="(NECG) Footnote Reference,Appel note de bas de p,FR,Footnote Reference/,Style 12,Style 124,Style 13,Style 17,Style 3,Style 6,fr,o"/>
    <w:basedOn w:val="DefaultParagraphFont"/>
    <w:semiHidden/>
    <w:rsid w:val="00424132"/>
    <w:rPr>
      <w:rFonts w:ascii="Times New Roman" w:hAnsi="Times New Roman"/>
      <w:dstrike w:val="0"/>
      <w:color w:val="auto"/>
      <w:sz w:val="22"/>
      <w:vertAlign w:val="superscript"/>
    </w:rPr>
  </w:style>
  <w:style w:type="character" w:customStyle="1" w:styleId="FootnoteTextChar1">
    <w:name w:val="Footnote Text Char1"/>
    <w:aliases w:val="Footnote Text Char Char2 Char Char Char,Footnote Text Char Char2 Char Char Char Char Char,Footnote Text Char2 Char Char Char Char Char,Footnote Text Char2 Char1 Char Char,Footnote Text Char3 Char Char,Footnote Text Char3 Char1"/>
    <w:link w:val="FootnoteText"/>
    <w:semiHidden/>
    <w:locked/>
    <w:rsid w:val="00424132"/>
  </w:style>
  <w:style w:type="character" w:customStyle="1" w:styleId="ParaNumChar1">
    <w:name w:val="ParaNum Char1"/>
    <w:link w:val="ParaNum"/>
    <w:locked/>
    <w:rsid w:val="00E11C98"/>
    <w:rPr>
      <w:kern w:val="28"/>
      <w:sz w:val="22"/>
    </w:rPr>
  </w:style>
  <w:style w:type="character" w:customStyle="1" w:styleId="UnresolvedMention1">
    <w:name w:val="Unresolved Mention1"/>
    <w:basedOn w:val="DefaultParagraphFont"/>
    <w:uiPriority w:val="99"/>
    <w:semiHidden/>
    <w:unhideWhenUsed/>
    <w:rsid w:val="00B52B84"/>
    <w:rPr>
      <w:color w:val="808080"/>
      <w:shd w:val="clear" w:color="auto" w:fill="E6E6E6"/>
    </w:rPr>
  </w:style>
  <w:style w:type="character" w:styleId="CommentReference">
    <w:name w:val="annotation reference"/>
    <w:basedOn w:val="DefaultParagraphFont"/>
    <w:uiPriority w:val="99"/>
    <w:semiHidden/>
    <w:unhideWhenUsed/>
    <w:rsid w:val="00E42B39"/>
    <w:rPr>
      <w:sz w:val="16"/>
      <w:szCs w:val="16"/>
    </w:rPr>
  </w:style>
  <w:style w:type="paragraph" w:styleId="CommentText">
    <w:name w:val="annotation text"/>
    <w:basedOn w:val="Normal"/>
    <w:link w:val="CommentTextChar"/>
    <w:uiPriority w:val="99"/>
    <w:semiHidden/>
    <w:unhideWhenUsed/>
    <w:rsid w:val="00E42B39"/>
  </w:style>
  <w:style w:type="character" w:customStyle="1" w:styleId="CommentTextChar">
    <w:name w:val="Comment Text Char"/>
    <w:basedOn w:val="DefaultParagraphFont"/>
    <w:link w:val="CommentText"/>
    <w:uiPriority w:val="99"/>
    <w:semiHidden/>
    <w:rsid w:val="00E42B39"/>
  </w:style>
  <w:style w:type="paragraph" w:styleId="CommentSubject">
    <w:name w:val="annotation subject"/>
    <w:basedOn w:val="CommentText"/>
    <w:next w:val="CommentText"/>
    <w:link w:val="CommentSubjectChar"/>
    <w:uiPriority w:val="99"/>
    <w:semiHidden/>
    <w:unhideWhenUsed/>
    <w:rsid w:val="00E42B39"/>
    <w:rPr>
      <w:b/>
      <w:bCs/>
    </w:rPr>
  </w:style>
  <w:style w:type="character" w:customStyle="1" w:styleId="CommentSubjectChar">
    <w:name w:val="Comment Subject Char"/>
    <w:basedOn w:val="CommentTextChar"/>
    <w:link w:val="CommentSubject"/>
    <w:uiPriority w:val="99"/>
    <w:semiHidden/>
    <w:rsid w:val="00E42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C342-A225-4506-A64B-9FB600B4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2018-03-29T18:08:48Z</dcterms:created>
  <dcterms:modified xsi:type="dcterms:W3CDTF">2018-03-29T18:08:48Z</dcterms:modified>
</cp:coreProperties>
</file>