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25FA8" w:rsidP="00225FA8" w14:paraId="6AF68111" w14:textId="77777777">
      <w:pPr>
        <w:tabs>
          <w:tab w:val="left" w:pos="2160"/>
        </w:tabs>
        <w:jc w:val="center"/>
        <w:rPr>
          <w:b/>
          <w:szCs w:val="24"/>
        </w:rPr>
      </w:pPr>
      <w:bookmarkStart w:id="0" w:name="_GoBack"/>
      <w:bookmarkEnd w:id="0"/>
      <w:r>
        <w:rPr>
          <w:b/>
          <w:szCs w:val="24"/>
        </w:rPr>
        <w:t>Before the</w:t>
      </w:r>
    </w:p>
    <w:p w:rsidR="00225FA8" w:rsidP="00225FA8" w14:paraId="0DC249FD" w14:textId="77777777">
      <w:pPr>
        <w:jc w:val="center"/>
        <w:rPr>
          <w:b/>
          <w:szCs w:val="24"/>
        </w:rPr>
      </w:pPr>
      <w:r>
        <w:rPr>
          <w:b/>
          <w:szCs w:val="24"/>
        </w:rPr>
        <w:t>Federal Communications Commission</w:t>
      </w:r>
    </w:p>
    <w:p w:rsidR="00225FA8" w:rsidP="00225FA8" w14:paraId="719D1618" w14:textId="77777777">
      <w:pPr>
        <w:jc w:val="center"/>
        <w:rPr>
          <w:b/>
          <w:szCs w:val="24"/>
        </w:rPr>
      </w:pPr>
      <w:r>
        <w:rPr>
          <w:b/>
          <w:szCs w:val="24"/>
        </w:rPr>
        <w:t>Washington, D.C. 20554</w:t>
      </w:r>
    </w:p>
    <w:p w:rsidR="00225FA8" w:rsidP="00225FA8" w14:paraId="326596D9" w14:textId="77777777">
      <w:pPr>
        <w:rPr>
          <w:szCs w:val="24"/>
        </w:rPr>
      </w:pPr>
    </w:p>
    <w:p w:rsidR="00225FA8" w:rsidP="00225FA8" w14:paraId="7E58CDAF" w14:textId="77777777">
      <w:pPr>
        <w:rPr>
          <w:szCs w:val="24"/>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14:paraId="7F982B4E" w14:textId="77777777" w:rsidTr="00225FA8">
        <w:tblPrEx>
          <w:tblW w:w="0" w:type="auto"/>
          <w:tblInd w:w="0" w:type="dxa"/>
          <w:tblLayout w:type="fixed"/>
          <w:tblCellMar>
            <w:top w:w="0" w:type="dxa"/>
            <w:left w:w="108" w:type="dxa"/>
            <w:bottom w:w="0" w:type="dxa"/>
            <w:right w:w="108" w:type="dxa"/>
          </w:tblCellMar>
          <w:tblLook w:val="0000"/>
        </w:tblPrEx>
        <w:trPr>
          <w:trHeight w:val="1530"/>
        </w:trPr>
        <w:tc>
          <w:tcPr>
            <w:tcW w:w="4698" w:type="dxa"/>
          </w:tcPr>
          <w:p w:rsidR="00225FA8" w:rsidP="00DF0EA2" w14:paraId="2FD79E06" w14:textId="77777777">
            <w:pPr>
              <w:ind w:right="-18"/>
              <w:rPr>
                <w:rStyle w:val="DefaultParagraphFont"/>
                <w:sz w:val="22"/>
                <w:szCs w:val="24"/>
                <w:lang w:val="en-US" w:eastAsia="en-US" w:bidi="ar-SA"/>
              </w:rPr>
            </w:pPr>
            <w:bookmarkStart w:id="1" w:name="_Hlk510602913"/>
            <w:r>
              <w:rPr>
                <w:sz w:val="22"/>
                <w:szCs w:val="24"/>
                <w:lang w:val="en-US" w:eastAsia="en-US" w:bidi="ar-SA"/>
              </w:rPr>
              <w:t>In the Matter of</w:t>
            </w:r>
          </w:p>
          <w:p w:rsidR="00225FA8" w:rsidP="00DF0EA2" w14:paraId="7DD611EF" w14:textId="77777777">
            <w:pPr>
              <w:ind w:right="-18"/>
              <w:rPr>
                <w:rStyle w:val="DefaultParagraphFont"/>
                <w:sz w:val="22"/>
                <w:szCs w:val="24"/>
                <w:lang w:val="en-US" w:eastAsia="en-US" w:bidi="ar-SA"/>
              </w:rPr>
            </w:pPr>
          </w:p>
          <w:p w:rsidR="00225FA8" w:rsidP="00DF0EA2" w14:paraId="187B0226" w14:textId="77777777">
            <w:pPr>
              <w:ind w:right="-18"/>
              <w:rPr>
                <w:rStyle w:val="DefaultParagraphFont"/>
                <w:sz w:val="22"/>
                <w:szCs w:val="24"/>
                <w:lang w:val="en-US" w:eastAsia="en-US" w:bidi="ar-SA"/>
              </w:rPr>
            </w:pPr>
            <w:r>
              <w:rPr>
                <w:sz w:val="22"/>
                <w:szCs w:val="24"/>
                <w:lang w:val="en-US" w:eastAsia="en-US" w:bidi="ar-SA"/>
              </w:rPr>
              <w:t>July 1, 2018</w:t>
            </w:r>
          </w:p>
          <w:p w:rsidR="00225FA8" w:rsidP="00DF0EA2" w14:paraId="420E3D40" w14:textId="77777777">
            <w:pPr>
              <w:ind w:right="-18"/>
              <w:rPr>
                <w:rStyle w:val="DefaultParagraphFont"/>
                <w:sz w:val="22"/>
                <w:szCs w:val="24"/>
                <w:lang w:val="en-US" w:eastAsia="en-US" w:bidi="ar-SA"/>
              </w:rPr>
            </w:pPr>
            <w:r>
              <w:rPr>
                <w:sz w:val="22"/>
                <w:szCs w:val="24"/>
                <w:lang w:val="en-US" w:eastAsia="en-US" w:bidi="ar-SA"/>
              </w:rPr>
              <w:t>Annual Access Charge Tariff Filings</w:t>
            </w:r>
          </w:p>
          <w:p w:rsidR="00225FA8" w:rsidP="00DF0EA2" w14:paraId="3750AB19" w14:textId="77777777">
            <w:pPr>
              <w:ind w:right="-18"/>
              <w:rPr>
                <w:rStyle w:val="DefaultParagraphFont"/>
                <w:sz w:val="22"/>
                <w:szCs w:val="24"/>
                <w:lang w:val="en-US" w:eastAsia="en-US" w:bidi="ar-SA"/>
              </w:rPr>
            </w:pPr>
          </w:p>
          <w:p w:rsidR="00225FA8" w:rsidP="00DF0EA2" w14:paraId="2CC0B8AC" w14:textId="77777777">
            <w:pPr>
              <w:ind w:right="-18"/>
              <w:rPr>
                <w:rStyle w:val="DefaultParagraphFont"/>
                <w:sz w:val="22"/>
                <w:szCs w:val="24"/>
                <w:lang w:val="en-US" w:eastAsia="en-US" w:bidi="ar-SA"/>
              </w:rPr>
            </w:pPr>
          </w:p>
          <w:p w:rsidR="00225FA8" w:rsidP="00DF0EA2" w14:paraId="7879691C" w14:textId="77777777">
            <w:pPr>
              <w:ind w:right="-18"/>
              <w:rPr>
                <w:rStyle w:val="DefaultParagraphFont"/>
                <w:sz w:val="22"/>
                <w:szCs w:val="24"/>
                <w:lang w:val="en-US" w:eastAsia="en-US" w:bidi="ar-SA"/>
              </w:rPr>
            </w:pPr>
          </w:p>
        </w:tc>
        <w:tc>
          <w:tcPr>
            <w:tcW w:w="720" w:type="dxa"/>
          </w:tcPr>
          <w:p w:rsidR="00225FA8" w:rsidP="00DF0EA2" w14:paraId="64C25413" w14:textId="77777777">
            <w:pPr>
              <w:rPr>
                <w:rStyle w:val="DefaultParagraphFont"/>
                <w:b/>
                <w:sz w:val="22"/>
                <w:szCs w:val="24"/>
                <w:lang w:val="en-US" w:eastAsia="en-US" w:bidi="ar-SA"/>
              </w:rPr>
            </w:pPr>
            <w:r>
              <w:rPr>
                <w:b/>
                <w:sz w:val="22"/>
                <w:szCs w:val="24"/>
                <w:lang w:val="en-US" w:eastAsia="en-US" w:bidi="ar-SA"/>
              </w:rPr>
              <w:t>)</w:t>
            </w:r>
          </w:p>
          <w:p w:rsidR="00225FA8" w:rsidP="00DF0EA2" w14:paraId="0E205551" w14:textId="77777777">
            <w:pPr>
              <w:rPr>
                <w:rStyle w:val="DefaultParagraphFont"/>
                <w:b/>
                <w:sz w:val="22"/>
                <w:szCs w:val="24"/>
                <w:lang w:val="en-US" w:eastAsia="en-US" w:bidi="ar-SA"/>
              </w:rPr>
            </w:pPr>
            <w:r>
              <w:rPr>
                <w:b/>
                <w:sz w:val="22"/>
                <w:szCs w:val="24"/>
                <w:lang w:val="en-US" w:eastAsia="en-US" w:bidi="ar-SA"/>
              </w:rPr>
              <w:t>)</w:t>
            </w:r>
          </w:p>
          <w:p w:rsidR="00225FA8" w:rsidP="00DF0EA2" w14:paraId="0975B3EF" w14:textId="77777777">
            <w:pPr>
              <w:rPr>
                <w:rStyle w:val="DefaultParagraphFont"/>
                <w:b/>
                <w:sz w:val="22"/>
                <w:szCs w:val="24"/>
                <w:lang w:val="en-US" w:eastAsia="en-US" w:bidi="ar-SA"/>
              </w:rPr>
            </w:pPr>
            <w:r>
              <w:rPr>
                <w:b/>
                <w:sz w:val="22"/>
                <w:szCs w:val="24"/>
                <w:lang w:val="en-US" w:eastAsia="en-US" w:bidi="ar-SA"/>
              </w:rPr>
              <w:t>)</w:t>
            </w:r>
          </w:p>
          <w:p w:rsidR="00225FA8" w:rsidP="00DF0EA2" w14:paraId="03849173" w14:textId="77777777">
            <w:pPr>
              <w:rPr>
                <w:rStyle w:val="DefaultParagraphFont"/>
                <w:b/>
                <w:sz w:val="22"/>
                <w:szCs w:val="24"/>
                <w:lang w:val="en-US" w:eastAsia="en-US" w:bidi="ar-SA"/>
              </w:rPr>
            </w:pPr>
            <w:r>
              <w:rPr>
                <w:b/>
                <w:sz w:val="22"/>
                <w:szCs w:val="24"/>
                <w:lang w:val="en-US" w:eastAsia="en-US" w:bidi="ar-SA"/>
              </w:rPr>
              <w:t>)</w:t>
            </w:r>
          </w:p>
          <w:p w:rsidR="00225FA8" w:rsidP="00DF0EA2" w14:paraId="0FCC900B" w14:textId="77777777">
            <w:pPr>
              <w:rPr>
                <w:rStyle w:val="DefaultParagraphFont"/>
                <w:b/>
                <w:sz w:val="22"/>
                <w:szCs w:val="24"/>
                <w:lang w:val="en-US" w:eastAsia="en-US" w:bidi="ar-SA"/>
              </w:rPr>
            </w:pPr>
            <w:r>
              <w:rPr>
                <w:b/>
                <w:sz w:val="22"/>
                <w:szCs w:val="24"/>
                <w:lang w:val="en-US" w:eastAsia="en-US" w:bidi="ar-SA"/>
              </w:rPr>
              <w:t>)</w:t>
            </w:r>
          </w:p>
        </w:tc>
        <w:tc>
          <w:tcPr>
            <w:tcW w:w="4230" w:type="dxa"/>
          </w:tcPr>
          <w:p w:rsidR="00225FA8" w:rsidP="00DF0EA2" w14:paraId="35BEB05E" w14:textId="77777777">
            <w:pPr>
              <w:rPr>
                <w:rStyle w:val="DefaultParagraphFont"/>
                <w:sz w:val="22"/>
                <w:szCs w:val="24"/>
                <w:lang w:val="en-US" w:eastAsia="en-US" w:bidi="ar-SA"/>
              </w:rPr>
            </w:pPr>
          </w:p>
          <w:p w:rsidR="00225FA8" w:rsidP="00DF0EA2" w14:paraId="6F80CCBA" w14:textId="77777777">
            <w:pPr>
              <w:rPr>
                <w:rStyle w:val="DefaultParagraphFont"/>
                <w:sz w:val="22"/>
                <w:szCs w:val="24"/>
                <w:lang w:val="en-US" w:eastAsia="en-US" w:bidi="ar-SA"/>
              </w:rPr>
            </w:pPr>
          </w:p>
          <w:p w:rsidR="00225FA8" w:rsidP="00DF0EA2" w14:paraId="3B3AFFD2" w14:textId="2ED9CAB3">
            <w:pPr>
              <w:rPr>
                <w:rStyle w:val="DefaultParagraphFont"/>
                <w:b/>
                <w:sz w:val="22"/>
                <w:szCs w:val="24"/>
                <w:lang w:val="en-US" w:eastAsia="en-US" w:bidi="ar-SA"/>
              </w:rPr>
            </w:pPr>
            <w:r>
              <w:rPr>
                <w:spacing w:val="-2"/>
                <w:sz w:val="22"/>
                <w:szCs w:val="24"/>
                <w:lang w:val="en-US" w:eastAsia="en-US" w:bidi="ar-SA"/>
              </w:rPr>
              <w:t>WC Docket No. 18</w:t>
            </w:r>
            <w:r w:rsidR="00E905AE">
              <w:rPr>
                <w:spacing w:val="-2"/>
                <w:sz w:val="22"/>
                <w:szCs w:val="24"/>
                <w:lang w:val="en-US" w:eastAsia="en-US" w:bidi="ar-SA"/>
              </w:rPr>
              <w:t>-</w:t>
            </w:r>
            <w:r w:rsidR="00747E1D">
              <w:rPr>
                <w:spacing w:val="-2"/>
                <w:sz w:val="22"/>
                <w:szCs w:val="24"/>
                <w:lang w:val="en-US" w:eastAsia="en-US" w:bidi="ar-SA"/>
              </w:rPr>
              <w:t>100</w:t>
            </w:r>
          </w:p>
          <w:p w:rsidR="00225FA8" w:rsidP="00DF0EA2" w14:paraId="6174E5B1" w14:textId="77777777">
            <w:pPr>
              <w:rPr>
                <w:rStyle w:val="DefaultParagraphFont"/>
                <w:sz w:val="22"/>
                <w:szCs w:val="24"/>
                <w:lang w:val="en-US" w:eastAsia="en-US" w:bidi="ar-SA"/>
              </w:rPr>
            </w:pPr>
          </w:p>
          <w:p w:rsidR="00225FA8" w:rsidP="00DF0EA2" w14:paraId="5C9C9F4D" w14:textId="77777777">
            <w:pPr>
              <w:rPr>
                <w:rStyle w:val="DefaultParagraphFont"/>
                <w:b/>
                <w:sz w:val="22"/>
                <w:szCs w:val="24"/>
                <w:lang w:val="en-US" w:eastAsia="en-US" w:bidi="ar-SA"/>
              </w:rPr>
            </w:pPr>
          </w:p>
        </w:tc>
      </w:tr>
    </w:tbl>
    <w:p w:rsidR="00225FA8" w:rsidP="00225FA8" w14:paraId="0BC2437A" w14:textId="77777777">
      <w:pPr>
        <w:jc w:val="center"/>
        <w:rPr>
          <w:b/>
          <w:szCs w:val="24"/>
        </w:rPr>
      </w:pPr>
      <w:bookmarkEnd w:id="1"/>
      <w:r>
        <w:rPr>
          <w:b/>
          <w:spacing w:val="-2"/>
          <w:szCs w:val="24"/>
        </w:rPr>
        <w:t>ORDER</w:t>
      </w:r>
    </w:p>
    <w:p w:rsidR="00225FA8" w:rsidP="00225FA8" w14:paraId="36A367C7" w14:textId="77777777">
      <w:pPr>
        <w:tabs>
          <w:tab w:val="left" w:pos="5760"/>
        </w:tabs>
        <w:rPr>
          <w:szCs w:val="24"/>
        </w:rPr>
      </w:pPr>
    </w:p>
    <w:p w:rsidR="00225FA8" w:rsidP="00225FA8" w14:paraId="35D10992" w14:textId="6E8D70D0">
      <w:pPr>
        <w:tabs>
          <w:tab w:val="left" w:pos="5760"/>
        </w:tabs>
        <w:rPr>
          <w:b/>
          <w:szCs w:val="24"/>
        </w:rPr>
      </w:pPr>
      <w:r>
        <w:rPr>
          <w:b/>
          <w:szCs w:val="24"/>
        </w:rPr>
        <w:t xml:space="preserve">Adopted:  </w:t>
      </w:r>
      <w:r w:rsidR="005E5A0D">
        <w:rPr>
          <w:b/>
          <w:szCs w:val="24"/>
        </w:rPr>
        <w:t>April</w:t>
      </w:r>
      <w:r w:rsidR="00747E1D">
        <w:rPr>
          <w:b/>
          <w:szCs w:val="24"/>
        </w:rPr>
        <w:t xml:space="preserve"> 5</w:t>
      </w:r>
      <w:r>
        <w:rPr>
          <w:b/>
          <w:szCs w:val="24"/>
        </w:rPr>
        <w:t>,</w:t>
      </w:r>
      <w:r w:rsidR="008C3A8B">
        <w:rPr>
          <w:b/>
          <w:szCs w:val="24"/>
        </w:rPr>
        <w:t xml:space="preserve"> 2018</w:t>
      </w:r>
      <w:r>
        <w:rPr>
          <w:b/>
          <w:szCs w:val="24"/>
        </w:rPr>
        <w:tab/>
      </w:r>
      <w:r>
        <w:rPr>
          <w:b/>
          <w:szCs w:val="24"/>
        </w:rPr>
        <w:tab/>
        <w:t xml:space="preserve">Released:  </w:t>
      </w:r>
      <w:r w:rsidR="005E5A0D">
        <w:rPr>
          <w:b/>
          <w:szCs w:val="24"/>
        </w:rPr>
        <w:t>April</w:t>
      </w:r>
      <w:r>
        <w:rPr>
          <w:b/>
          <w:szCs w:val="24"/>
        </w:rPr>
        <w:t xml:space="preserve"> </w:t>
      </w:r>
      <w:r w:rsidR="00747E1D">
        <w:rPr>
          <w:b/>
          <w:szCs w:val="24"/>
        </w:rPr>
        <w:t>5</w:t>
      </w:r>
      <w:r w:rsidR="008C3A8B">
        <w:rPr>
          <w:b/>
          <w:szCs w:val="24"/>
        </w:rPr>
        <w:t>, 2018</w:t>
      </w:r>
    </w:p>
    <w:p w:rsidR="00225FA8" w:rsidP="00225FA8" w14:paraId="2F68FC6F" w14:textId="77777777">
      <w:pPr>
        <w:tabs>
          <w:tab w:val="left" w:pos="5760"/>
        </w:tabs>
        <w:rPr>
          <w:b/>
          <w:szCs w:val="24"/>
        </w:rPr>
      </w:pPr>
    </w:p>
    <w:p w:rsidR="00225FA8" w:rsidP="00225FA8" w14:paraId="69A8F25B" w14:textId="77777777">
      <w:pPr>
        <w:tabs>
          <w:tab w:val="left" w:pos="5760"/>
        </w:tabs>
        <w:rPr>
          <w:spacing w:val="-2"/>
          <w:szCs w:val="24"/>
        </w:rPr>
      </w:pPr>
      <w:r>
        <w:rPr>
          <w:szCs w:val="24"/>
        </w:rPr>
        <w:t>By the C</w:t>
      </w:r>
      <w:r>
        <w:rPr>
          <w:spacing w:val="-2"/>
          <w:szCs w:val="24"/>
        </w:rPr>
        <w:t>hief, Pricing Policy Division:</w:t>
      </w:r>
    </w:p>
    <w:p w:rsidR="00225FA8" w:rsidP="00225FA8" w14:paraId="11668A91" w14:textId="77777777">
      <w:pPr>
        <w:tabs>
          <w:tab w:val="left" w:pos="2160"/>
          <w:tab w:val="left" w:pos="5760"/>
        </w:tabs>
        <w:rPr>
          <w:spacing w:val="-2"/>
          <w:szCs w:val="24"/>
        </w:rPr>
      </w:pPr>
    </w:p>
    <w:p w:rsidR="00225FA8" w:rsidP="00225FA8" w14:paraId="25DE99AB" w14:textId="77777777">
      <w:pPr>
        <w:tabs>
          <w:tab w:val="left" w:pos="2880"/>
          <w:tab w:val="left" w:pos="3600"/>
          <w:tab w:val="left" w:pos="5760"/>
        </w:tabs>
        <w:rPr>
          <w:spacing w:val="-2"/>
          <w:szCs w:val="24"/>
        </w:rPr>
      </w:pPr>
      <w:bookmarkStart w:id="2" w:name="_Hlk508631324"/>
      <w:r>
        <w:rPr>
          <w:spacing w:val="-2"/>
          <w:szCs w:val="24"/>
        </w:rPr>
        <w:t>15-DA</w:t>
      </w:r>
      <w:r w:rsidR="00ED7A99">
        <w:rPr>
          <w:spacing w:val="-2"/>
          <w:szCs w:val="24"/>
        </w:rPr>
        <w:t>Y TARIFF FILINGS:</w:t>
      </w:r>
      <w:r w:rsidR="00ED7A99">
        <w:rPr>
          <w:spacing w:val="-2"/>
          <w:szCs w:val="24"/>
        </w:rPr>
        <w:tab/>
      </w:r>
      <w:r w:rsidR="00ED7A99">
        <w:rPr>
          <w:spacing w:val="-2"/>
          <w:szCs w:val="24"/>
        </w:rPr>
        <w:tab/>
        <w:t>June 18</w:t>
      </w:r>
      <w:r w:rsidR="008C3A8B">
        <w:rPr>
          <w:spacing w:val="-2"/>
          <w:szCs w:val="24"/>
        </w:rPr>
        <w:t>, 2018</w:t>
      </w:r>
    </w:p>
    <w:p w:rsidR="00456143" w:rsidP="00225FA8" w14:paraId="67BA096A" w14:textId="77777777">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t>July 3</w:t>
      </w:r>
      <w:r w:rsidR="008C3A8B">
        <w:rPr>
          <w:spacing w:val="-2"/>
          <w:szCs w:val="24"/>
        </w:rPr>
        <w:t>, 2018</w:t>
      </w:r>
    </w:p>
    <w:p w:rsidR="00225FA8" w:rsidP="00225FA8" w14:paraId="67080E9B" w14:textId="77777777">
      <w:pPr>
        <w:tabs>
          <w:tab w:val="left" w:pos="2880"/>
          <w:tab w:val="left" w:pos="3600"/>
          <w:tab w:val="left" w:pos="5760"/>
        </w:tabs>
        <w:rPr>
          <w:spacing w:val="-2"/>
          <w:szCs w:val="24"/>
        </w:rPr>
      </w:pPr>
      <w:r>
        <w:rPr>
          <w:spacing w:val="-2"/>
          <w:szCs w:val="24"/>
        </w:rPr>
        <w:t>PETITIONS:</w:t>
      </w:r>
      <w:r>
        <w:rPr>
          <w:spacing w:val="-2"/>
          <w:szCs w:val="24"/>
        </w:rPr>
        <w:tab/>
      </w:r>
      <w:r>
        <w:rPr>
          <w:spacing w:val="-2"/>
          <w:szCs w:val="24"/>
        </w:rPr>
        <w:tab/>
        <w:t xml:space="preserve">June </w:t>
      </w:r>
      <w:r w:rsidR="00754361">
        <w:rPr>
          <w:spacing w:val="-2"/>
          <w:szCs w:val="24"/>
        </w:rPr>
        <w:t>25</w:t>
      </w:r>
      <w:r>
        <w:rPr>
          <w:spacing w:val="-2"/>
          <w:szCs w:val="24"/>
        </w:rPr>
        <w:t>, 2018</w:t>
      </w:r>
    </w:p>
    <w:p w:rsidR="00225FA8" w:rsidP="00225FA8" w14:paraId="3B254E1D" w14:textId="4EE571BF">
      <w:pPr>
        <w:tabs>
          <w:tab w:val="left" w:pos="2880"/>
          <w:tab w:val="left" w:pos="5760"/>
        </w:tabs>
        <w:rPr>
          <w:spacing w:val="-2"/>
          <w:szCs w:val="24"/>
        </w:rPr>
      </w:pPr>
      <w:r>
        <w:rPr>
          <w:spacing w:val="-2"/>
          <w:szCs w:val="24"/>
        </w:rPr>
        <w:t>REPLIES:</w:t>
      </w:r>
      <w:r>
        <w:rPr>
          <w:spacing w:val="-2"/>
          <w:szCs w:val="24"/>
        </w:rPr>
        <w:tab/>
        <w:t xml:space="preserve">              </w:t>
      </w:r>
      <w:r w:rsidR="008C3A8B">
        <w:rPr>
          <w:spacing w:val="-2"/>
          <w:szCs w:val="24"/>
        </w:rPr>
        <w:t xml:space="preserve">June </w:t>
      </w:r>
      <w:r w:rsidR="00754361">
        <w:rPr>
          <w:spacing w:val="-2"/>
          <w:szCs w:val="24"/>
        </w:rPr>
        <w:t>2</w:t>
      </w:r>
      <w:r w:rsidR="009232E6">
        <w:rPr>
          <w:spacing w:val="-2"/>
          <w:szCs w:val="24"/>
        </w:rPr>
        <w:t>8</w:t>
      </w:r>
      <w:r w:rsidR="008C3A8B">
        <w:rPr>
          <w:spacing w:val="-2"/>
          <w:szCs w:val="24"/>
        </w:rPr>
        <w:t>, 2018</w:t>
      </w:r>
      <w:r>
        <w:rPr>
          <w:spacing w:val="-2"/>
          <w:szCs w:val="24"/>
        </w:rPr>
        <w:t xml:space="preserve"> </w:t>
      </w:r>
    </w:p>
    <w:p w:rsidR="00225FA8" w:rsidRPr="006508B2" w:rsidP="00225FA8" w14:paraId="21328767" w14:textId="77777777">
      <w:pPr>
        <w:tabs>
          <w:tab w:val="left" w:pos="2880"/>
          <w:tab w:val="left" w:pos="5760"/>
        </w:tabs>
        <w:rPr>
          <w:color w:val="FF0000"/>
          <w:spacing w:val="-2"/>
          <w:szCs w:val="24"/>
        </w:rPr>
      </w:pPr>
    </w:p>
    <w:p w:rsidR="00225FA8" w:rsidP="00225FA8" w14:paraId="2A813E3B" w14:textId="45284255">
      <w:pPr>
        <w:tabs>
          <w:tab w:val="left" w:pos="2880"/>
          <w:tab w:val="left" w:pos="3600"/>
          <w:tab w:val="left" w:pos="5760"/>
        </w:tabs>
        <w:rPr>
          <w:spacing w:val="-2"/>
          <w:szCs w:val="24"/>
        </w:rPr>
      </w:pPr>
      <w:r>
        <w:rPr>
          <w:spacing w:val="-2"/>
          <w:szCs w:val="24"/>
        </w:rPr>
        <w:t>7-DA</w:t>
      </w:r>
      <w:r w:rsidR="00067AA0">
        <w:rPr>
          <w:spacing w:val="-2"/>
          <w:szCs w:val="24"/>
        </w:rPr>
        <w:t>Y TARIFF FILINGS:</w:t>
      </w:r>
      <w:r w:rsidR="00067AA0">
        <w:rPr>
          <w:spacing w:val="-2"/>
          <w:szCs w:val="24"/>
        </w:rPr>
        <w:tab/>
      </w:r>
      <w:r w:rsidR="00067AA0">
        <w:rPr>
          <w:spacing w:val="-2"/>
          <w:szCs w:val="24"/>
        </w:rPr>
        <w:tab/>
        <w:t xml:space="preserve">June </w:t>
      </w:r>
      <w:r w:rsidRPr="00067AA0" w:rsidR="00067AA0">
        <w:rPr>
          <w:spacing w:val="-2"/>
          <w:szCs w:val="24"/>
        </w:rPr>
        <w:t>2</w:t>
      </w:r>
      <w:r w:rsidR="001959FE">
        <w:rPr>
          <w:spacing w:val="-2"/>
          <w:szCs w:val="24"/>
        </w:rPr>
        <w:t>6</w:t>
      </w:r>
      <w:r w:rsidR="008C3A8B">
        <w:rPr>
          <w:spacing w:val="-2"/>
          <w:szCs w:val="24"/>
        </w:rPr>
        <w:t>, 2018</w:t>
      </w:r>
    </w:p>
    <w:p w:rsidR="00456143" w:rsidP="00225FA8" w14:paraId="3B3D1FAC" w14:textId="34858149">
      <w:pPr>
        <w:tabs>
          <w:tab w:val="left" w:pos="2880"/>
          <w:tab w:val="left" w:pos="3600"/>
          <w:tab w:val="left" w:pos="5760"/>
        </w:tabs>
        <w:rPr>
          <w:spacing w:val="-2"/>
          <w:szCs w:val="24"/>
        </w:rPr>
      </w:pPr>
      <w:r>
        <w:rPr>
          <w:spacing w:val="-2"/>
          <w:szCs w:val="24"/>
        </w:rPr>
        <w:t>EFFECTIVE:</w:t>
      </w:r>
      <w:r>
        <w:rPr>
          <w:spacing w:val="-2"/>
          <w:szCs w:val="24"/>
        </w:rPr>
        <w:tab/>
      </w:r>
      <w:r>
        <w:rPr>
          <w:spacing w:val="-2"/>
          <w:szCs w:val="24"/>
        </w:rPr>
        <w:tab/>
      </w:r>
      <w:r w:rsidR="00067AA0">
        <w:rPr>
          <w:spacing w:val="-2"/>
          <w:szCs w:val="24"/>
        </w:rPr>
        <w:t xml:space="preserve">July </w:t>
      </w:r>
      <w:r w:rsidR="001959FE">
        <w:rPr>
          <w:spacing w:val="-2"/>
          <w:szCs w:val="24"/>
        </w:rPr>
        <w:t>3</w:t>
      </w:r>
      <w:r w:rsidR="008C3A8B">
        <w:rPr>
          <w:spacing w:val="-2"/>
          <w:szCs w:val="24"/>
        </w:rPr>
        <w:t>, 2018</w:t>
      </w:r>
    </w:p>
    <w:p w:rsidR="00225FA8" w:rsidRPr="006508B2" w:rsidP="00225FA8" w14:paraId="32F4D2D7" w14:textId="77777777">
      <w:pPr>
        <w:tabs>
          <w:tab w:val="left" w:pos="2880"/>
          <w:tab w:val="left" w:pos="5760"/>
        </w:tabs>
        <w:rPr>
          <w:color w:val="FF0000"/>
          <w:spacing w:val="-2"/>
          <w:szCs w:val="24"/>
        </w:rPr>
      </w:pPr>
      <w:r>
        <w:rPr>
          <w:spacing w:val="-2"/>
          <w:szCs w:val="24"/>
        </w:rPr>
        <w:t>PETITIONS:</w:t>
      </w:r>
      <w:r>
        <w:rPr>
          <w:spacing w:val="-2"/>
          <w:szCs w:val="24"/>
        </w:rPr>
        <w:tab/>
        <w:t xml:space="preserve">             </w:t>
      </w:r>
      <w:r w:rsidR="00A627D4">
        <w:rPr>
          <w:spacing w:val="-2"/>
          <w:szCs w:val="24"/>
        </w:rPr>
        <w:t xml:space="preserve"> </w:t>
      </w:r>
      <w:r w:rsidR="005851B4">
        <w:rPr>
          <w:spacing w:val="-2"/>
          <w:szCs w:val="24"/>
        </w:rPr>
        <w:t xml:space="preserve">June </w:t>
      </w:r>
      <w:r w:rsidR="0031084E">
        <w:rPr>
          <w:spacing w:val="-2"/>
          <w:szCs w:val="24"/>
        </w:rPr>
        <w:t>27</w:t>
      </w:r>
      <w:r w:rsidR="008C3A8B">
        <w:rPr>
          <w:spacing w:val="-2"/>
          <w:szCs w:val="24"/>
        </w:rPr>
        <w:t>, 2018</w:t>
      </w:r>
      <w:r>
        <w:rPr>
          <w:spacing w:val="-2"/>
          <w:szCs w:val="24"/>
        </w:rPr>
        <w:t xml:space="preserve"> (due no later than 12:00 p.m. (noon) Eastern Time)</w:t>
      </w:r>
    </w:p>
    <w:p w:rsidR="00225FA8" w:rsidP="00225FA8" w14:paraId="75495546" w14:textId="77777777">
      <w:pPr>
        <w:tabs>
          <w:tab w:val="left" w:pos="2880"/>
          <w:tab w:val="left" w:pos="5760"/>
        </w:tabs>
        <w:rPr>
          <w:spacing w:val="-2"/>
          <w:szCs w:val="24"/>
        </w:rPr>
      </w:pPr>
      <w:r>
        <w:rPr>
          <w:spacing w:val="-2"/>
          <w:szCs w:val="24"/>
        </w:rPr>
        <w:t>REPLIES:</w:t>
      </w:r>
      <w:r>
        <w:rPr>
          <w:spacing w:val="-2"/>
          <w:szCs w:val="24"/>
        </w:rPr>
        <w:tab/>
        <w:t xml:space="preserve">              </w:t>
      </w:r>
      <w:r w:rsidR="005851B4">
        <w:rPr>
          <w:spacing w:val="-2"/>
          <w:szCs w:val="24"/>
        </w:rPr>
        <w:t>Ju</w:t>
      </w:r>
      <w:r w:rsidR="0031084E">
        <w:rPr>
          <w:spacing w:val="-2"/>
          <w:szCs w:val="24"/>
        </w:rPr>
        <w:t>ne</w:t>
      </w:r>
      <w:r w:rsidR="00754361">
        <w:rPr>
          <w:spacing w:val="-2"/>
          <w:szCs w:val="24"/>
        </w:rPr>
        <w:t xml:space="preserve"> 2</w:t>
      </w:r>
      <w:r w:rsidR="0031084E">
        <w:rPr>
          <w:spacing w:val="-2"/>
          <w:szCs w:val="24"/>
        </w:rPr>
        <w:t>9</w:t>
      </w:r>
      <w:r w:rsidR="008C3A8B">
        <w:rPr>
          <w:spacing w:val="-2"/>
          <w:szCs w:val="24"/>
        </w:rPr>
        <w:t>, 2018</w:t>
      </w:r>
      <w:r>
        <w:rPr>
          <w:spacing w:val="-2"/>
          <w:szCs w:val="24"/>
        </w:rPr>
        <w:t xml:space="preserve"> (due no later than 12:00 p.m. (noon) Eastern Time)</w:t>
      </w:r>
      <w:r w:rsidR="00754361">
        <w:rPr>
          <w:spacing w:val="-2"/>
          <w:szCs w:val="24"/>
        </w:rPr>
        <w:t xml:space="preserve"> </w:t>
      </w:r>
    </w:p>
    <w:p w:rsidR="00225FA8" w:rsidRPr="006508B2" w:rsidP="00225FA8" w14:paraId="19595019" w14:textId="77777777">
      <w:pPr>
        <w:tabs>
          <w:tab w:val="left" w:pos="2880"/>
          <w:tab w:val="left" w:pos="3600"/>
          <w:tab w:val="left" w:pos="5760"/>
        </w:tabs>
        <w:rPr>
          <w:color w:val="FF0000"/>
          <w:spacing w:val="-2"/>
          <w:szCs w:val="24"/>
        </w:rPr>
      </w:pPr>
      <w:bookmarkEnd w:id="2"/>
    </w:p>
    <w:p w:rsidR="00225FA8" w:rsidP="00225FA8" w14:paraId="126297B1" w14:textId="77777777">
      <w:pPr>
        <w:tabs>
          <w:tab w:val="left" w:pos="2880"/>
          <w:tab w:val="left" w:pos="5760"/>
        </w:tabs>
        <w:rPr>
          <w:spacing w:val="-2"/>
          <w:szCs w:val="24"/>
        </w:rPr>
      </w:pPr>
    </w:p>
    <w:p w:rsidR="00225FA8" w:rsidRPr="00782DA6" w:rsidP="00225FA8" w14:paraId="6B621526" w14:textId="77777777">
      <w:pPr>
        <w:pStyle w:val="Heading1"/>
        <w:numPr>
          <w:ilvl w:val="0"/>
          <w:numId w:val="9"/>
        </w:numPr>
        <w:jc w:val="both"/>
      </w:pPr>
      <w:r>
        <w:t>INTRODUCTION</w:t>
      </w:r>
    </w:p>
    <w:p w:rsidR="00225FA8" w:rsidP="00BD5A96" w14:paraId="2CD24752" w14:textId="77777777">
      <w:pPr>
        <w:pStyle w:val="ParaNum"/>
        <w:tabs>
          <w:tab w:val="clear" w:pos="1080"/>
          <w:tab w:val="num" w:pos="1440"/>
        </w:tabs>
      </w:pPr>
      <w:r>
        <w:t>In this</w:t>
      </w:r>
      <w:r w:rsidRPr="008452C9">
        <w:t xml:space="preserve"> </w:t>
      </w:r>
      <w:r>
        <w:t>O</w:t>
      </w:r>
      <w:r w:rsidRPr="008452C9">
        <w:t>rder</w:t>
      </w:r>
      <w:r>
        <w:t>, we</w:t>
      </w:r>
      <w:r w:rsidR="00D60A0B">
        <w:t xml:space="preserve"> establish</w:t>
      </w:r>
      <w:r w:rsidRPr="008452C9">
        <w:t xml:space="preserve"> procedures for the 201</w:t>
      </w:r>
      <w:r w:rsidR="008C3A8B">
        <w:t>8</w:t>
      </w:r>
      <w:r w:rsidRPr="008452C9">
        <w:t xml:space="preserve"> filing of annual access charge tariffs and Tariff Review Plans (TRPs) for incumbent local exchange carrie</w:t>
      </w:r>
      <w:r>
        <w:t>rs (LECs) subject to price cap regulation, as well as rate-of-</w:t>
      </w:r>
      <w:r w:rsidRPr="008452C9">
        <w:t xml:space="preserve">return </w:t>
      </w:r>
      <w:r>
        <w:t xml:space="preserve">incumbent </w:t>
      </w:r>
      <w:r w:rsidRPr="008452C9">
        <w:t>LECs subject to section</w:t>
      </w:r>
      <w:r>
        <w:t>s</w:t>
      </w:r>
      <w:r w:rsidRPr="008452C9">
        <w:t xml:space="preserve"> 61.3</w:t>
      </w:r>
      <w:r>
        <w:t>8 and 61.39</w:t>
      </w:r>
      <w:r w:rsidRPr="008452C9">
        <w:t xml:space="preserve"> </w:t>
      </w:r>
      <w:r>
        <w:t>of the Commission’s rules.</w:t>
      </w:r>
      <w:r>
        <w:rPr>
          <w:rStyle w:val="FootnoteReference"/>
          <w:szCs w:val="24"/>
        </w:rPr>
        <w:footnoteReference w:id="3"/>
      </w:r>
      <w:r w:rsidRPr="008452C9">
        <w:t xml:space="preserve"> </w:t>
      </w:r>
    </w:p>
    <w:p w:rsidR="00225FA8" w:rsidRPr="00433C92" w:rsidP="00433C92" w14:paraId="1A06D9A7" w14:textId="6270CCB4">
      <w:pPr>
        <w:pStyle w:val="ParaNum"/>
        <w:tabs>
          <w:tab w:val="clear" w:pos="1080"/>
          <w:tab w:val="num" w:pos="1440"/>
        </w:tabs>
        <w:rPr>
          <w:b/>
        </w:rPr>
      </w:pPr>
      <w:r w:rsidRPr="008452C9">
        <w:t xml:space="preserve">This </w:t>
      </w:r>
      <w:r>
        <w:t>O</w:t>
      </w:r>
      <w:r w:rsidRPr="008452C9">
        <w:t xml:space="preserve">rder (1) </w:t>
      </w:r>
      <w:r w:rsidR="00C33A8F">
        <w:t>sets a</w:t>
      </w:r>
      <w:r w:rsidR="00067AA0">
        <w:t xml:space="preserve"> modified effective date of July 3</w:t>
      </w:r>
      <w:r w:rsidR="008C3A8B">
        <w:t>, 2018, for the July 2018</w:t>
      </w:r>
      <w:r w:rsidR="00C33A8F">
        <w:t xml:space="preserve"> annual access charge tariff filings made on </w:t>
      </w:r>
      <w:r w:rsidR="001959FE">
        <w:t xml:space="preserve">both </w:t>
      </w:r>
      <w:r w:rsidR="00C33A8F">
        <w:t xml:space="preserve">15 </w:t>
      </w:r>
      <w:r w:rsidR="001959FE">
        <w:t xml:space="preserve">and 7 </w:t>
      </w:r>
      <w:r w:rsidR="00067B08">
        <w:t>days’ notice</w:t>
      </w:r>
      <w:r w:rsidRPr="008452C9">
        <w:t>;</w:t>
      </w:r>
      <w:r>
        <w:rPr>
          <w:rStyle w:val="FootnoteReference"/>
        </w:rPr>
        <w:footnoteReference w:id="4"/>
      </w:r>
      <w:r w:rsidRPr="008452C9">
        <w:t xml:space="preserve"> (2) establishes the dates for filing petitions to suspend or reject an</w:t>
      </w:r>
      <w:r>
        <w:t xml:space="preserve"> incumbent</w:t>
      </w:r>
      <w:r w:rsidRPr="008452C9">
        <w:t xml:space="preserve"> LEC tariff filing and replies to such petitions;</w:t>
      </w:r>
      <w:r>
        <w:rPr>
          <w:rStyle w:val="FootnoteReference"/>
        </w:rPr>
        <w:footnoteReference w:id="5"/>
      </w:r>
      <w:r w:rsidRPr="008452C9">
        <w:t xml:space="preserve"> (3) addresses </w:t>
      </w:r>
      <w:r w:rsidRPr="008452C9">
        <w:t>service of t</w:t>
      </w:r>
      <w:r w:rsidR="00AD6A9D">
        <w:t xml:space="preserve">he petitions and replies; (4) </w:t>
      </w:r>
      <w:r w:rsidR="00067AA0">
        <w:t>waives</w:t>
      </w:r>
      <w:r w:rsidR="00053984">
        <w:t xml:space="preserve"> for 2018</w:t>
      </w:r>
      <w:r w:rsidR="00067AA0">
        <w:t xml:space="preserve"> the requirement that price cap incumbent LECs file a short form TRP</w:t>
      </w:r>
      <w:r w:rsidR="00812653">
        <w:t>;</w:t>
      </w:r>
      <w:r>
        <w:rPr>
          <w:rStyle w:val="FootnoteReference"/>
        </w:rPr>
        <w:footnoteReference w:id="6"/>
      </w:r>
      <w:r w:rsidR="00812653">
        <w:t xml:space="preserve"> and (4)</w:t>
      </w:r>
      <w:r w:rsidR="00011C30">
        <w:t xml:space="preserve"> partially </w:t>
      </w:r>
      <w:r w:rsidR="00812653">
        <w:t>waives</w:t>
      </w:r>
      <w:r w:rsidR="00200C00">
        <w:t xml:space="preserve"> for the second quarter of 2018</w:t>
      </w:r>
      <w:r w:rsidR="00812653">
        <w:t xml:space="preserve"> the universal service contribution fac</w:t>
      </w:r>
      <w:r w:rsidR="00200C00">
        <w:t xml:space="preserve">tor rule </w:t>
      </w:r>
      <w:r w:rsidR="00812653">
        <w:t xml:space="preserve">to allow incumbent LECs to charge the second quarter </w:t>
      </w:r>
      <w:r w:rsidR="0033368F">
        <w:t xml:space="preserve">2018 </w:t>
      </w:r>
      <w:r w:rsidR="00947BA4">
        <w:t xml:space="preserve">contribution </w:t>
      </w:r>
      <w:r w:rsidR="00812653">
        <w:t xml:space="preserve">factor until July 3, 2018, at which time they must begin charging the third quarter 2018 </w:t>
      </w:r>
      <w:r w:rsidR="0033368F">
        <w:t xml:space="preserve">contribution </w:t>
      </w:r>
      <w:r w:rsidR="00812653">
        <w:t>factor.</w:t>
      </w:r>
      <w:r>
        <w:rPr>
          <w:rStyle w:val="FootnoteReference"/>
        </w:rPr>
        <w:footnoteReference w:id="7"/>
      </w:r>
      <w:r w:rsidRPr="008452C9">
        <w:t xml:space="preserve">  In the </w:t>
      </w:r>
      <w:r w:rsidRPr="008452C9">
        <w:rPr>
          <w:i/>
        </w:rPr>
        <w:t xml:space="preserve">USF/ICC Transformation </w:t>
      </w:r>
      <w:r w:rsidRPr="00882EAC">
        <w:rPr>
          <w:i/>
        </w:rPr>
        <w:t>Order</w:t>
      </w:r>
      <w:r w:rsidRPr="008452C9">
        <w:t xml:space="preserve"> the Commission adopted new rules requiring </w:t>
      </w:r>
      <w:r>
        <w:t xml:space="preserve">incumbent </w:t>
      </w:r>
      <w:r w:rsidRPr="008452C9">
        <w:t xml:space="preserve">LECs to adjust, over a period of years, </w:t>
      </w:r>
      <w:r>
        <w:t xml:space="preserve">many of </w:t>
      </w:r>
      <w:r w:rsidRPr="008452C9">
        <w:t>their switched access charges effective on July 1 of each of those years.</w:t>
      </w:r>
      <w:r w:rsidRPr="00797B54" w:rsidR="00797B54">
        <w:rPr>
          <w:sz w:val="20"/>
          <w:szCs w:val="24"/>
          <w:vertAlign w:val="superscript"/>
        </w:rPr>
        <w:t xml:space="preserve"> </w:t>
      </w:r>
      <w:r>
        <w:rPr>
          <w:sz w:val="20"/>
          <w:vertAlign w:val="superscript"/>
        </w:rPr>
        <w:footnoteReference w:id="8"/>
      </w:r>
      <w:r w:rsidRPr="00797B54" w:rsidR="00797B54">
        <w:rPr>
          <w:sz w:val="20"/>
          <w:vertAlign w:val="superscript"/>
        </w:rPr>
        <w:t xml:space="preserve"> </w:t>
      </w:r>
      <w:r w:rsidR="00797B54">
        <w:rPr>
          <w:sz w:val="20"/>
          <w:szCs w:val="24"/>
          <w:vertAlign w:val="superscript"/>
        </w:rPr>
        <w:t xml:space="preserve"> </w:t>
      </w:r>
      <w:r w:rsidR="00D95E58">
        <w:t xml:space="preserve"> </w:t>
      </w:r>
      <w:r w:rsidRPr="008452C9">
        <w:t>The TRPs also implement th</w:t>
      </w:r>
      <w:r>
        <w:t>ese</w:t>
      </w:r>
      <w:r w:rsidRPr="008452C9">
        <w:t xml:space="preserve"> adjustments.  All correspondence and comments in connection with these filings should refer to the caption of this proceeding, </w:t>
      </w:r>
      <w:r w:rsidRPr="00433C92">
        <w:rPr>
          <w:i/>
        </w:rPr>
        <w:t>July 1</w:t>
      </w:r>
      <w:r w:rsidRPr="00433C92" w:rsidR="0075315D">
        <w:rPr>
          <w:i/>
        </w:rPr>
        <w:t>, 2018</w:t>
      </w:r>
      <w:r w:rsidRPr="00433C92">
        <w:rPr>
          <w:i/>
        </w:rPr>
        <w:t xml:space="preserve"> Annual Access Charge Tariff Filings</w:t>
      </w:r>
      <w:r w:rsidR="008C3A8B">
        <w:t>, WC Docket No. 18</w:t>
      </w:r>
      <w:r w:rsidR="00CA33C9">
        <w:t>-</w:t>
      </w:r>
      <w:r w:rsidR="00747E1D">
        <w:t>100</w:t>
      </w:r>
      <w:r w:rsidRPr="008452C9">
        <w:t>.</w:t>
      </w:r>
    </w:p>
    <w:p w:rsidR="00225FA8" w:rsidP="00225FA8" w14:paraId="13D88C60" w14:textId="77777777">
      <w:pPr>
        <w:pStyle w:val="Heading1"/>
        <w:numPr>
          <w:ilvl w:val="0"/>
          <w:numId w:val="9"/>
        </w:numPr>
        <w:jc w:val="both"/>
      </w:pPr>
      <w:r>
        <w:t>DISCUSSION</w:t>
      </w:r>
    </w:p>
    <w:p w:rsidR="00225FA8" w:rsidP="00225FA8" w14:paraId="758DF4E5" w14:textId="77777777">
      <w:pPr>
        <w:pStyle w:val="Heading2"/>
        <w:numPr>
          <w:ilvl w:val="1"/>
          <w:numId w:val="9"/>
        </w:numPr>
        <w:jc w:val="both"/>
      </w:pPr>
      <w:r>
        <w:t>Tariff Effective Date</w:t>
      </w:r>
      <w:r w:rsidR="00062F74">
        <w:t>s</w:t>
      </w:r>
      <w:r>
        <w:t xml:space="preserve"> and Tariff Filing Dates</w:t>
      </w:r>
    </w:p>
    <w:p w:rsidR="00225FA8" w:rsidP="00BD5A96" w14:paraId="61F8F3F8" w14:textId="4DEF7E3A">
      <w:pPr>
        <w:pStyle w:val="ParaNum"/>
        <w:tabs>
          <w:tab w:val="clear" w:pos="1080"/>
          <w:tab w:val="num" w:pos="1440"/>
        </w:tabs>
      </w:pPr>
      <w:r>
        <w:t>Incumbent LECS are permitted to make their tariff filings either 15 or 7 days prior to the effective date of their tariffs, depending on the type of changes the tariffs propose.</w:t>
      </w:r>
      <w:r>
        <w:rPr>
          <w:rStyle w:val="FootnoteReference"/>
          <w:szCs w:val="24"/>
        </w:rPr>
        <w:footnoteReference w:id="9"/>
      </w:r>
      <w:r>
        <w:t xml:space="preserve">  The Commission’s rules require that annual access charge tariff filings be filed with a scheduled effective date of July 1.</w:t>
      </w:r>
      <w:r>
        <w:rPr>
          <w:rStyle w:val="FootnoteReference"/>
          <w:szCs w:val="24"/>
        </w:rPr>
        <w:footnoteReference w:id="10"/>
      </w:r>
      <w:r>
        <w:t xml:space="preserve">  Incumbent LECs filing tariffs on 15 days’ notice</w:t>
      </w:r>
      <w:r w:rsidR="00CF5909">
        <w:t xml:space="preserve"> would have</w:t>
      </w:r>
      <w:r w:rsidR="009219A1">
        <w:t xml:space="preserve"> to make such filings on June 16</w:t>
      </w:r>
      <w:r w:rsidR="00CF5909">
        <w:t xml:space="preserve">, a Saturday, in order for them to take effect on July 1. </w:t>
      </w:r>
      <w:r>
        <w:t xml:space="preserve"> </w:t>
      </w:r>
      <w:r w:rsidR="009965CD">
        <w:t>I</w:t>
      </w:r>
      <w:r>
        <w:t>ncumbent LECs filing tariffs on 7 days’ notice</w:t>
      </w:r>
      <w:r w:rsidR="009965CD">
        <w:t xml:space="preserve"> would have to file such ta</w:t>
      </w:r>
      <w:r w:rsidR="00E75061">
        <w:t>riffs on June 24, a S</w:t>
      </w:r>
      <w:r w:rsidR="00CF5909">
        <w:t>unday</w:t>
      </w:r>
      <w:r w:rsidR="00E75061">
        <w:t>, in</w:t>
      </w:r>
      <w:r w:rsidR="009965CD">
        <w:t xml:space="preserve"> order for them to take effect on July 1.  Because the Commission is closed on Saturdays</w:t>
      </w:r>
      <w:r w:rsidR="00CF5909">
        <w:t xml:space="preserve"> and Sundays</w:t>
      </w:r>
      <w:r w:rsidR="009965CD">
        <w:t>, it is necessary to modify the usual July 1 effective date for such tari</w:t>
      </w:r>
      <w:r w:rsidR="0075315D">
        <w:t xml:space="preserve">ffs.  Accordingly, the July </w:t>
      </w:r>
      <w:r w:rsidR="00CF5909">
        <w:t xml:space="preserve">1, </w:t>
      </w:r>
      <w:r w:rsidR="0075315D">
        <w:t>2018</w:t>
      </w:r>
      <w:r w:rsidR="009965CD">
        <w:t xml:space="preserve"> effective date for incumbent LEC tariffs filed on </w:t>
      </w:r>
      <w:r w:rsidR="00DA68C9">
        <w:t xml:space="preserve">both </w:t>
      </w:r>
      <w:r w:rsidR="00CF5909">
        <w:t xml:space="preserve">15 </w:t>
      </w:r>
      <w:r w:rsidR="009965CD">
        <w:t>days’ notic</w:t>
      </w:r>
      <w:r w:rsidR="00CF5909">
        <w:t xml:space="preserve">e </w:t>
      </w:r>
      <w:r w:rsidR="00DA68C9">
        <w:t xml:space="preserve">and 7 days’ notice </w:t>
      </w:r>
      <w:r w:rsidR="00CF5909">
        <w:t>is modified to be July 3</w:t>
      </w:r>
      <w:r w:rsidR="0075315D">
        <w:t>, 2018</w:t>
      </w:r>
      <w:r w:rsidR="009965CD">
        <w:t xml:space="preserve">, and incumbent LECs must make these tariff </w:t>
      </w:r>
      <w:r w:rsidR="00CF5909">
        <w:t>filings on June 18</w:t>
      </w:r>
      <w:r w:rsidR="0075315D">
        <w:t>, 2018</w:t>
      </w:r>
      <w:r w:rsidR="00DA68C9">
        <w:t xml:space="preserve"> and June 26, 2018, respectively</w:t>
      </w:r>
      <w:r w:rsidR="00CF5909">
        <w:t>.</w:t>
      </w:r>
    </w:p>
    <w:p w:rsidR="00433C92" w:rsidRPr="00433C92" w:rsidP="00BD5A96" w14:paraId="26B457D3" w14:textId="77777777">
      <w:pPr>
        <w:pStyle w:val="ParaNum"/>
        <w:tabs>
          <w:tab w:val="clear" w:pos="1080"/>
          <w:tab w:val="num" w:pos="1440"/>
        </w:tabs>
      </w:pPr>
      <w:r>
        <w:t xml:space="preserve">Incumbent </w:t>
      </w:r>
      <w:r w:rsidRPr="00243513">
        <w:t>LECs that file tariffs under the price cap ratemaking methodology are required to file revised annual access charge tariffs every year.</w:t>
      </w:r>
      <w:r>
        <w:rPr>
          <w:rStyle w:val="FootnoteReference"/>
          <w:szCs w:val="24"/>
        </w:rPr>
        <w:footnoteReference w:id="11"/>
      </w:r>
      <w:r w:rsidRPr="00243513">
        <w:t xml:space="preserve">  </w:t>
      </w:r>
      <w:r>
        <w:t xml:space="preserve">Incumbent </w:t>
      </w:r>
      <w:r w:rsidRPr="00243513">
        <w:t xml:space="preserve">LECs that file tariffs under </w:t>
      </w:r>
      <w:r>
        <w:t xml:space="preserve">a </w:t>
      </w:r>
      <w:r w:rsidRPr="00243513">
        <w:t xml:space="preserve">rate-of-return ratemaking methodology are required to file every other year.  </w:t>
      </w:r>
      <w:r>
        <w:t xml:space="preserve">Incumbent </w:t>
      </w:r>
      <w:r w:rsidRPr="00243513">
        <w:t>LECs filing pursuant to the requirements of section 61.3</w:t>
      </w:r>
      <w:r w:rsidR="00C02157">
        <w:t>8</w:t>
      </w:r>
      <w:r w:rsidRPr="00243513">
        <w:t xml:space="preserve"> of the Commission’s rules are required to file annual access charge tariffs this year, an </w:t>
      </w:r>
      <w:r w:rsidR="00EE2116">
        <w:t>even</w:t>
      </w:r>
      <w:r w:rsidRPr="00243513">
        <w:t>-numbered year.</w:t>
      </w:r>
      <w:r>
        <w:rPr>
          <w:rStyle w:val="FootnoteReference"/>
          <w:szCs w:val="24"/>
        </w:rPr>
        <w:footnoteReference w:id="12"/>
      </w:r>
      <w:r w:rsidRPr="00243513">
        <w:t xml:space="preserve">  </w:t>
      </w:r>
      <w:r w:rsidRPr="00243513">
        <w:rPr>
          <w:szCs w:val="22"/>
        </w:rPr>
        <w:t xml:space="preserve">Rate-of-return </w:t>
      </w:r>
      <w:r>
        <w:rPr>
          <w:szCs w:val="22"/>
        </w:rPr>
        <w:t xml:space="preserve">incumbent </w:t>
      </w:r>
      <w:r w:rsidR="00822202">
        <w:rPr>
          <w:szCs w:val="22"/>
        </w:rPr>
        <w:t>LECs subject to section 61.39</w:t>
      </w:r>
      <w:r w:rsidRPr="00243513">
        <w:rPr>
          <w:szCs w:val="22"/>
        </w:rPr>
        <w:t xml:space="preserve"> of the Commission's rules</w:t>
      </w:r>
      <w:r>
        <w:rPr>
          <w:szCs w:val="22"/>
          <w:vertAlign w:val="superscript"/>
        </w:rPr>
        <w:footnoteReference w:id="13"/>
      </w:r>
      <w:r w:rsidRPr="00243513">
        <w:rPr>
          <w:szCs w:val="22"/>
        </w:rPr>
        <w:t xml:space="preserve"> would not, absent requirements adopted in the </w:t>
      </w:r>
      <w:r>
        <w:rPr>
          <w:i/>
          <w:szCs w:val="22"/>
        </w:rPr>
        <w:t>USF/</w:t>
      </w:r>
      <w:r w:rsidRPr="00243513">
        <w:rPr>
          <w:i/>
          <w:szCs w:val="22"/>
        </w:rPr>
        <w:t>ICC Transformation Order</w:t>
      </w:r>
      <w:r w:rsidRPr="00243513">
        <w:rPr>
          <w:szCs w:val="22"/>
        </w:rPr>
        <w:t>,</w:t>
      </w:r>
      <w:r>
        <w:rPr>
          <w:rStyle w:val="FootnoteReference"/>
          <w:szCs w:val="22"/>
        </w:rPr>
        <w:footnoteReference w:id="14"/>
      </w:r>
      <w:r w:rsidRPr="00243513">
        <w:rPr>
          <w:szCs w:val="22"/>
        </w:rPr>
        <w:t xml:space="preserve"> be required to file annual access charge tariffs this year, since they file revisions in </w:t>
      </w:r>
      <w:r w:rsidR="00822202">
        <w:rPr>
          <w:szCs w:val="22"/>
        </w:rPr>
        <w:t>odd</w:t>
      </w:r>
      <w:r w:rsidRPr="00243513">
        <w:rPr>
          <w:szCs w:val="22"/>
        </w:rPr>
        <w:t>-numbered years.</w:t>
      </w:r>
      <w:r>
        <w:rPr>
          <w:rStyle w:val="FootnoteReference"/>
          <w:szCs w:val="22"/>
        </w:rPr>
        <w:footnoteReference w:id="15"/>
      </w:r>
      <w:r w:rsidRPr="00243513">
        <w:rPr>
          <w:szCs w:val="22"/>
        </w:rPr>
        <w:t xml:space="preserve">  Pursuant to the </w:t>
      </w:r>
      <w:r w:rsidRPr="00243513">
        <w:rPr>
          <w:i/>
          <w:szCs w:val="22"/>
        </w:rPr>
        <w:t>USF/ICC Transformation Order</w:t>
      </w:r>
      <w:r w:rsidRPr="00243513">
        <w:rPr>
          <w:szCs w:val="22"/>
        </w:rPr>
        <w:t xml:space="preserve">, however, rate-of-return </w:t>
      </w:r>
      <w:r>
        <w:rPr>
          <w:szCs w:val="22"/>
        </w:rPr>
        <w:t xml:space="preserve">incumbent </w:t>
      </w:r>
      <w:r w:rsidRPr="00243513">
        <w:rPr>
          <w:szCs w:val="22"/>
        </w:rPr>
        <w:t>LECs subject to section 61.3</w:t>
      </w:r>
      <w:r w:rsidR="00822202">
        <w:rPr>
          <w:szCs w:val="22"/>
        </w:rPr>
        <w:t>9</w:t>
      </w:r>
      <w:r w:rsidRPr="00243513">
        <w:rPr>
          <w:szCs w:val="22"/>
        </w:rPr>
        <w:t xml:space="preserve"> of the Commission’s rules must file a TRP this year to comply with the requirements of sections</w:t>
      </w:r>
      <w:r w:rsidR="00822202">
        <w:rPr>
          <w:szCs w:val="22"/>
        </w:rPr>
        <w:t xml:space="preserve"> 51.909(h</w:t>
      </w:r>
      <w:r w:rsidRPr="00243513">
        <w:rPr>
          <w:szCs w:val="22"/>
        </w:rPr>
        <w:t>),</w:t>
      </w:r>
      <w:r>
        <w:rPr>
          <w:szCs w:val="22"/>
        </w:rPr>
        <w:t xml:space="preserve"> 51.917(d)(iv</w:t>
      </w:r>
      <w:r w:rsidRPr="00243513">
        <w:rPr>
          <w:szCs w:val="22"/>
        </w:rPr>
        <w:t>), and 51.917(e) of the Commission’s rules.</w:t>
      </w:r>
      <w:r>
        <w:rPr>
          <w:rStyle w:val="FootnoteReference"/>
          <w:szCs w:val="22"/>
        </w:rPr>
        <w:footnoteReference w:id="16"/>
      </w:r>
      <w:r>
        <w:rPr>
          <w:szCs w:val="22"/>
        </w:rPr>
        <w:t xml:space="preserve"> </w:t>
      </w:r>
    </w:p>
    <w:p w:rsidR="00225FA8" w:rsidRPr="00281CEB" w:rsidP="00281CEB" w14:paraId="6F99EE40" w14:textId="6AE1BA49">
      <w:pPr>
        <w:pStyle w:val="ParaNum"/>
        <w:tabs>
          <w:tab w:val="clear" w:pos="1080"/>
          <w:tab w:val="num" w:pos="1440"/>
        </w:tabs>
        <w:rPr>
          <w:szCs w:val="22"/>
        </w:rPr>
      </w:pPr>
      <w:r w:rsidRPr="00281CEB">
        <w:rPr>
          <w:szCs w:val="22"/>
        </w:rPr>
        <w:t xml:space="preserve">In addition, rate-of-return incumbent LECs </w:t>
      </w:r>
      <w:r w:rsidR="008A1678">
        <w:rPr>
          <w:szCs w:val="22"/>
        </w:rPr>
        <w:t xml:space="preserve">that </w:t>
      </w:r>
      <w:r w:rsidRPr="00281CEB">
        <w:rPr>
          <w:szCs w:val="22"/>
        </w:rPr>
        <w:t xml:space="preserve">provide consumer broadband-only loops (CBOLs) and receive Connect America Fund Broadband Loop Support (CAF BLS) (as opposed to ACAM-based support) are required to revise their CBOL rates to reflect the level of </w:t>
      </w:r>
      <w:bookmarkStart w:id="11" w:name="_Hlk508972931"/>
      <w:r w:rsidRPr="00281CEB">
        <w:rPr>
          <w:szCs w:val="22"/>
        </w:rPr>
        <w:t xml:space="preserve">CAF BLS </w:t>
      </w:r>
      <w:bookmarkEnd w:id="11"/>
      <w:r w:rsidRPr="00281CEB">
        <w:rPr>
          <w:szCs w:val="22"/>
        </w:rPr>
        <w:t>they expect to receive this coming tariff year.</w:t>
      </w:r>
      <w:r>
        <w:rPr>
          <w:szCs w:val="22"/>
          <w:vertAlign w:val="superscript"/>
        </w:rPr>
        <w:footnoteReference w:id="17"/>
      </w:r>
      <w:r w:rsidRPr="00281CEB">
        <w:rPr>
          <w:szCs w:val="22"/>
        </w:rPr>
        <w:t xml:space="preserve">  Rate-of-return incumbent LECs subject to section 61.38 of the Commission’s rules must base rate-of-return regulated rates for the coming tariff year on new cost studies and the new rules for moving costs from special access to the CBOL category</w:t>
      </w:r>
      <w:r>
        <w:rPr>
          <w:szCs w:val="22"/>
        </w:rPr>
        <w:t>.</w:t>
      </w:r>
      <w:r>
        <w:rPr>
          <w:szCs w:val="22"/>
          <w:vertAlign w:val="superscript"/>
        </w:rPr>
        <w:footnoteReference w:id="18"/>
      </w:r>
      <w:r w:rsidRPr="00281CEB">
        <w:rPr>
          <w:szCs w:val="22"/>
        </w:rPr>
        <w:t xml:space="preserve">  Rate-of-return incumbent LECs subject to section 61.39 may base rate-of-return regulated rates for the coming tariff year on</w:t>
      </w:r>
      <w:r>
        <w:rPr>
          <w:szCs w:val="22"/>
        </w:rPr>
        <w:t xml:space="preserve"> </w:t>
      </w:r>
      <w:r w:rsidRPr="00281CEB">
        <w:rPr>
          <w:szCs w:val="22"/>
        </w:rPr>
        <w:t>last tariff year’s cost studies and the rules in effect then for moving costs to the CBOL category.  Moreover, all rate-of-return incumbent LECs are required to modify their rates to comply with the lower prescribed rate of return for this tariff year, 10.5 percent, and the lower corporate income tax rate that went into effect on January 1, 2018.</w:t>
      </w:r>
      <w:r>
        <w:rPr>
          <w:szCs w:val="22"/>
          <w:vertAlign w:val="superscript"/>
        </w:rPr>
        <w:footnoteReference w:id="19"/>
      </w:r>
      <w:r w:rsidRPr="00281CEB">
        <w:rPr>
          <w:szCs w:val="22"/>
        </w:rPr>
        <w:t xml:space="preserve">  Finally, rate-of-return incumbent LEC tariff filings must incorporate the new limit on imputed access recovery charge (ARC) revenues from CBOL lines, and the true-up of that imputation made two years ago.</w:t>
      </w:r>
      <w:r>
        <w:rPr>
          <w:szCs w:val="22"/>
          <w:vertAlign w:val="superscript"/>
        </w:rPr>
        <w:footnoteReference w:id="20"/>
      </w:r>
      <w:r w:rsidRPr="00281CEB">
        <w:rPr>
          <w:szCs w:val="22"/>
        </w:rPr>
        <w:t xml:space="preserve">  </w:t>
      </w:r>
    </w:p>
    <w:p w:rsidR="00225FA8" w:rsidRPr="00782DA6" w:rsidP="00225FA8" w14:paraId="7F55FAB7" w14:textId="77777777">
      <w:pPr>
        <w:pStyle w:val="Heading2"/>
        <w:numPr>
          <w:ilvl w:val="1"/>
          <w:numId w:val="9"/>
        </w:numPr>
        <w:jc w:val="both"/>
      </w:pPr>
      <w:r>
        <w:t>Waiver of the Short Form TRP</w:t>
      </w:r>
    </w:p>
    <w:p w:rsidR="00C57607" w:rsidP="00842E65" w14:paraId="20804D39" w14:textId="60635081">
      <w:pPr>
        <w:pStyle w:val="ParaNum"/>
        <w:tabs>
          <w:tab w:val="clear" w:pos="1080"/>
          <w:tab w:val="num" w:pos="1440"/>
        </w:tabs>
      </w:pPr>
      <w:r>
        <w:rPr>
          <w:szCs w:val="24"/>
        </w:rPr>
        <w:t>For purposes of the 2018 annual filing, on our own motion,</w:t>
      </w:r>
      <w:r w:rsidR="00E249D5">
        <w:rPr>
          <w:szCs w:val="24"/>
        </w:rPr>
        <w:t xml:space="preserve"> and consistent with precedent,</w:t>
      </w:r>
      <w:r>
        <w:rPr>
          <w:szCs w:val="24"/>
        </w:rPr>
        <w:t xml:space="preserve"> we waive </w:t>
      </w:r>
      <w:r>
        <w:t>se</w:t>
      </w:r>
      <w:r w:rsidR="00A018CD">
        <w:t xml:space="preserve">ction 61.49(k) of the Commission’s rules </w:t>
      </w:r>
      <w:r>
        <w:t xml:space="preserve">which </w:t>
      </w:r>
      <w:r w:rsidR="00A018CD">
        <w:t>requir</w:t>
      </w:r>
      <w:r>
        <w:t>es</w:t>
      </w:r>
      <w:r w:rsidR="00A018CD">
        <w:t xml:space="preserve"> price cap incumbent LECs to</w:t>
      </w:r>
      <w:r>
        <w:t xml:space="preserve"> submit a short form TRP as part of the annual access charge tariff filing process.</w:t>
      </w:r>
      <w:r>
        <w:rPr>
          <w:rStyle w:val="FootnoteReference"/>
        </w:rPr>
        <w:footnoteReference w:id="21"/>
      </w:r>
      <w:r>
        <w:t xml:space="preserve">  The short form TRP is a spreadsheet that is filed without rate detail 90 days prior to the usual annual access charge tariff filing date of July 1.</w:t>
      </w:r>
      <w:r>
        <w:rPr>
          <w:vertAlign w:val="superscript"/>
        </w:rPr>
        <w:footnoteReference w:id="22"/>
      </w:r>
      <w:r>
        <w:t xml:space="preserve">  It details exogenous cost adjustments that price cap LECs might make to their price cap indices.</w:t>
      </w:r>
      <w:r>
        <w:rPr>
          <w:rStyle w:val="FootnoteReference"/>
        </w:rPr>
        <w:footnoteReference w:id="23"/>
      </w:r>
      <w:r>
        <w:t xml:space="preserve">  </w:t>
      </w:r>
      <w:r>
        <w:t>Last year we waived t</w:t>
      </w:r>
      <w:r>
        <w:t>he short form TRP filing</w:t>
      </w:r>
      <w:r w:rsidR="00062F74">
        <w:t xml:space="preserve"> requirement</w:t>
      </w:r>
      <w:r>
        <w:t xml:space="preserve"> because </w:t>
      </w:r>
      <w:r>
        <w:t xml:space="preserve">the factors needed to calculate exogenous cost adjustments for regulatory fees, Telecommunications Relay Service (TRS) and North American Numbering Plan Administration (NANPA) expenses </w:t>
      </w:r>
      <w:r>
        <w:t xml:space="preserve">were not going to </w:t>
      </w:r>
      <w:r>
        <w:t>be available prior to the short form TRP filing deadline and absent such information, the short form TRP would provide little value to the Commission, industry, and consumers.</w:t>
      </w:r>
      <w:r>
        <w:rPr>
          <w:rStyle w:val="FootnoteReference"/>
        </w:rPr>
        <w:footnoteReference w:id="24"/>
      </w:r>
      <w:r>
        <w:t xml:space="preserve">  </w:t>
      </w:r>
      <w:r>
        <w:t xml:space="preserve">We also recognized </w:t>
      </w:r>
      <w:r w:rsidR="00CB1CB7">
        <w:t xml:space="preserve">that, because the exogenous cost information would be included in the long form TRPs if the new factors were available by the filing date, the requisite </w:t>
      </w:r>
      <w:r w:rsidR="00DC7CF6">
        <w:t>data</w:t>
      </w:r>
      <w:r w:rsidR="00CB1CB7">
        <w:t xml:space="preserve"> would be made available to the Commission and interested parties through such filings.</w:t>
      </w:r>
      <w:r>
        <w:rPr>
          <w:rStyle w:val="FootnoteReference"/>
        </w:rPr>
        <w:footnoteReference w:id="25"/>
      </w:r>
      <w:r w:rsidR="00CB1CB7">
        <w:t xml:space="preserve"> </w:t>
      </w:r>
      <w:r w:rsidR="00A96938">
        <w:t xml:space="preserve"> </w:t>
      </w:r>
      <w:r>
        <w:t xml:space="preserve">We therefore </w:t>
      </w:r>
      <w:r>
        <w:t>found that a waiver of th</w:t>
      </w:r>
      <w:r>
        <w:t>e filing</w:t>
      </w:r>
      <w:r>
        <w:t xml:space="preserve"> obligation </w:t>
      </w:r>
      <w:r>
        <w:t>was</w:t>
      </w:r>
      <w:r>
        <w:t xml:space="preserve"> appropriate </w:t>
      </w:r>
      <w:r>
        <w:t>“</w:t>
      </w:r>
      <w:r>
        <w:t>to avoid the unnecessary burden that would be imposed on industry of preparing and filing a short form TRP of questionable value.”</w:t>
      </w:r>
      <w:r>
        <w:rPr>
          <w:rStyle w:val="FootnoteReference"/>
        </w:rPr>
        <w:footnoteReference w:id="26"/>
      </w:r>
      <w:r>
        <w:t xml:space="preserve">  </w:t>
      </w:r>
    </w:p>
    <w:p w:rsidR="00225FA8" w:rsidRPr="004A3233" w:rsidP="004A3233" w14:paraId="751F383B" w14:textId="35D515FE">
      <w:pPr>
        <w:pStyle w:val="ParaNum"/>
        <w:tabs>
          <w:tab w:val="clear" w:pos="1080"/>
          <w:tab w:val="num" w:pos="1440"/>
        </w:tabs>
        <w:rPr>
          <w:szCs w:val="24"/>
        </w:rPr>
      </w:pPr>
      <w:r>
        <w:rPr>
          <w:szCs w:val="24"/>
        </w:rPr>
        <w:t>Section 1.3 of the Commission’s rules authorizes waiver of a Commission rule for good cause shown.</w:t>
      </w:r>
      <w:r>
        <w:rPr>
          <w:rStyle w:val="FootnoteReference"/>
          <w:szCs w:val="24"/>
        </w:rPr>
        <w:footnoteReference w:id="27"/>
      </w:r>
      <w:r>
        <w:rPr>
          <w:szCs w:val="24"/>
        </w:rPr>
        <w:t xml:space="preserve">  </w:t>
      </w:r>
      <w:r w:rsidR="00DC7CF6">
        <w:rPr>
          <w:szCs w:val="24"/>
        </w:rPr>
        <w:t>We find similar</w:t>
      </w:r>
      <w:r w:rsidR="00ED0890">
        <w:rPr>
          <w:szCs w:val="24"/>
        </w:rPr>
        <w:t xml:space="preserve"> considerations that led us to waive the short form TRP filing requirement </w:t>
      </w:r>
      <w:r w:rsidR="00CB1CB7">
        <w:rPr>
          <w:szCs w:val="24"/>
        </w:rPr>
        <w:t xml:space="preserve">in 2017 </w:t>
      </w:r>
      <w:r w:rsidR="00053984">
        <w:rPr>
          <w:szCs w:val="24"/>
        </w:rPr>
        <w:t>apply</w:t>
      </w:r>
      <w:r w:rsidR="00ED0890">
        <w:rPr>
          <w:szCs w:val="24"/>
        </w:rPr>
        <w:t xml:space="preserve"> </w:t>
      </w:r>
      <w:r w:rsidR="008A1678">
        <w:rPr>
          <w:szCs w:val="24"/>
        </w:rPr>
        <w:t>this year</w:t>
      </w:r>
      <w:r w:rsidR="00CB1CB7">
        <w:rPr>
          <w:szCs w:val="24"/>
        </w:rPr>
        <w:t xml:space="preserve">. </w:t>
      </w:r>
      <w:r w:rsidR="00824852">
        <w:rPr>
          <w:szCs w:val="24"/>
        </w:rPr>
        <w:t xml:space="preserve"> </w:t>
      </w:r>
      <w:r w:rsidR="00CB1CB7">
        <w:rPr>
          <w:szCs w:val="24"/>
        </w:rPr>
        <w:t>As was the case last year, it is unlikely that</w:t>
      </w:r>
      <w:r w:rsidR="00DE1AEC">
        <w:rPr>
          <w:szCs w:val="24"/>
        </w:rPr>
        <w:t xml:space="preserve"> the necessary information to populate the short form TRPs will be available by the required filing date. </w:t>
      </w:r>
      <w:r w:rsidR="009A2518">
        <w:rPr>
          <w:szCs w:val="24"/>
        </w:rPr>
        <w:t xml:space="preserve"> </w:t>
      </w:r>
      <w:r w:rsidR="00DE1AEC">
        <w:rPr>
          <w:szCs w:val="24"/>
        </w:rPr>
        <w:t>In addition, the exogenous cost data contained in the short for</w:t>
      </w:r>
      <w:r w:rsidR="00EC1380">
        <w:rPr>
          <w:szCs w:val="24"/>
        </w:rPr>
        <w:t>m</w:t>
      </w:r>
      <w:r w:rsidR="00DE1AEC">
        <w:rPr>
          <w:szCs w:val="24"/>
        </w:rPr>
        <w:t xml:space="preserve"> TRPs will be included in the long form TRPs, pend</w:t>
      </w:r>
      <w:r w:rsidR="004A3233">
        <w:rPr>
          <w:szCs w:val="24"/>
        </w:rPr>
        <w:t xml:space="preserve">ing availability of such data, at which time the information can be reviewed by the Commission and interested parties. </w:t>
      </w:r>
      <w:r w:rsidR="009A2518">
        <w:rPr>
          <w:szCs w:val="24"/>
        </w:rPr>
        <w:t xml:space="preserve"> </w:t>
      </w:r>
      <w:r w:rsidR="004A3233">
        <w:rPr>
          <w:szCs w:val="24"/>
        </w:rPr>
        <w:t xml:space="preserve">We </w:t>
      </w:r>
      <w:r w:rsidR="00DC7CF6">
        <w:rPr>
          <w:szCs w:val="24"/>
        </w:rPr>
        <w:t xml:space="preserve">therefore </w:t>
      </w:r>
      <w:r w:rsidR="004A3233">
        <w:rPr>
          <w:szCs w:val="24"/>
        </w:rPr>
        <w:t xml:space="preserve">find that a waiver of this year’s obligation is appropriate to avoid the unnecessary burden that would otherwise be </w:t>
      </w:r>
      <w:r w:rsidR="00EC1380">
        <w:rPr>
          <w:szCs w:val="24"/>
        </w:rPr>
        <w:t>required by carriers to prepare and file</w:t>
      </w:r>
      <w:r w:rsidR="004A3233">
        <w:rPr>
          <w:szCs w:val="24"/>
        </w:rPr>
        <w:t xml:space="preserve"> a shor</w:t>
      </w:r>
      <w:r w:rsidR="00EC1380">
        <w:rPr>
          <w:szCs w:val="24"/>
        </w:rPr>
        <w:t xml:space="preserve">t form TRP of probable limited </w:t>
      </w:r>
      <w:r w:rsidR="002C0885">
        <w:rPr>
          <w:szCs w:val="24"/>
        </w:rPr>
        <w:t xml:space="preserve">utility and </w:t>
      </w:r>
      <w:r w:rsidR="00EC1380">
        <w:rPr>
          <w:szCs w:val="24"/>
        </w:rPr>
        <w:t>value</w:t>
      </w:r>
      <w:r w:rsidR="004A3233">
        <w:rPr>
          <w:szCs w:val="24"/>
        </w:rPr>
        <w:t xml:space="preserve">. </w:t>
      </w:r>
      <w:r w:rsidR="009A2518">
        <w:rPr>
          <w:szCs w:val="24"/>
        </w:rPr>
        <w:t xml:space="preserve"> </w:t>
      </w:r>
      <w:r w:rsidR="004A3233">
        <w:rPr>
          <w:szCs w:val="24"/>
        </w:rPr>
        <w:t xml:space="preserve">This waiver applies to all price cap incumbent LECs </w:t>
      </w:r>
      <w:r w:rsidR="00CE545D">
        <w:rPr>
          <w:szCs w:val="24"/>
        </w:rPr>
        <w:t>that</w:t>
      </w:r>
      <w:r w:rsidR="004A3233">
        <w:rPr>
          <w:szCs w:val="24"/>
        </w:rPr>
        <w:t xml:space="preserve"> would have filed a short form TRP as part of the 2018 annual access charge filing, absent the waiver.</w:t>
      </w:r>
    </w:p>
    <w:p w:rsidR="00EC3533" w:rsidP="00225FA8" w14:paraId="49BD15EF" w14:textId="0819A0C9">
      <w:pPr>
        <w:pStyle w:val="Heading2"/>
        <w:numPr>
          <w:ilvl w:val="1"/>
          <w:numId w:val="9"/>
        </w:numPr>
        <w:jc w:val="both"/>
      </w:pPr>
      <w:r>
        <w:t xml:space="preserve">Partial </w:t>
      </w:r>
      <w:r w:rsidR="0069015E">
        <w:t>Waiver of USF Contribution Date Rule</w:t>
      </w:r>
    </w:p>
    <w:p w:rsidR="00B10127" w:rsidP="00B10127" w14:paraId="75FF5E3E" w14:textId="60D09FF9">
      <w:pPr>
        <w:pStyle w:val="ParaNum"/>
        <w:widowControl w:val="0"/>
        <w:tabs>
          <w:tab w:val="clear" w:pos="1080"/>
          <w:tab w:val="num" w:pos="1440"/>
        </w:tabs>
        <w:rPr>
          <w:szCs w:val="22"/>
        </w:rPr>
      </w:pPr>
      <w:r>
        <w:rPr>
          <w:szCs w:val="22"/>
        </w:rPr>
        <w:t>Also on our own motion and consistent with precedent, we waive</w:t>
      </w:r>
      <w:r w:rsidRPr="008A1678">
        <w:rPr>
          <w:szCs w:val="22"/>
        </w:rPr>
        <w:t xml:space="preserve"> </w:t>
      </w:r>
      <w:r>
        <w:rPr>
          <w:szCs w:val="22"/>
        </w:rPr>
        <w:t xml:space="preserve">section 54.712 of the Commission’s rules to the extent necessary to allow carriers </w:t>
      </w:r>
      <w:r w:rsidR="00EC47B8">
        <w:rPr>
          <w:szCs w:val="22"/>
        </w:rPr>
        <w:t xml:space="preserve">filing an annual access charge tariff filing that will be effective July 3, 2018 </w:t>
      </w:r>
      <w:r w:rsidR="004F247B">
        <w:rPr>
          <w:szCs w:val="22"/>
        </w:rPr>
        <w:t xml:space="preserve">to use the second quarter universal </w:t>
      </w:r>
      <w:r w:rsidR="00EC47B8">
        <w:rPr>
          <w:szCs w:val="22"/>
        </w:rPr>
        <w:t>service</w:t>
      </w:r>
      <w:r w:rsidR="004F247B">
        <w:rPr>
          <w:szCs w:val="22"/>
        </w:rPr>
        <w:t xml:space="preserve"> fund </w:t>
      </w:r>
      <w:r w:rsidR="00EC47B8">
        <w:rPr>
          <w:szCs w:val="22"/>
        </w:rPr>
        <w:t xml:space="preserve">(USF) </w:t>
      </w:r>
      <w:r w:rsidR="004F247B">
        <w:rPr>
          <w:szCs w:val="22"/>
        </w:rPr>
        <w:t xml:space="preserve">contribution factor for the first two days of the third quarter </w:t>
      </w:r>
      <w:r w:rsidR="00E249D5">
        <w:rPr>
          <w:szCs w:val="22"/>
        </w:rPr>
        <w:t>for purposes of recovering the costs of contributing to the universal service fund (USF) through a line item on their customers’ bills.</w:t>
      </w:r>
      <w:r>
        <w:rPr>
          <w:rStyle w:val="FootnoteReference"/>
          <w:szCs w:val="22"/>
        </w:rPr>
        <w:footnoteReference w:id="28"/>
      </w:r>
      <w:r>
        <w:rPr>
          <w:szCs w:val="22"/>
        </w:rPr>
        <w:t xml:space="preserve">  </w:t>
      </w:r>
      <w:r>
        <w:rPr>
          <w:szCs w:val="22"/>
        </w:rPr>
        <w:t xml:space="preserve">Section 54.712 of the Commission’s rules </w:t>
      </w:r>
      <w:r>
        <w:rPr>
          <w:szCs w:val="22"/>
        </w:rPr>
        <w:t xml:space="preserve">specifies </w:t>
      </w:r>
      <w:r>
        <w:rPr>
          <w:szCs w:val="22"/>
        </w:rPr>
        <w:t>that “[i]f a contributor chooses to recover its federal universal service contribution costs through a line item on a customer’s bill the amount of the federal universal service line-item charge may not exceed the interstate telecommunications portion of that customer’s bill times the relevant contribution factor.”</w:t>
      </w:r>
      <w:r>
        <w:rPr>
          <w:rStyle w:val="FootnoteReference"/>
          <w:szCs w:val="22"/>
        </w:rPr>
        <w:footnoteReference w:id="29"/>
      </w:r>
      <w:r w:rsidR="00E249D5">
        <w:rPr>
          <w:szCs w:val="22"/>
        </w:rPr>
        <w:t xml:space="preserve">  The USF contribution factor is </w:t>
      </w:r>
      <w:r w:rsidR="00717423">
        <w:rPr>
          <w:szCs w:val="22"/>
        </w:rPr>
        <w:t>calculated and published</w:t>
      </w:r>
      <w:r w:rsidR="00E249D5">
        <w:rPr>
          <w:szCs w:val="22"/>
        </w:rPr>
        <w:t xml:space="preserve"> quarterly, </w:t>
      </w:r>
      <w:r w:rsidR="00230CFD">
        <w:rPr>
          <w:szCs w:val="22"/>
        </w:rPr>
        <w:t xml:space="preserve">and </w:t>
      </w:r>
      <w:r w:rsidR="00E249D5">
        <w:rPr>
          <w:szCs w:val="22"/>
        </w:rPr>
        <w:t>as a result</w:t>
      </w:r>
      <w:r w:rsidR="00717423">
        <w:rPr>
          <w:szCs w:val="22"/>
        </w:rPr>
        <w:t>, when there are changes,</w:t>
      </w:r>
      <w:r w:rsidR="00E249D5">
        <w:rPr>
          <w:szCs w:val="22"/>
        </w:rPr>
        <w:t xml:space="preserve"> carriers </w:t>
      </w:r>
      <w:r w:rsidR="00533BC4">
        <w:rPr>
          <w:szCs w:val="22"/>
        </w:rPr>
        <w:t xml:space="preserve">typically </w:t>
      </w:r>
      <w:r w:rsidR="00E249D5">
        <w:rPr>
          <w:szCs w:val="22"/>
        </w:rPr>
        <w:t xml:space="preserve">file quarterly </w:t>
      </w:r>
      <w:r w:rsidR="00717423">
        <w:rPr>
          <w:szCs w:val="22"/>
        </w:rPr>
        <w:t>tariff revisions</w:t>
      </w:r>
      <w:r w:rsidR="00E249D5">
        <w:rPr>
          <w:szCs w:val="22"/>
        </w:rPr>
        <w:t xml:space="preserve"> to </w:t>
      </w:r>
      <w:r w:rsidR="00717423">
        <w:rPr>
          <w:szCs w:val="22"/>
        </w:rPr>
        <w:t>reflect the new USF factor</w:t>
      </w:r>
      <w:r w:rsidR="00533BC4">
        <w:rPr>
          <w:szCs w:val="22"/>
        </w:rPr>
        <w:t>.</w:t>
      </w:r>
      <w:r>
        <w:rPr>
          <w:rStyle w:val="FootnoteReference"/>
          <w:szCs w:val="22"/>
        </w:rPr>
        <w:footnoteReference w:id="30"/>
      </w:r>
    </w:p>
    <w:p w:rsidR="00324E67" w:rsidP="00324E67" w14:paraId="60CF6A5B" w14:textId="1018BF03">
      <w:pPr>
        <w:pStyle w:val="ParaNum"/>
        <w:widowControl w:val="0"/>
        <w:tabs>
          <w:tab w:val="clear" w:pos="1080"/>
          <w:tab w:val="num" w:pos="1440"/>
        </w:tabs>
      </w:pPr>
      <w:r>
        <w:t>M</w:t>
      </w:r>
      <w:r>
        <w:t xml:space="preserve">oving the annual access charge tariff </w:t>
      </w:r>
      <w:r w:rsidR="00D84618">
        <w:t>effective date</w:t>
      </w:r>
      <w:r>
        <w:t xml:space="preserve"> to July 3, 2018 creates administrative difficulties with respect to</w:t>
      </w:r>
      <w:r w:rsidR="00D84618">
        <w:t xml:space="preserve"> </w:t>
      </w:r>
      <w:r w:rsidR="004F247B">
        <w:t>some carriers’ transition from the</w:t>
      </w:r>
      <w:r>
        <w:t xml:space="preserve"> </w:t>
      </w:r>
      <w:r w:rsidR="00D84618">
        <w:t xml:space="preserve">second </w:t>
      </w:r>
      <w:r w:rsidR="004F247B">
        <w:t xml:space="preserve">quarter to the third quarter universal service fund </w:t>
      </w:r>
      <w:r w:rsidR="00D84618">
        <w:t>contribution factors.</w:t>
      </w:r>
      <w:r>
        <w:t xml:space="preserve"> </w:t>
      </w:r>
      <w:r w:rsidR="00EC47B8">
        <w:t xml:space="preserve"> When the annual access charge filings are effective July 1, carriers can file a single tariff, effective July 1, that provides for changes in the USF contribution factor and changes in access charges. </w:t>
      </w:r>
      <w:r>
        <w:t xml:space="preserve"> </w:t>
      </w:r>
      <w:r w:rsidRPr="00DD3DDA">
        <w:t xml:space="preserve">Requiring carriers </w:t>
      </w:r>
      <w:r w:rsidRPr="00DD3DDA" w:rsidR="004F247B">
        <w:t xml:space="preserve">to file </w:t>
      </w:r>
      <w:r w:rsidRPr="00DD3DDA" w:rsidR="00EC47B8">
        <w:t>tariff revisions to implement the third qu</w:t>
      </w:r>
      <w:r w:rsidRPr="00DD3DDA">
        <w:t>arter contribution factor and a separate set of tariff revisions to be effective two days later</w:t>
      </w:r>
      <w:r w:rsidRPr="00DD3DDA">
        <w:t xml:space="preserve"> </w:t>
      </w:r>
      <w:r w:rsidR="00185254">
        <w:t>for changes to access charges</w:t>
      </w:r>
      <w:r w:rsidRPr="00DD3DDA">
        <w:t xml:space="preserve"> </w:t>
      </w:r>
      <w:r w:rsidRPr="00DD3DDA">
        <w:t>would be administratively burdensome</w:t>
      </w:r>
      <w:r>
        <w:t xml:space="preserve"> for carriers and the Commission</w:t>
      </w:r>
      <w:r>
        <w:t>.</w:t>
      </w:r>
      <w:r>
        <w:t xml:space="preserve">  Accordingly, for incumbent LECs and competitive LECs filing an annual access charge tariff filing in 2018, we allow such carriers to charge the universal service contribution factor for the second quarter </w:t>
      </w:r>
      <w:r w:rsidR="00CE545D">
        <w:t xml:space="preserve">of </w:t>
      </w:r>
      <w:r>
        <w:t>2018</w:t>
      </w:r>
      <w:r w:rsidR="004F247B">
        <w:t xml:space="preserve"> until</w:t>
      </w:r>
      <w:r>
        <w:t xml:space="preserve"> July 3, 2018, at which time carriers must begin charging the third quarter 2018 </w:t>
      </w:r>
      <w:r w:rsidR="0033368F">
        <w:t xml:space="preserve">contribution </w:t>
      </w:r>
      <w:r>
        <w:t>factor, with respect to end user charges that are part of the annual access filing.</w:t>
      </w:r>
      <w:r w:rsidR="004F247B">
        <w:rPr>
          <w:rStyle w:val="FootnoteReference"/>
        </w:rPr>
        <w:t xml:space="preserve"> </w:t>
      </w:r>
    </w:p>
    <w:p w:rsidR="0069015E" w:rsidRPr="00842E65" w:rsidP="00842E65" w14:paraId="1E57F7F3" w14:textId="6D8AE3C9">
      <w:pPr>
        <w:pStyle w:val="ParaNum"/>
        <w:widowControl w:val="0"/>
        <w:tabs>
          <w:tab w:val="clear" w:pos="1080"/>
          <w:tab w:val="num" w:pos="1440"/>
        </w:tabs>
        <w:rPr>
          <w:szCs w:val="22"/>
        </w:rPr>
      </w:pPr>
      <w:r>
        <w:rPr>
          <w:szCs w:val="22"/>
        </w:rPr>
        <w:t xml:space="preserve">In addition, if a carrier chooses </w:t>
      </w:r>
      <w:r w:rsidR="004F247B">
        <w:rPr>
          <w:szCs w:val="22"/>
        </w:rPr>
        <w:t>to imp</w:t>
      </w:r>
      <w:r w:rsidR="00533BC4">
        <w:rPr>
          <w:szCs w:val="22"/>
        </w:rPr>
        <w:t>l</w:t>
      </w:r>
      <w:r w:rsidR="004F247B">
        <w:rPr>
          <w:szCs w:val="22"/>
        </w:rPr>
        <w:t>eme</w:t>
      </w:r>
      <w:r w:rsidR="00533BC4">
        <w:rPr>
          <w:szCs w:val="22"/>
        </w:rPr>
        <w:t>nt the t</w:t>
      </w:r>
      <w:r>
        <w:rPr>
          <w:szCs w:val="22"/>
        </w:rPr>
        <w:t>hird quarter 201</w:t>
      </w:r>
      <w:r w:rsidR="00043B70">
        <w:rPr>
          <w:szCs w:val="22"/>
        </w:rPr>
        <w:t>8</w:t>
      </w:r>
      <w:r>
        <w:rPr>
          <w:szCs w:val="22"/>
        </w:rPr>
        <w:t xml:space="preserve"> </w:t>
      </w:r>
      <w:r w:rsidR="00533BC4">
        <w:rPr>
          <w:szCs w:val="22"/>
        </w:rPr>
        <w:t xml:space="preserve">USF </w:t>
      </w:r>
      <w:r>
        <w:rPr>
          <w:szCs w:val="22"/>
        </w:rPr>
        <w:t xml:space="preserve">contribution </w:t>
      </w:r>
      <w:r w:rsidR="00ED44F5">
        <w:rPr>
          <w:szCs w:val="22"/>
        </w:rPr>
        <w:t xml:space="preserve">factor </w:t>
      </w:r>
      <w:r w:rsidR="00533BC4">
        <w:rPr>
          <w:szCs w:val="22"/>
        </w:rPr>
        <w:t xml:space="preserve">effective </w:t>
      </w:r>
      <w:r>
        <w:rPr>
          <w:szCs w:val="22"/>
        </w:rPr>
        <w:t>July 1, 2018, we grant a limited waiver of section 61.59</w:t>
      </w:r>
      <w:r w:rsidR="009E6A40">
        <w:rPr>
          <w:szCs w:val="22"/>
        </w:rPr>
        <w:t>(a)</w:t>
      </w:r>
      <w:r>
        <w:rPr>
          <w:szCs w:val="22"/>
        </w:rPr>
        <w:t xml:space="preserve"> of the Commission’s rules, to allow </w:t>
      </w:r>
      <w:r w:rsidR="004F247B">
        <w:rPr>
          <w:szCs w:val="22"/>
        </w:rPr>
        <w:t xml:space="preserve">such </w:t>
      </w:r>
      <w:r>
        <w:rPr>
          <w:szCs w:val="22"/>
        </w:rPr>
        <w:t xml:space="preserve">carriers to modify material in their tariff that has not been effective for 30 days, in order to </w:t>
      </w:r>
      <w:r w:rsidR="00533BC4">
        <w:rPr>
          <w:szCs w:val="22"/>
        </w:rPr>
        <w:t xml:space="preserve">make their </w:t>
      </w:r>
      <w:r>
        <w:rPr>
          <w:szCs w:val="22"/>
        </w:rPr>
        <w:t xml:space="preserve">annual access charge tariff filing </w:t>
      </w:r>
      <w:r w:rsidR="00533BC4">
        <w:rPr>
          <w:szCs w:val="22"/>
        </w:rPr>
        <w:t xml:space="preserve">effective </w:t>
      </w:r>
      <w:r>
        <w:rPr>
          <w:szCs w:val="22"/>
        </w:rPr>
        <w:t>July 3, 2018.</w:t>
      </w:r>
      <w:r>
        <w:rPr>
          <w:rStyle w:val="FootnoteReference"/>
          <w:szCs w:val="22"/>
        </w:rPr>
        <w:footnoteReference w:id="31"/>
      </w:r>
    </w:p>
    <w:p w:rsidR="00225FA8" w:rsidRPr="00E3797B" w:rsidP="00225FA8" w14:paraId="2FCFF1C8" w14:textId="77777777">
      <w:pPr>
        <w:pStyle w:val="Heading2"/>
        <w:numPr>
          <w:ilvl w:val="1"/>
          <w:numId w:val="9"/>
        </w:numPr>
        <w:jc w:val="both"/>
      </w:pPr>
      <w:r>
        <w:t>Tariff and Tariff Review Plan Filing Instructions</w:t>
      </w:r>
    </w:p>
    <w:p w:rsidR="00225FA8" w:rsidP="00BD5A96" w14:paraId="577B4A97" w14:textId="5C0061DE">
      <w:pPr>
        <w:pStyle w:val="ParaNum"/>
        <w:tabs>
          <w:tab w:val="clear" w:pos="1080"/>
          <w:tab w:val="num" w:pos="1440"/>
        </w:tabs>
        <w:rPr>
          <w:b/>
          <w:bCs/>
          <w:caps/>
          <w:szCs w:val="24"/>
        </w:rPr>
      </w:pPr>
      <w:r>
        <w:rPr>
          <w:szCs w:val="24"/>
        </w:rPr>
        <w:t>Incumbent LEC</w:t>
      </w:r>
      <w:r>
        <w:rPr>
          <w:bCs/>
          <w:szCs w:val="24"/>
        </w:rPr>
        <w:t>s</w:t>
      </w:r>
      <w:r>
        <w:rPr>
          <w:szCs w:val="24"/>
        </w:rPr>
        <w:t xml:space="preserve"> </w:t>
      </w:r>
      <w:r>
        <w:rPr>
          <w:bCs/>
          <w:szCs w:val="24"/>
        </w:rPr>
        <w:t xml:space="preserve">must use the Commission’s </w:t>
      </w:r>
      <w:r w:rsidRPr="00782DA6">
        <w:rPr>
          <w:szCs w:val="24"/>
        </w:rPr>
        <w:t>Electronic</w:t>
      </w:r>
      <w:r>
        <w:rPr>
          <w:bCs/>
          <w:szCs w:val="24"/>
        </w:rPr>
        <w:t xml:space="preserve"> Tariff Filing System (ETFS) to file all of their tariff material.</w:t>
      </w:r>
      <w:r>
        <w:rPr>
          <w:rStyle w:val="FootnoteReference"/>
          <w:bCs/>
          <w:szCs w:val="24"/>
        </w:rPr>
        <w:footnoteReference w:id="32"/>
      </w:r>
      <w:r>
        <w:rPr>
          <w:bCs/>
          <w:szCs w:val="24"/>
        </w:rPr>
        <w:t xml:space="preserve">  Incumbent LECs should make every effort to file as early in the day as possible to </w:t>
      </w:r>
      <w:r w:rsidRPr="00BD5A96">
        <w:t>avoid</w:t>
      </w:r>
      <w:r>
        <w:rPr>
          <w:bCs/>
          <w:szCs w:val="24"/>
        </w:rPr>
        <w:t xml:space="preserve"> any complicat</w:t>
      </w:r>
      <w:r w:rsidR="00067AA0">
        <w:rPr>
          <w:bCs/>
          <w:szCs w:val="24"/>
        </w:rPr>
        <w:t>ions in meeting the June 18</w:t>
      </w:r>
      <w:r w:rsidR="0075315D">
        <w:rPr>
          <w:bCs/>
          <w:szCs w:val="24"/>
        </w:rPr>
        <w:t>, 2018</w:t>
      </w:r>
      <w:r>
        <w:rPr>
          <w:bCs/>
          <w:szCs w:val="24"/>
        </w:rPr>
        <w:t xml:space="preserve"> a</w:t>
      </w:r>
      <w:r w:rsidR="00067AA0">
        <w:rPr>
          <w:bCs/>
          <w:szCs w:val="24"/>
        </w:rPr>
        <w:t>nd June 2</w:t>
      </w:r>
      <w:r w:rsidR="00447BDC">
        <w:rPr>
          <w:bCs/>
          <w:szCs w:val="24"/>
        </w:rPr>
        <w:t>6</w:t>
      </w:r>
      <w:r w:rsidR="0075315D">
        <w:rPr>
          <w:bCs/>
          <w:szCs w:val="24"/>
        </w:rPr>
        <w:t>, 2018</w:t>
      </w:r>
      <w:r>
        <w:rPr>
          <w:bCs/>
          <w:szCs w:val="24"/>
        </w:rPr>
        <w:t>, pre-7:00 p.m. Eastern Time deadlines for filing in the ETFS.  Incumbent LEC tariff filings must be received by ETFS after 7:00 p.m. Eastern Time on June</w:t>
      </w:r>
      <w:r w:rsidR="00067AA0">
        <w:rPr>
          <w:bCs/>
          <w:szCs w:val="24"/>
        </w:rPr>
        <w:t xml:space="preserve"> 17</w:t>
      </w:r>
      <w:r w:rsidR="0075315D">
        <w:rPr>
          <w:bCs/>
          <w:szCs w:val="24"/>
        </w:rPr>
        <w:t>, 2018</w:t>
      </w:r>
      <w:r>
        <w:rPr>
          <w:bCs/>
          <w:szCs w:val="24"/>
        </w:rPr>
        <w:t xml:space="preserve"> and before 7:00 p.</w:t>
      </w:r>
      <w:r w:rsidR="0075315D">
        <w:rPr>
          <w:bCs/>
          <w:szCs w:val="24"/>
        </w:rPr>
        <w:t>m. Eastern Time</w:t>
      </w:r>
      <w:r w:rsidR="00067AA0">
        <w:rPr>
          <w:bCs/>
          <w:szCs w:val="24"/>
        </w:rPr>
        <w:t xml:space="preserve"> on June 18</w:t>
      </w:r>
      <w:r w:rsidR="0075315D">
        <w:rPr>
          <w:bCs/>
          <w:szCs w:val="24"/>
        </w:rPr>
        <w:t>, 2018</w:t>
      </w:r>
      <w:r>
        <w:rPr>
          <w:bCs/>
          <w:szCs w:val="24"/>
        </w:rPr>
        <w:t xml:space="preserve"> for the filing to be considered officially received on </w:t>
      </w:r>
      <w:r w:rsidR="00067AA0">
        <w:rPr>
          <w:bCs/>
          <w:szCs w:val="24"/>
        </w:rPr>
        <w:t>June 18</w:t>
      </w:r>
      <w:r w:rsidR="0075315D">
        <w:rPr>
          <w:bCs/>
          <w:szCs w:val="24"/>
        </w:rPr>
        <w:t>, 2018</w:t>
      </w:r>
      <w:r>
        <w:rPr>
          <w:bCs/>
          <w:szCs w:val="24"/>
        </w:rPr>
        <w:t>.  Incumbent LEC tariff filings must be received after 7:00 p.</w:t>
      </w:r>
      <w:r w:rsidR="005851B4">
        <w:rPr>
          <w:bCs/>
          <w:szCs w:val="24"/>
        </w:rPr>
        <w:t>m. Eastern Time o</w:t>
      </w:r>
      <w:r w:rsidR="00067AA0">
        <w:rPr>
          <w:bCs/>
          <w:szCs w:val="24"/>
        </w:rPr>
        <w:t>n June 2</w:t>
      </w:r>
      <w:r w:rsidR="00447BDC">
        <w:rPr>
          <w:bCs/>
          <w:szCs w:val="24"/>
        </w:rPr>
        <w:t>5</w:t>
      </w:r>
      <w:r w:rsidR="0075315D">
        <w:rPr>
          <w:bCs/>
          <w:szCs w:val="24"/>
        </w:rPr>
        <w:t>, 2018</w:t>
      </w:r>
      <w:r>
        <w:rPr>
          <w:bCs/>
          <w:szCs w:val="24"/>
        </w:rPr>
        <w:t xml:space="preserve"> and before 7:00 p.</w:t>
      </w:r>
      <w:r w:rsidR="00067AA0">
        <w:rPr>
          <w:bCs/>
          <w:szCs w:val="24"/>
        </w:rPr>
        <w:t>m. Eastern Time on June 2</w:t>
      </w:r>
      <w:r w:rsidR="00447BDC">
        <w:rPr>
          <w:bCs/>
          <w:szCs w:val="24"/>
        </w:rPr>
        <w:t>6</w:t>
      </w:r>
      <w:r w:rsidR="0075315D">
        <w:rPr>
          <w:bCs/>
          <w:szCs w:val="24"/>
        </w:rPr>
        <w:t>, 2018</w:t>
      </w:r>
      <w:r>
        <w:rPr>
          <w:bCs/>
          <w:szCs w:val="24"/>
        </w:rPr>
        <w:t xml:space="preserve"> for the filing to be considered offi</w:t>
      </w:r>
      <w:r w:rsidR="00067AA0">
        <w:rPr>
          <w:bCs/>
          <w:szCs w:val="24"/>
        </w:rPr>
        <w:t>cially received on June 2</w:t>
      </w:r>
      <w:r w:rsidR="00447BDC">
        <w:rPr>
          <w:bCs/>
          <w:szCs w:val="24"/>
        </w:rPr>
        <w:t>6</w:t>
      </w:r>
      <w:r w:rsidR="0075315D">
        <w:rPr>
          <w:bCs/>
          <w:szCs w:val="24"/>
        </w:rPr>
        <w:t>, 2018</w:t>
      </w:r>
      <w:r>
        <w:rPr>
          <w:bCs/>
          <w:szCs w:val="24"/>
        </w:rPr>
        <w:t>.</w:t>
      </w:r>
    </w:p>
    <w:p w:rsidR="00225FA8" w:rsidP="00BD5A96" w14:paraId="2FE960E4" w14:textId="7407D968">
      <w:pPr>
        <w:pStyle w:val="ParaNum"/>
        <w:tabs>
          <w:tab w:val="clear" w:pos="1080"/>
          <w:tab w:val="num" w:pos="1440"/>
        </w:tabs>
      </w:pPr>
      <w:r>
        <w:t xml:space="preserve">Copies of the information filed </w:t>
      </w:r>
      <w:r w:rsidRPr="00BD5A96">
        <w:rPr>
          <w:bCs/>
          <w:szCs w:val="24"/>
        </w:rPr>
        <w:t>electronically</w:t>
      </w:r>
      <w:r>
        <w:t xml:space="preserve"> may be obtained via the Internet using ETFS at </w:t>
      </w:r>
      <w:r>
        <w:fldChar w:fldCharType="begin"/>
      </w:r>
      <w:r>
        <w:instrText xml:space="preserve"> HYPERLINK "https://apps.fcc.gov/etfs/etfsHome.action" </w:instrText>
      </w:r>
      <w:r>
        <w:fldChar w:fldCharType="separate"/>
      </w:r>
      <w:r>
        <w:rPr>
          <w:rStyle w:val="Hyperlink"/>
        </w:rPr>
        <w:t>https://apps.fcc.gov/etfs/etfsHome.action</w:t>
      </w:r>
      <w:r>
        <w:fldChar w:fldCharType="end"/>
      </w:r>
      <w:r>
        <w:t>.  For more information, contact either Robin Cohn or Richard Kwiatkowski, Pricing Policy Division, Wireline Competition Bureau, at (202) 418-15</w:t>
      </w:r>
      <w:r w:rsidR="00354BC8">
        <w:t>4</w:t>
      </w:r>
      <w:r>
        <w:t>0.</w:t>
      </w:r>
    </w:p>
    <w:p w:rsidR="00225FA8" w:rsidP="00225FA8" w14:paraId="2736E318" w14:textId="77777777">
      <w:pPr>
        <w:pStyle w:val="Heading2"/>
        <w:numPr>
          <w:ilvl w:val="1"/>
          <w:numId w:val="9"/>
        </w:numPr>
        <w:jc w:val="both"/>
      </w:pPr>
      <w:r>
        <w:t>Pleading Filing Dates and Procedures</w:t>
      </w:r>
    </w:p>
    <w:p w:rsidR="00225FA8" w:rsidRPr="00BD5A96" w:rsidP="00BD5A96" w14:paraId="7FB2E881" w14:textId="6929DDFA">
      <w:pPr>
        <w:pStyle w:val="ParaNum"/>
        <w:tabs>
          <w:tab w:val="clear" w:pos="1080"/>
          <w:tab w:val="num" w:pos="1440"/>
        </w:tabs>
        <w:rPr>
          <w:rStyle w:val="FootnoteReference"/>
          <w:szCs w:val="24"/>
          <w:vertAlign w:val="baseline"/>
        </w:rPr>
      </w:pPr>
      <w:r>
        <w:t xml:space="preserve">In </w:t>
      </w:r>
      <w:r w:rsidRPr="00BD5A96">
        <w:t>accordance</w:t>
      </w:r>
      <w:r>
        <w:t xml:space="preserve"> with the tariff filing schedule, petitions to suspend or reject tariff filings made on 15 </w:t>
      </w:r>
      <w:r w:rsidRPr="00BD5A96">
        <w:t>days’</w:t>
      </w:r>
      <w:r>
        <w:t xml:space="preserve"> </w:t>
      </w:r>
      <w:r w:rsidR="0099330A">
        <w:t xml:space="preserve">notice will be due June </w:t>
      </w:r>
      <w:r w:rsidR="00AD6A9D">
        <w:t>25</w:t>
      </w:r>
      <w:r w:rsidR="0075315D">
        <w:t>, 2018</w:t>
      </w:r>
      <w:r>
        <w:t>, and replies will be</w:t>
      </w:r>
      <w:r w:rsidR="0099330A">
        <w:t xml:space="preserve"> due no later than June </w:t>
      </w:r>
      <w:r w:rsidR="00AD6A9D">
        <w:t>2</w:t>
      </w:r>
      <w:r w:rsidR="00053984">
        <w:t>8</w:t>
      </w:r>
      <w:r w:rsidR="0075315D">
        <w:t>, 2018</w:t>
      </w:r>
      <w:r>
        <w:t>.  Petitions to suspend or reject tariff filings made on seven days’ notice will be due no later than 12:00 p.m. (noo</w:t>
      </w:r>
      <w:r w:rsidR="00AD6A9D">
        <w:t>n) Eastern Time on June 27</w:t>
      </w:r>
      <w:r w:rsidR="0075315D">
        <w:t>, 2018</w:t>
      </w:r>
      <w:r>
        <w:t>, and replies will be due no later than 12 p.m. (noon) Easte</w:t>
      </w:r>
      <w:r w:rsidR="00AD6A9D">
        <w:t>rn Time on June 29</w:t>
      </w:r>
      <w:r w:rsidR="0075315D">
        <w:t>, 2018</w:t>
      </w:r>
      <w:r>
        <w:t>.</w:t>
      </w:r>
      <w:r>
        <w:rPr>
          <w:rStyle w:val="FootnoteReference"/>
        </w:rPr>
        <w:footnoteReference w:id="33"/>
      </w:r>
    </w:p>
    <w:p w:rsidR="00225FA8" w:rsidRPr="00E97BD1" w:rsidP="00BD5A96" w14:paraId="0D8EA66F" w14:textId="0D10E96B">
      <w:pPr>
        <w:pStyle w:val="ParaNum"/>
        <w:tabs>
          <w:tab w:val="clear" w:pos="1080"/>
          <w:tab w:val="num" w:pos="1440"/>
        </w:tabs>
        <w:rPr>
          <w:b/>
          <w:szCs w:val="24"/>
        </w:rPr>
      </w:pPr>
      <w:r>
        <w:rPr>
          <w:szCs w:val="24"/>
        </w:rPr>
        <w:t>Pursuant to sections 1.419 and 1.773 of the Commission’s rules,</w:t>
      </w:r>
      <w:r>
        <w:rPr>
          <w:rStyle w:val="FootnoteReference"/>
          <w:szCs w:val="24"/>
        </w:rPr>
        <w:footnoteReference w:id="34"/>
      </w:r>
      <w:r>
        <w:rPr>
          <w:szCs w:val="24"/>
        </w:rPr>
        <w:t xml:space="preserve"> interested parties may file petitions to suspend or reject tariff filings, and replies thereto, on or before the dates indicat</w:t>
      </w:r>
      <w:r w:rsidR="002C0885">
        <w:rPr>
          <w:szCs w:val="24"/>
        </w:rPr>
        <w:t>ed in</w:t>
      </w:r>
      <w:r>
        <w:rPr>
          <w:szCs w:val="24"/>
        </w:rPr>
        <w:t xml:space="preserve"> this document.  Pleadings should reference </w:t>
      </w:r>
      <w:r w:rsidR="0075315D">
        <w:rPr>
          <w:b/>
          <w:szCs w:val="24"/>
        </w:rPr>
        <w:t>WC Docket No. 18</w:t>
      </w:r>
      <w:r w:rsidRPr="003C25F4">
        <w:rPr>
          <w:b/>
          <w:szCs w:val="24"/>
        </w:rPr>
        <w:t>-</w:t>
      </w:r>
      <w:r w:rsidR="00747E1D">
        <w:rPr>
          <w:b/>
          <w:szCs w:val="24"/>
        </w:rPr>
        <w:t>100</w:t>
      </w:r>
      <w:r w:rsidRPr="00747E1D">
        <w:rPr>
          <w:b/>
          <w:szCs w:val="24"/>
        </w:rPr>
        <w:t>,</w:t>
      </w:r>
      <w:r>
        <w:rPr>
          <w:szCs w:val="24"/>
        </w:rPr>
        <w:t xml:space="preserve"> and</w:t>
      </w:r>
      <w:r w:rsidR="006315A6">
        <w:rPr>
          <w:szCs w:val="24"/>
        </w:rPr>
        <w:t xml:space="preserve"> may be filed </w:t>
      </w:r>
      <w:r>
        <w:rPr>
          <w:szCs w:val="24"/>
        </w:rPr>
        <w:t xml:space="preserve">using the </w:t>
      </w:r>
      <w:r>
        <w:rPr>
          <w:szCs w:val="22"/>
        </w:rPr>
        <w:t>Electronic Comment Filing System (ECFS)</w:t>
      </w:r>
      <w:r>
        <w:rPr>
          <w:szCs w:val="24"/>
        </w:rPr>
        <w:t>.</w:t>
      </w:r>
      <w:r>
        <w:rPr>
          <w:rStyle w:val="FootnoteReference"/>
          <w:szCs w:val="24"/>
        </w:rPr>
        <w:footnoteReference w:id="35"/>
      </w:r>
      <w:r w:rsidR="0063475E">
        <w:rPr>
          <w:szCs w:val="24"/>
        </w:rPr>
        <w:t xml:space="preserve">     </w:t>
      </w:r>
    </w:p>
    <w:p w:rsidR="00225FA8" w:rsidP="00225FA8" w14:paraId="3493B6AF" w14:textId="24D4B6DD">
      <w:pPr>
        <w:numPr>
          <w:ilvl w:val="0"/>
          <w:numId w:val="10"/>
        </w:numPr>
        <w:spacing w:after="120"/>
      </w:pPr>
      <w:r>
        <w:t xml:space="preserve">Electronic Filers:  Pleadings may be filed electronically using the Internet by accessing the ECFS: </w:t>
      </w:r>
      <w:r>
        <w:fldChar w:fldCharType="begin"/>
      </w:r>
      <w:r>
        <w:instrText xml:space="preserve"> HYPERLINK "http://apps.fcc.gov/ecfs" </w:instrText>
      </w:r>
      <w:r>
        <w:fldChar w:fldCharType="separate"/>
      </w:r>
      <w:r>
        <w:rPr>
          <w:rStyle w:val="Hyperlink"/>
        </w:rPr>
        <w:t>http://apps.fcc.gov/ecfs</w:t>
      </w:r>
      <w:r>
        <w:fldChar w:fldCharType="end"/>
      </w:r>
      <w:r w:rsidR="00B9521B">
        <w:rPr>
          <w:rStyle w:val="Hyperlink"/>
          <w:u w:val="none"/>
        </w:rPr>
        <w:t>.</w:t>
      </w:r>
      <w:r>
        <w:t xml:space="preserve">  </w:t>
      </w:r>
    </w:p>
    <w:p w:rsidR="00225FA8" w:rsidRPr="00E61A29" w:rsidP="00225FA8" w14:paraId="21D4208E" w14:textId="77777777">
      <w:pPr>
        <w:numPr>
          <w:ilvl w:val="0"/>
          <w:numId w:val="10"/>
        </w:numPr>
        <w:spacing w:after="120"/>
        <w:rPr>
          <w:szCs w:val="22"/>
        </w:rPr>
      </w:pPr>
      <w:r>
        <w:t xml:space="preserve">Paper Filers:  Parties who choose to file by paper must file an original and one copy of each filing.  </w:t>
      </w:r>
      <w:r w:rsidRPr="00E61A2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25FA8" w:rsidP="00225FA8" w14:paraId="61F1BE47" w14:textId="77777777">
      <w:pPr>
        <w:numPr>
          <w:ilvl w:val="0"/>
          <w:numId w:val="11"/>
        </w:numPr>
        <w:spacing w:after="120"/>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must be disposed of </w:t>
      </w:r>
      <w:r>
        <w:rPr>
          <w:u w:val="single"/>
        </w:rPr>
        <w:t>before</w:t>
      </w:r>
      <w:r>
        <w:t xml:space="preserve"> entering the building.  </w:t>
      </w:r>
      <w:r>
        <w:rPr>
          <w:szCs w:val="22"/>
        </w:rPr>
        <w:t xml:space="preserve">  </w:t>
      </w:r>
    </w:p>
    <w:p w:rsidR="00225FA8" w:rsidP="00225FA8" w14:paraId="121D89B4" w14:textId="77777777">
      <w:pPr>
        <w:numPr>
          <w:ilvl w:val="0"/>
          <w:numId w:val="11"/>
        </w:numPr>
        <w:spacing w:after="120"/>
        <w:rPr>
          <w:szCs w:val="22"/>
        </w:rPr>
      </w:pPr>
      <w:r w:rsidRPr="0063475E">
        <w:t>Commercial overnight mail (other than U.S. Postal Service Express Mail and Priority Mail) must be sent to 9050 Junction Drive, Annapolis Junction, MD 20701</w:t>
      </w:r>
      <w:r>
        <w:t>.</w:t>
      </w:r>
    </w:p>
    <w:p w:rsidR="00225FA8" w:rsidP="00225FA8" w14:paraId="1238850D" w14:textId="77777777">
      <w:pPr>
        <w:numPr>
          <w:ilvl w:val="0"/>
          <w:numId w:val="11"/>
        </w:numPr>
        <w:spacing w:after="120"/>
        <w:rPr>
          <w:szCs w:val="22"/>
        </w:rPr>
      </w:pPr>
      <w:r>
        <w:t>U.S. Postal Service first-class, Express, and Priority mail must be addressed to 445 12</w:t>
      </w:r>
      <w:r>
        <w:rPr>
          <w:vertAlign w:val="superscript"/>
        </w:rPr>
        <w:t>th</w:t>
      </w:r>
      <w:r>
        <w:t xml:space="preserve"> Street, SW, Washington DC 20554.</w:t>
      </w:r>
    </w:p>
    <w:p w:rsidR="00225FA8" w:rsidP="00225FA8" w14:paraId="1D550237" w14:textId="762EDFED">
      <w:pPr>
        <w:spacing w:after="120"/>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"fcc504@fcc.gov%20" </w:instrText>
      </w:r>
      <w:r>
        <w:fldChar w:fldCharType="separate"/>
      </w:r>
      <w:r w:rsidRPr="00FC252C">
        <w:rPr>
          <w:rStyle w:val="Hyperlink"/>
          <w:szCs w:val="22"/>
        </w:rPr>
        <w:t>fcc504@fcc.gov</w:t>
      </w:r>
      <w:r>
        <w:fldChar w:fldCharType="end"/>
      </w:r>
      <w:r>
        <w:rPr>
          <w:szCs w:val="22"/>
        </w:rPr>
        <w:t xml:space="preserve"> or call the Consumer &amp; Governmental Affairs Bureau at 202-418-0530 (voice), 202-418-0432 (tty).</w:t>
      </w:r>
    </w:p>
    <w:p w:rsidR="00225FA8" w:rsidP="00BD5A96" w14:paraId="6142BE30" w14:textId="292B6E32">
      <w:pPr>
        <w:pStyle w:val="ParaNum"/>
        <w:tabs>
          <w:tab w:val="clear" w:pos="1080"/>
          <w:tab w:val="num" w:pos="1440"/>
        </w:tabs>
        <w:rPr>
          <w:szCs w:val="24"/>
          <w:u w:val="single"/>
        </w:rPr>
      </w:pPr>
      <w:r>
        <w:rPr>
          <w:szCs w:val="24"/>
        </w:rPr>
        <w:t xml:space="preserve">A courtesy </w:t>
      </w:r>
      <w:r w:rsidRPr="00BD5A96">
        <w:rPr>
          <w:bCs/>
          <w:szCs w:val="24"/>
        </w:rPr>
        <w:t>copy</w:t>
      </w:r>
      <w:r>
        <w:rPr>
          <w:szCs w:val="24"/>
        </w:rPr>
        <w:t xml:space="preserve"> of any comments, reply comments, petitions and replies must also be e-mailed to Richard Kwiatkowski, Pricing Policy Division, Wireline Competition Bureau, Federal Communications Commission, 445 12</w:t>
      </w:r>
      <w:r>
        <w:rPr>
          <w:szCs w:val="24"/>
          <w:vertAlign w:val="superscript"/>
        </w:rPr>
        <w:t>th</w:t>
      </w:r>
      <w:r>
        <w:rPr>
          <w:szCs w:val="24"/>
        </w:rPr>
        <w:t xml:space="preserve"> Street, SW, Room 5-A460, Washington, DC 20554, </w:t>
      </w:r>
      <w:r>
        <w:fldChar w:fldCharType="begin"/>
      </w:r>
      <w:r>
        <w:instrText xml:space="preserve"> HYPERLINK "mailto:Richard.Kwiatkowski@fcc.gov" </w:instrText>
      </w:r>
      <w:r>
        <w:fldChar w:fldCharType="separate"/>
      </w:r>
      <w:r>
        <w:rPr>
          <w:rStyle w:val="Hyperlink"/>
          <w:szCs w:val="24"/>
        </w:rPr>
        <w:t>Richard.Kwiatkowski@fcc.gov</w:t>
      </w:r>
      <w:r>
        <w:fldChar w:fldCharType="end"/>
      </w:r>
      <w:r>
        <w:rPr>
          <w:szCs w:val="24"/>
        </w:rPr>
        <w:t>.  In addition, a courtesy copy must be addressed to the Chief, Pricing Policy Division, Wireline Competition Bureau, 445 12</w:t>
      </w:r>
      <w:r>
        <w:rPr>
          <w:szCs w:val="24"/>
          <w:vertAlign w:val="superscript"/>
        </w:rPr>
        <w:t>th</w:t>
      </w:r>
      <w:r>
        <w:rPr>
          <w:szCs w:val="24"/>
        </w:rPr>
        <w:t xml:space="preserve"> Street, SW, Room 5-A221, Washington, DC 20554 and e-mailed to </w:t>
      </w:r>
      <w:r>
        <w:fldChar w:fldCharType="begin"/>
      </w:r>
      <w:r>
        <w:instrText xml:space="preserve"> HYPERLINK "mailto:Robin.Cohn@fcc.gov" </w:instrText>
      </w:r>
      <w:r>
        <w:fldChar w:fldCharType="separate"/>
      </w:r>
      <w:r w:rsidRPr="00164F55">
        <w:rPr>
          <w:rStyle w:val="Hyperlink"/>
          <w:szCs w:val="24"/>
        </w:rPr>
        <w:t>Robin.Cohn@fcc.gov</w:t>
      </w:r>
      <w:r>
        <w:fldChar w:fldCharType="end"/>
      </w:r>
      <w:r w:rsidR="00B9521B">
        <w:rPr>
          <w:szCs w:val="24"/>
        </w:rPr>
        <w:t>.</w:t>
      </w:r>
      <w:r>
        <w:rPr>
          <w:szCs w:val="24"/>
          <w:u w:val="single"/>
        </w:rPr>
        <w:t xml:space="preserve"> </w:t>
      </w:r>
      <w:r>
        <w:rPr>
          <w:szCs w:val="24"/>
        </w:rPr>
        <w:t xml:space="preserve"> </w:t>
      </w:r>
      <w:r>
        <w:rPr>
          <w:szCs w:val="24"/>
          <w:u w:val="single"/>
        </w:rPr>
        <w:t xml:space="preserve"> </w:t>
      </w:r>
    </w:p>
    <w:p w:rsidR="00225FA8" w:rsidP="00BD5A96" w14:paraId="588718D8" w14:textId="77777777">
      <w:pPr>
        <w:pStyle w:val="ParaNum"/>
        <w:tabs>
          <w:tab w:val="clear" w:pos="1080"/>
          <w:tab w:val="num" w:pos="1440"/>
        </w:tabs>
        <w:rPr>
          <w:szCs w:val="24"/>
          <w:u w:val="single"/>
        </w:rPr>
      </w:pPr>
      <w:r>
        <w:t xml:space="preserve">The proceeding this Notice </w:t>
      </w:r>
      <w:r w:rsidRPr="00D0713D">
        <w:rPr>
          <w:szCs w:val="24"/>
        </w:rPr>
        <w:t>initiates</w:t>
      </w:r>
      <w:r>
        <w:t xml:space="preserve"> shall be treated as a “permit-but-disclose” proceeding in accordance with the Commission’s </w:t>
      </w:r>
      <w:r>
        <w:rPr>
          <w:i/>
          <w:iCs/>
        </w:rPr>
        <w:t xml:space="preserve">ex parte </w:t>
      </w:r>
      <w:r>
        <w:t>rules.</w:t>
      </w:r>
      <w:r>
        <w:rPr>
          <w:rStyle w:val="FootnoteReference"/>
        </w:rPr>
        <w:footnoteReference w:id="3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ex parte</w:t>
      </w:r>
      <w:r>
        <w:rPr>
          <w:iCs/>
        </w:rPr>
        <w:t xml:space="preserve"> rules.</w:t>
      </w:r>
    </w:p>
    <w:p w:rsidR="00225FA8" w:rsidRPr="00A50129" w:rsidP="00225FA8" w14:paraId="51D0F567" w14:textId="77777777">
      <w:pPr>
        <w:pStyle w:val="Heading2"/>
        <w:numPr>
          <w:ilvl w:val="1"/>
          <w:numId w:val="9"/>
        </w:numPr>
        <w:jc w:val="both"/>
      </w:pPr>
      <w:r>
        <w:t>Service</w:t>
      </w:r>
    </w:p>
    <w:p w:rsidR="00225FA8" w:rsidRPr="00D0713D" w:rsidP="00BD5A96" w14:paraId="58634F93" w14:textId="77777777">
      <w:pPr>
        <w:pStyle w:val="ParaNum"/>
        <w:tabs>
          <w:tab w:val="clear" w:pos="1080"/>
          <w:tab w:val="num" w:pos="1440"/>
        </w:tabs>
        <w:rPr>
          <w:szCs w:val="24"/>
        </w:rPr>
      </w:pPr>
      <w:r>
        <w:rPr>
          <w:szCs w:val="24"/>
        </w:rPr>
        <w:t xml:space="preserve">Because there is </w:t>
      </w:r>
      <w:r w:rsidRPr="00BD5A96">
        <w:rPr>
          <w:bCs/>
          <w:szCs w:val="24"/>
        </w:rPr>
        <w:t>limited</w:t>
      </w:r>
      <w:r>
        <w:rPr>
          <w:szCs w:val="24"/>
        </w:rPr>
        <w:t xml:space="preserve"> time </w:t>
      </w:r>
      <w:r w:rsidRPr="00D0713D">
        <w:t>available</w:t>
      </w:r>
      <w:r>
        <w:rPr>
          <w:szCs w:val="24"/>
        </w:rPr>
        <w:t xml:space="preserve"> for review of </w:t>
      </w:r>
      <w:r w:rsidR="00EC1380">
        <w:rPr>
          <w:szCs w:val="24"/>
        </w:rPr>
        <w:t>the</w:t>
      </w:r>
      <w:r>
        <w:rPr>
          <w:szCs w:val="24"/>
        </w:rPr>
        <w:t xml:space="preserve"> petitions to suspend or reject tariff filings, and replies thereto, we establish the following service requirements for these filings.  On the date a filing is submitted to the Commission, it shall also be served upon the filing LEC or the petitioner to which it responds, respectively, or its attorney or other duly constituted agent, by personal delivery, by facsimile transmission, or e-mail.</w:t>
      </w:r>
      <w:r>
        <w:rPr>
          <w:rStyle w:val="FootnoteReference"/>
          <w:szCs w:val="24"/>
        </w:rPr>
        <w:footnoteReference w:id="37"/>
      </w:r>
      <w:r>
        <w:rPr>
          <w:szCs w:val="24"/>
        </w:rPr>
        <w:t xml:space="preserve">  Parties are instructed to provide contact persons, email addresses, and facsimile numbers in their filings.  Parties filing petitions and replies electronically are reminded </w:t>
      </w:r>
      <w:r w:rsidR="00EC1380">
        <w:rPr>
          <w:szCs w:val="24"/>
        </w:rPr>
        <w:t xml:space="preserve">that </w:t>
      </w:r>
      <w:r>
        <w:rPr>
          <w:szCs w:val="24"/>
        </w:rPr>
        <w:t>they are still required to serve copies in accordance with the requirements stated in this paragraph.</w:t>
      </w:r>
    </w:p>
    <w:p w:rsidR="00225FA8" w:rsidP="00225FA8" w14:paraId="74F0AE77" w14:textId="77777777">
      <w:pPr>
        <w:pStyle w:val="Heading1"/>
        <w:numPr>
          <w:ilvl w:val="0"/>
          <w:numId w:val="9"/>
        </w:numPr>
        <w:jc w:val="both"/>
      </w:pPr>
      <w:r>
        <w:t>ORDERING CLAUSEs</w:t>
      </w:r>
    </w:p>
    <w:p w:rsidR="00225FA8" w:rsidP="00BD5A96" w14:paraId="5061F2EE" w14:textId="77777777">
      <w:pPr>
        <w:pStyle w:val="ParaNum"/>
        <w:tabs>
          <w:tab w:val="clear" w:pos="1080"/>
          <w:tab w:val="num" w:pos="1440"/>
        </w:tabs>
        <w:rPr>
          <w:szCs w:val="24"/>
        </w:rPr>
      </w:pPr>
      <w:r w:rsidRPr="00BD5A96">
        <w:rPr>
          <w:bCs/>
          <w:szCs w:val="24"/>
        </w:rPr>
        <w:t>Accordingly</w:t>
      </w:r>
      <w:r>
        <w:rPr>
          <w:szCs w:val="24"/>
        </w:rPr>
        <w:t>, IT IS ORDERED that, pursuant to sections 1, 4(i) and (j), 5, and 201-209 of the Communications Act of 1934, as amended, 47 U.S.C. §§ 151, 154(i)-(j), 155, 201-209, and sections 0.91 and 0.291 of the Commission’s rules, 47 C.F.R. §§ 0.91, 0.291, this Order IS ADOPTED.</w:t>
      </w:r>
    </w:p>
    <w:p w:rsidR="00203B6E" w:rsidP="00BD5A96" w14:paraId="58B17D49" w14:textId="001E6A80">
      <w:pPr>
        <w:pStyle w:val="ParaNum"/>
        <w:tabs>
          <w:tab w:val="clear" w:pos="1080"/>
          <w:tab w:val="num" w:pos="1440"/>
        </w:tabs>
        <w:rPr>
          <w:szCs w:val="24"/>
        </w:rPr>
      </w:pPr>
      <w:bookmarkStart w:id="21" w:name="_Hlk508635014"/>
      <w:r>
        <w:rPr>
          <w:szCs w:val="24"/>
        </w:rPr>
        <w:t xml:space="preserve">IT IS FURTHER ORDERED that, </w:t>
      </w:r>
      <w:r w:rsidRPr="00BD5A96">
        <w:rPr>
          <w:bCs/>
          <w:szCs w:val="24"/>
        </w:rPr>
        <w:t>pursuant</w:t>
      </w:r>
      <w:r>
        <w:rPr>
          <w:szCs w:val="24"/>
        </w:rPr>
        <w:t xml:space="preserve"> to sections </w:t>
      </w:r>
      <w:r w:rsidRPr="00203B6E">
        <w:rPr>
          <w:szCs w:val="24"/>
        </w:rPr>
        <w:t>0.91, 0.291, and 1.3 of the Commission’s rules, 47 C.F.R. §§ 0.91, 0.291, 1.3, section</w:t>
      </w:r>
      <w:r w:rsidR="00763BF4">
        <w:rPr>
          <w:szCs w:val="24"/>
        </w:rPr>
        <w:t>s 69</w:t>
      </w:r>
      <w:r w:rsidR="002B3520">
        <w:rPr>
          <w:szCs w:val="24"/>
        </w:rPr>
        <w:t>.3(a), 69.3(f)(1</w:t>
      </w:r>
      <w:r>
        <w:rPr>
          <w:szCs w:val="24"/>
        </w:rPr>
        <w:t xml:space="preserve">), 51.705, 51.907, and 51.909 ARE WAIVED to the extent specified in </w:t>
      </w:r>
      <w:r>
        <w:rPr>
          <w:i/>
          <w:szCs w:val="24"/>
        </w:rPr>
        <w:t xml:space="preserve">supra </w:t>
      </w:r>
      <w:r>
        <w:rPr>
          <w:szCs w:val="24"/>
        </w:rPr>
        <w:t>paragraph 2, note 2.</w:t>
      </w:r>
      <w:r w:rsidR="00040BCD">
        <w:rPr>
          <w:szCs w:val="24"/>
        </w:rPr>
        <w:t xml:space="preserve">  </w:t>
      </w:r>
    </w:p>
    <w:p w:rsidR="003056A6" w:rsidP="00F80A7D" w14:paraId="2C2037C8" w14:textId="12390D3D">
      <w:pPr>
        <w:pStyle w:val="ParaNum"/>
        <w:tabs>
          <w:tab w:val="clear" w:pos="1080"/>
          <w:tab w:val="num" w:pos="1440"/>
        </w:tabs>
        <w:rPr>
          <w:szCs w:val="24"/>
        </w:rPr>
      </w:pPr>
      <w:bookmarkEnd w:id="21"/>
      <w:r w:rsidRPr="002C0885">
        <w:rPr>
          <w:szCs w:val="24"/>
        </w:rPr>
        <w:t xml:space="preserve">IT IS FURTHER ORDERED that, </w:t>
      </w:r>
      <w:r w:rsidRPr="002C0885">
        <w:rPr>
          <w:bCs/>
          <w:szCs w:val="24"/>
        </w:rPr>
        <w:t>pursuant</w:t>
      </w:r>
      <w:r w:rsidRPr="002C0885">
        <w:rPr>
          <w:szCs w:val="24"/>
        </w:rPr>
        <w:t xml:space="preserve"> to sections 0.91, 0.291, and 1.3 of the Commission’s rules, 47 C.F.R. §§ 0.91, 0.291, 1.3, sections 1.4(f), 1.773(a) and 1.773(b) of the Commission’s rules, 47 C.F.R. </w:t>
      </w:r>
      <w:bookmarkStart w:id="22" w:name="_Hlk510693401"/>
      <w:r w:rsidRPr="002C0885">
        <w:rPr>
          <w:szCs w:val="24"/>
        </w:rPr>
        <w:t xml:space="preserve">§§ 1.4(f), 1.733(a), </w:t>
      </w:r>
      <w:r w:rsidR="00A00D39">
        <w:rPr>
          <w:szCs w:val="24"/>
        </w:rPr>
        <w:t xml:space="preserve">and </w:t>
      </w:r>
      <w:r w:rsidRPr="002C0885">
        <w:rPr>
          <w:szCs w:val="24"/>
        </w:rPr>
        <w:t xml:space="preserve">1.773(b), </w:t>
      </w:r>
      <w:bookmarkEnd w:id="22"/>
      <w:r w:rsidRPr="002C0885">
        <w:rPr>
          <w:szCs w:val="24"/>
        </w:rPr>
        <w:t xml:space="preserve">ARE WAIVED for the limited purpose specified in </w:t>
      </w:r>
      <w:r w:rsidRPr="002C0885">
        <w:rPr>
          <w:i/>
          <w:szCs w:val="24"/>
        </w:rPr>
        <w:t>supra</w:t>
      </w:r>
      <w:r w:rsidRPr="002C0885">
        <w:rPr>
          <w:szCs w:val="24"/>
        </w:rPr>
        <w:t xml:space="preserve"> paragraph</w:t>
      </w:r>
      <w:r w:rsidR="00BB059D">
        <w:rPr>
          <w:szCs w:val="24"/>
        </w:rPr>
        <w:t xml:space="preserve">s 2, note 3, </w:t>
      </w:r>
      <w:r w:rsidR="00231945">
        <w:rPr>
          <w:szCs w:val="24"/>
        </w:rPr>
        <w:t>and 13</w:t>
      </w:r>
      <w:r w:rsidR="00BB059D">
        <w:rPr>
          <w:szCs w:val="24"/>
        </w:rPr>
        <w:t xml:space="preserve">, </w:t>
      </w:r>
      <w:r w:rsidR="00A947F0">
        <w:rPr>
          <w:szCs w:val="24"/>
        </w:rPr>
        <w:t>note 31</w:t>
      </w:r>
      <w:r w:rsidR="00F80A7D">
        <w:rPr>
          <w:szCs w:val="24"/>
        </w:rPr>
        <w:t>.</w:t>
      </w:r>
    </w:p>
    <w:p w:rsidR="00225FA8" w:rsidP="002C0885" w14:paraId="6B08BA76" w14:textId="77777777">
      <w:pPr>
        <w:pStyle w:val="ParaNum"/>
        <w:tabs>
          <w:tab w:val="clear" w:pos="1080"/>
          <w:tab w:val="num" w:pos="1440"/>
        </w:tabs>
        <w:rPr>
          <w:szCs w:val="24"/>
        </w:rPr>
      </w:pPr>
      <w:r w:rsidRPr="00F80A7D">
        <w:rPr>
          <w:szCs w:val="24"/>
        </w:rPr>
        <w:t xml:space="preserve">IT IS FURTHER ORDERED that, </w:t>
      </w:r>
      <w:r w:rsidRPr="00F80A7D">
        <w:rPr>
          <w:bCs/>
          <w:szCs w:val="24"/>
        </w:rPr>
        <w:t>pursuant</w:t>
      </w:r>
      <w:r w:rsidRPr="00F80A7D">
        <w:rPr>
          <w:szCs w:val="24"/>
        </w:rPr>
        <w:t xml:space="preserve"> to sections 0.91, 0.291, and 1.3 of the Commission’s rules, 47 C.F.R. §§ 0.91, 0.291, 1.3, section 61.49(k) of the Commission’s rules, 47 C.F.R. § 61.49(k), IS WAIVED to the extent specified in </w:t>
      </w:r>
      <w:r w:rsidRPr="00F80A7D">
        <w:rPr>
          <w:i/>
          <w:szCs w:val="24"/>
        </w:rPr>
        <w:t>supra</w:t>
      </w:r>
      <w:r w:rsidR="00951E1F">
        <w:rPr>
          <w:szCs w:val="24"/>
        </w:rPr>
        <w:t xml:space="preserve"> paragraphs </w:t>
      </w:r>
      <w:r w:rsidRPr="00F80A7D">
        <w:rPr>
          <w:szCs w:val="24"/>
        </w:rPr>
        <w:t>6</w:t>
      </w:r>
      <w:r w:rsidR="00951E1F">
        <w:rPr>
          <w:szCs w:val="24"/>
        </w:rPr>
        <w:t>-7</w:t>
      </w:r>
      <w:r w:rsidR="00D97532">
        <w:rPr>
          <w:szCs w:val="24"/>
        </w:rPr>
        <w:t>.</w:t>
      </w:r>
    </w:p>
    <w:p w:rsidR="00324E67" w:rsidP="00842E65" w14:paraId="48E633A8" w14:textId="77777777">
      <w:pPr>
        <w:pStyle w:val="ParaNum"/>
        <w:tabs>
          <w:tab w:val="clear" w:pos="1080"/>
          <w:tab w:val="num" w:pos="1440"/>
        </w:tabs>
      </w:pPr>
      <w:bookmarkStart w:id="23" w:name="_Hlk509247029"/>
      <w:r w:rsidRPr="00F80A7D">
        <w:t xml:space="preserve">IT IS FURTHER ORDERED that, </w:t>
      </w:r>
      <w:r w:rsidRPr="00F80A7D">
        <w:rPr>
          <w:bCs/>
        </w:rPr>
        <w:t>pursuant</w:t>
      </w:r>
      <w:r w:rsidRPr="00F80A7D">
        <w:t xml:space="preserve"> to sections 0.91, 0.291, and 1.3 of the Commission’s rules, 47 C.F.R. §§ 0.</w:t>
      </w:r>
      <w:r>
        <w:t>91, 0.291, 1.3, section 54.712</w:t>
      </w:r>
      <w:r w:rsidRPr="00F80A7D">
        <w:t xml:space="preserve"> of the Commission’s rules, 47 C.F.R. § </w:t>
      </w:r>
      <w:r>
        <w:t>54.712,</w:t>
      </w:r>
      <w:r w:rsidRPr="00F80A7D">
        <w:t xml:space="preserve"> IS WAIVED to the extent specified in </w:t>
      </w:r>
      <w:r w:rsidRPr="00F80A7D">
        <w:rPr>
          <w:i/>
        </w:rPr>
        <w:t>supra</w:t>
      </w:r>
      <w:r>
        <w:t xml:space="preserve"> paragraphs 8-10.</w:t>
      </w:r>
    </w:p>
    <w:p w:rsidR="00324E67" w:rsidRPr="00842E65" w:rsidP="00842E65" w14:paraId="50FC7CA8" w14:textId="70D3628D">
      <w:pPr>
        <w:pStyle w:val="ParaNum"/>
        <w:tabs>
          <w:tab w:val="clear" w:pos="1080"/>
          <w:tab w:val="num" w:pos="1440"/>
        </w:tabs>
      </w:pPr>
      <w:bookmarkEnd w:id="23"/>
      <w:r w:rsidRPr="00F80A7D">
        <w:t xml:space="preserve">IT IS FURTHER ORDERED that, </w:t>
      </w:r>
      <w:r w:rsidRPr="00F80A7D">
        <w:rPr>
          <w:bCs/>
        </w:rPr>
        <w:t>pursuant</w:t>
      </w:r>
      <w:r w:rsidRPr="00F80A7D">
        <w:t xml:space="preserve"> to sections 0.91, 0.291, and 1.3 of the Commission’s rules, 47 C.F.R. §§ 0.</w:t>
      </w:r>
      <w:r>
        <w:t>91, 0.291, 1.3, section 61.59(a)</w:t>
      </w:r>
      <w:r w:rsidRPr="00F80A7D">
        <w:t xml:space="preserve"> of the Commission’s rules, 47 C.F.R. § </w:t>
      </w:r>
      <w:r>
        <w:t>61.59(a),</w:t>
      </w:r>
      <w:r w:rsidRPr="00F80A7D">
        <w:t xml:space="preserve"> IS WAIVED to the extent specified in </w:t>
      </w:r>
      <w:r w:rsidRPr="00F80A7D">
        <w:rPr>
          <w:i/>
        </w:rPr>
        <w:t>supra</w:t>
      </w:r>
      <w:r>
        <w:t xml:space="preserve"> paragraph 10.</w:t>
      </w:r>
    </w:p>
    <w:p w:rsidR="00225FA8" w:rsidRPr="00F80A7D" w:rsidP="00F80A7D" w14:paraId="01471559" w14:textId="6FCE72DE">
      <w:pPr>
        <w:pStyle w:val="ParaNum"/>
        <w:tabs>
          <w:tab w:val="clear" w:pos="1080"/>
          <w:tab w:val="num" w:pos="1440"/>
        </w:tabs>
        <w:rPr>
          <w:szCs w:val="24"/>
        </w:rPr>
      </w:pPr>
      <w:r w:rsidRPr="00F80A7D">
        <w:rPr>
          <w:szCs w:val="24"/>
        </w:rPr>
        <w:t xml:space="preserve">IT IS FURTHER ORDERED that, </w:t>
      </w:r>
      <w:r w:rsidRPr="00F80A7D">
        <w:rPr>
          <w:bCs/>
          <w:szCs w:val="24"/>
        </w:rPr>
        <w:t>pursuant</w:t>
      </w:r>
      <w:r w:rsidRPr="00F80A7D">
        <w:rPr>
          <w:szCs w:val="24"/>
        </w:rPr>
        <w:t xml:space="preserve"> to sections 0.91, 0.291, and 1.3 of the Commission’s rules, 47 C.F.R. §§ 0.91, 0.291, 1.3, section</w:t>
      </w:r>
      <w:r w:rsidR="00231945">
        <w:rPr>
          <w:szCs w:val="24"/>
        </w:rPr>
        <w:t>s §§</w:t>
      </w:r>
      <w:r w:rsidRPr="00231945" w:rsidR="00231945">
        <w:rPr>
          <w:szCs w:val="24"/>
        </w:rPr>
        <w:t xml:space="preserve"> 1.733(a), 1.773(b), </w:t>
      </w:r>
      <w:r w:rsidR="006A2ABB">
        <w:rPr>
          <w:szCs w:val="24"/>
        </w:rPr>
        <w:t xml:space="preserve">and </w:t>
      </w:r>
      <w:r w:rsidR="00231945">
        <w:rPr>
          <w:szCs w:val="24"/>
        </w:rPr>
        <w:t>1.47(d)</w:t>
      </w:r>
      <w:r w:rsidRPr="00F80A7D">
        <w:rPr>
          <w:szCs w:val="24"/>
        </w:rPr>
        <w:t xml:space="preserve"> </w:t>
      </w:r>
      <w:r w:rsidR="00231945">
        <w:rPr>
          <w:szCs w:val="24"/>
        </w:rPr>
        <w:t xml:space="preserve">ARE </w:t>
      </w:r>
      <w:r w:rsidRPr="00F80A7D">
        <w:rPr>
          <w:szCs w:val="24"/>
        </w:rPr>
        <w:t xml:space="preserve">WAIVED for the limited purpose specified in </w:t>
      </w:r>
      <w:r w:rsidRPr="00F80A7D">
        <w:rPr>
          <w:i/>
          <w:szCs w:val="24"/>
        </w:rPr>
        <w:t>supra</w:t>
      </w:r>
      <w:r w:rsidR="002C0885">
        <w:rPr>
          <w:szCs w:val="24"/>
        </w:rPr>
        <w:t xml:space="preserve"> paragraph 1</w:t>
      </w:r>
      <w:r w:rsidR="00447BDC">
        <w:rPr>
          <w:szCs w:val="24"/>
        </w:rPr>
        <w:t>7</w:t>
      </w:r>
      <w:r w:rsidRPr="00F80A7D">
        <w:rPr>
          <w:szCs w:val="24"/>
        </w:rPr>
        <w:t xml:space="preserve">, note </w:t>
      </w:r>
      <w:r w:rsidR="002D6B10">
        <w:rPr>
          <w:szCs w:val="24"/>
        </w:rPr>
        <w:t>3</w:t>
      </w:r>
      <w:r w:rsidR="00EC48A3">
        <w:rPr>
          <w:szCs w:val="24"/>
        </w:rPr>
        <w:t>5</w:t>
      </w:r>
      <w:r w:rsidRPr="00F80A7D">
        <w:rPr>
          <w:i/>
          <w:szCs w:val="24"/>
        </w:rPr>
        <w:t>.</w:t>
      </w:r>
    </w:p>
    <w:p w:rsidR="00225FA8" w:rsidRPr="00F80A7D" w:rsidP="00F80A7D" w14:paraId="1F0AA26B" w14:textId="77777777">
      <w:pPr>
        <w:pStyle w:val="ParaNum"/>
        <w:tabs>
          <w:tab w:val="clear" w:pos="1080"/>
          <w:tab w:val="num" w:pos="1440"/>
        </w:tabs>
        <w:rPr>
          <w:szCs w:val="24"/>
        </w:rPr>
      </w:pPr>
      <w:r w:rsidRPr="00180CE7">
        <w:t xml:space="preserve">IT IS </w:t>
      </w:r>
      <w:r w:rsidRPr="00F80A7D">
        <w:rPr>
          <w:szCs w:val="24"/>
        </w:rPr>
        <w:t>FURTHER</w:t>
      </w:r>
      <w:r w:rsidRPr="00180CE7">
        <w:t xml:space="preserve"> ORDERED that, </w:t>
      </w:r>
      <w:r w:rsidRPr="00F80A7D">
        <w:rPr>
          <w:bCs/>
          <w:szCs w:val="24"/>
        </w:rPr>
        <w:t>pursuant</w:t>
      </w:r>
      <w:r w:rsidRPr="00180CE7">
        <w:t xml:space="preserve"> to section 1.102(b)(1) of the Commission’s rules, 47 C.F.R. § 1.102(b)(1), this Order SHALL BE EFFECTIVE upon release.</w:t>
      </w:r>
      <w:r w:rsidRPr="00F80A7D">
        <w:rPr>
          <w:b/>
          <w:i/>
          <w:szCs w:val="24"/>
        </w:rPr>
        <w:t xml:space="preserve"> </w:t>
      </w:r>
    </w:p>
    <w:p w:rsidR="00BD5A96" w:rsidRPr="00180CE7" w:rsidP="00BD5A96" w14:paraId="7605A75B" w14:textId="77777777">
      <w:pPr>
        <w:pStyle w:val="ParaNum"/>
        <w:numPr>
          <w:ilvl w:val="0"/>
          <w:numId w:val="0"/>
        </w:numPr>
        <w:tabs>
          <w:tab w:val="left" w:pos="1440"/>
        </w:tabs>
        <w:ind w:left="720"/>
        <w:rPr>
          <w:b/>
          <w:i/>
          <w:szCs w:val="24"/>
        </w:rPr>
      </w:pPr>
    </w:p>
    <w:p w:rsidR="00225FA8" w:rsidP="00225FA8" w14:paraId="51F23426" w14:textId="77777777">
      <w:pPr>
        <w:ind w:left="2880" w:firstLine="720"/>
        <w:rPr>
          <w:szCs w:val="24"/>
        </w:rPr>
      </w:pPr>
      <w:r>
        <w:rPr>
          <w:szCs w:val="24"/>
        </w:rPr>
        <w:t>FEDERAL COMMUNICATIONS COMMISSION</w:t>
      </w:r>
    </w:p>
    <w:p w:rsidR="00225FA8" w:rsidP="00225FA8" w14:paraId="53C76F31" w14:textId="77777777">
      <w:pPr>
        <w:ind w:firstLine="720"/>
        <w:rPr>
          <w:szCs w:val="24"/>
        </w:rPr>
      </w:pPr>
    </w:p>
    <w:p w:rsidR="00225FA8" w:rsidP="00225FA8" w14:paraId="25019F64" w14:textId="77777777">
      <w:pPr>
        <w:ind w:firstLine="720"/>
        <w:rPr>
          <w:szCs w:val="24"/>
        </w:rPr>
      </w:pPr>
    </w:p>
    <w:p w:rsidR="00225FA8" w:rsidP="00225FA8" w14:paraId="4A4C8B15" w14:textId="77777777">
      <w:pPr>
        <w:ind w:firstLine="720"/>
        <w:rPr>
          <w:szCs w:val="24"/>
        </w:rPr>
      </w:pPr>
    </w:p>
    <w:p w:rsidR="00225FA8" w:rsidP="00225FA8" w14:paraId="7580709A" w14:textId="77777777">
      <w:pPr>
        <w:ind w:firstLine="720"/>
        <w:rPr>
          <w:szCs w:val="24"/>
        </w:rPr>
      </w:pPr>
    </w:p>
    <w:p w:rsidR="00225FA8" w:rsidP="00225FA8" w14:paraId="5B6CCB31" w14:textId="77777777">
      <w:pPr>
        <w:pStyle w:val="BodyTextIndent2"/>
        <w:spacing w:after="0" w:line="240" w:lineRule="auto"/>
        <w:ind w:left="3600"/>
        <w:rPr>
          <w:szCs w:val="24"/>
        </w:rPr>
      </w:pPr>
      <w:r>
        <w:rPr>
          <w:szCs w:val="24"/>
        </w:rPr>
        <w:t>Pamela S. Arluk</w:t>
      </w:r>
    </w:p>
    <w:p w:rsidR="00225FA8" w:rsidP="00225FA8" w14:paraId="77BBEB64" w14:textId="77777777">
      <w:pPr>
        <w:pStyle w:val="BodyTextIndent2"/>
        <w:spacing w:after="0" w:line="240" w:lineRule="auto"/>
        <w:ind w:left="3600"/>
        <w:rPr>
          <w:szCs w:val="24"/>
        </w:rPr>
      </w:pPr>
      <w:r>
        <w:rPr>
          <w:szCs w:val="24"/>
        </w:rPr>
        <w:t>Chief</w:t>
      </w:r>
    </w:p>
    <w:p w:rsidR="00225FA8" w:rsidP="00225FA8" w14:paraId="7F425E4D" w14:textId="77777777">
      <w:pPr>
        <w:pStyle w:val="BodyTextIndent2"/>
        <w:spacing w:after="0" w:line="240" w:lineRule="auto"/>
        <w:ind w:left="3600"/>
        <w:rPr>
          <w:szCs w:val="24"/>
        </w:rPr>
      </w:pPr>
      <w:r>
        <w:rPr>
          <w:szCs w:val="24"/>
        </w:rPr>
        <w:t>Pricing Policy Division</w:t>
      </w:r>
    </w:p>
    <w:p w:rsidR="00225FA8" w:rsidP="00225FA8" w14:paraId="30289D4B" w14:textId="77777777">
      <w:pPr>
        <w:spacing w:after="240"/>
        <w:ind w:left="2880" w:firstLine="720"/>
        <w:rPr>
          <w:szCs w:val="24"/>
        </w:rPr>
      </w:pPr>
      <w:r>
        <w:t>Wireline Competition Bureau</w:t>
      </w:r>
    </w:p>
    <w:p w:rsidR="002C00E8" w:rsidRPr="00225FA8" w:rsidP="00225FA8" w14:paraId="212720B0"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4AD3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98AF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174C42" w14:textId="2B6D4C4E">
    <w:pPr>
      <w:pStyle w:val="Footer"/>
      <w:framePr w:wrap="around" w:vAnchor="text" w:hAnchor="margin" w:xAlign="center" w:y="1"/>
    </w:pPr>
    <w:r>
      <w:fldChar w:fldCharType="begin"/>
    </w:r>
    <w:r>
      <w:instrText xml:space="preserve">PAGE  </w:instrText>
    </w:r>
    <w:r>
      <w:fldChar w:fldCharType="separate"/>
    </w:r>
    <w:r w:rsidR="00FF77C7">
      <w:rPr>
        <w:noProof/>
      </w:rPr>
      <w:t>2</w:t>
    </w:r>
    <w:r>
      <w:fldChar w:fldCharType="end"/>
    </w:r>
  </w:p>
  <w:p w:rsidR="00D25FB5" w14:paraId="41D561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C16C8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370B" w14:paraId="41F7F57B" w14:textId="77777777">
      <w:r>
        <w:separator/>
      </w:r>
    </w:p>
  </w:footnote>
  <w:footnote w:type="continuationSeparator" w:id="1">
    <w:p w:rsidR="0094370B" w:rsidP="00C721AC" w14:paraId="42175BD5" w14:textId="77777777">
      <w:pPr>
        <w:spacing w:before="120"/>
        <w:rPr>
          <w:sz w:val="20"/>
        </w:rPr>
      </w:pPr>
      <w:r>
        <w:rPr>
          <w:sz w:val="20"/>
        </w:rPr>
        <w:t xml:space="preserve">(Continued from previous page)  </w:t>
      </w:r>
      <w:r>
        <w:rPr>
          <w:sz w:val="20"/>
        </w:rPr>
        <w:separator/>
      </w:r>
    </w:p>
  </w:footnote>
  <w:footnote w:type="continuationNotice" w:id="2">
    <w:p w:rsidR="0094370B" w:rsidP="00C721AC" w14:paraId="27ABF38D" w14:textId="77777777">
      <w:pPr>
        <w:jc w:val="right"/>
        <w:rPr>
          <w:sz w:val="20"/>
        </w:rPr>
      </w:pPr>
      <w:r>
        <w:rPr>
          <w:sz w:val="20"/>
        </w:rPr>
        <w:t>(continued….)</w:t>
      </w:r>
    </w:p>
  </w:footnote>
  <w:footnote w:id="3">
    <w:p w:rsidR="00225FA8" w:rsidRPr="003B7A9E" w:rsidP="00225FA8" w14:paraId="30D5A3A9" w14:textId="77777777">
      <w:pPr>
        <w:pStyle w:val="FootnoteText"/>
      </w:pPr>
      <w:bookmarkStart w:id="3" w:name="_Hlk508634488"/>
      <w:r w:rsidRPr="003B7A9E">
        <w:rPr>
          <w:rStyle w:val="FootnoteReference"/>
        </w:rPr>
        <w:footnoteRef/>
      </w:r>
      <w:r>
        <w:t xml:space="preserve"> 47 C.F.R. §§ 61.38 </w:t>
      </w:r>
      <w:bookmarkEnd w:id="3"/>
      <w:r>
        <w:t>(rate-of-</w:t>
      </w:r>
      <w:r w:rsidRPr="003B7A9E">
        <w:t>return carriers that file tariffs based on projected costs and demand)</w:t>
      </w:r>
      <w:r>
        <w:t>, 61.39 (rate-of-</w:t>
      </w:r>
      <w:r w:rsidRPr="003B7A9E">
        <w:t>return carriers that file tariffs based on historical costs and demand)</w:t>
      </w:r>
      <w:r>
        <w:t>,</w:t>
      </w:r>
      <w:r w:rsidR="005F3767">
        <w:t xml:space="preserve"> and</w:t>
      </w:r>
      <w:r>
        <w:t xml:space="preserve"> 61.43 (tariff filings for price cap LECs)</w:t>
      </w:r>
      <w:r w:rsidRPr="003B7A9E">
        <w:t>.</w:t>
      </w:r>
    </w:p>
  </w:footnote>
  <w:footnote w:id="4">
    <w:p w:rsidR="00FA0EEC" w14:paraId="0EF45B9F" w14:textId="0C51F8F4">
      <w:pPr>
        <w:pStyle w:val="FootnoteText"/>
      </w:pPr>
      <w:r>
        <w:rPr>
          <w:rStyle w:val="FootnoteReference"/>
        </w:rPr>
        <w:footnoteRef/>
      </w:r>
      <w:r>
        <w:t xml:space="preserve"> </w:t>
      </w:r>
      <w:r w:rsidRPr="00FA0EEC">
        <w:t>To establi</w:t>
      </w:r>
      <w:r w:rsidR="009F7275">
        <w:t xml:space="preserve">sh </w:t>
      </w:r>
      <w:r w:rsidR="00EC3533">
        <w:t xml:space="preserve">an </w:t>
      </w:r>
      <w:r w:rsidR="00D34E29">
        <w:t xml:space="preserve">effective </w:t>
      </w:r>
      <w:r w:rsidR="00067AA0">
        <w:t>date</w:t>
      </w:r>
      <w:r w:rsidR="009F7275">
        <w:t xml:space="preserve"> of July 3</w:t>
      </w:r>
      <w:r w:rsidR="008C3A8B">
        <w:t>, 2018</w:t>
      </w:r>
      <w:r w:rsidR="000B4E8F">
        <w:t xml:space="preserve"> for the tariff filings made </w:t>
      </w:r>
      <w:r w:rsidR="009F7275">
        <w:t xml:space="preserve">on </w:t>
      </w:r>
      <w:r w:rsidR="001959FE">
        <w:t xml:space="preserve">both </w:t>
      </w:r>
      <w:r w:rsidR="009F7275">
        <w:t xml:space="preserve">15 days’ notice and </w:t>
      </w:r>
      <w:r w:rsidR="000B4E8F">
        <w:t>7 days’ notice</w:t>
      </w:r>
      <w:r>
        <w:t>, we</w:t>
      </w:r>
      <w:r w:rsidRPr="00FA0EEC">
        <w:t xml:space="preserve"> grant a limited waiver of</w:t>
      </w:r>
      <w:r w:rsidR="002D7D19">
        <w:t xml:space="preserve"> sections</w:t>
      </w:r>
      <w:r w:rsidRPr="00FA0EEC">
        <w:t xml:space="preserve"> </w:t>
      </w:r>
      <w:bookmarkStart w:id="4" w:name="_Hlk508374165"/>
      <w:bookmarkStart w:id="5" w:name="_Hlk508896595"/>
      <w:bookmarkStart w:id="6" w:name="_Hlk508896095"/>
      <w:r w:rsidRPr="0031084E">
        <w:t>69.3(a</w:t>
      </w:r>
      <w:bookmarkEnd w:id="4"/>
      <w:r w:rsidRPr="0031084E">
        <w:t xml:space="preserve">), </w:t>
      </w:r>
      <w:r w:rsidR="00040BCD">
        <w:t>69.3</w:t>
      </w:r>
      <w:r w:rsidRPr="0031084E" w:rsidR="00286F38">
        <w:t>(f)(1</w:t>
      </w:r>
      <w:r w:rsidRPr="0031084E" w:rsidR="00E17FC4">
        <w:t xml:space="preserve">), </w:t>
      </w:r>
      <w:r w:rsidRPr="0031084E">
        <w:t xml:space="preserve">51.705, 51.907, and 51.909 </w:t>
      </w:r>
      <w:bookmarkEnd w:id="5"/>
      <w:r w:rsidRPr="0031084E">
        <w:t>of our rules to the extent that those rules would otherwise</w:t>
      </w:r>
      <w:r w:rsidRPr="00FA0EEC">
        <w:t xml:space="preserve"> require r</w:t>
      </w:r>
      <w:bookmarkEnd w:id="6"/>
      <w:r w:rsidRPr="00FA0EEC">
        <w:t>ates to</w:t>
      </w:r>
      <w:r w:rsidR="008C3A8B">
        <w:t xml:space="preserve"> be effective as of July 1, 2018</w:t>
      </w:r>
      <w:r w:rsidRPr="00FA0EEC">
        <w:t xml:space="preserve">. </w:t>
      </w:r>
      <w:r w:rsidR="002D7D19">
        <w:t xml:space="preserve"> </w:t>
      </w:r>
      <w:r w:rsidR="002D7D19">
        <w:rPr>
          <w:i/>
        </w:rPr>
        <w:t xml:space="preserve">See </w:t>
      </w:r>
      <w:r w:rsidRPr="002D7D19" w:rsidR="002D7D19">
        <w:t>47 C.F.R. §§ 69.3(a), 69.3(f)(1), 51.705, 51.907, and 51.909</w:t>
      </w:r>
      <w:r w:rsidR="002D7D19">
        <w:t>.</w:t>
      </w:r>
      <w:r w:rsidR="00AD492F">
        <w:t xml:space="preserve"> </w:t>
      </w:r>
      <w:r w:rsidRPr="002D7D19" w:rsidR="002D7D19">
        <w:t xml:space="preserve"> </w:t>
      </w:r>
      <w:r w:rsidRPr="00FA0EEC">
        <w:t>Absent a waiver, carriers would be required to have their annual access char</w:t>
      </w:r>
      <w:r w:rsidR="00AD6075">
        <w:t>ges be eff</w:t>
      </w:r>
      <w:r w:rsidR="008C3A8B">
        <w:t>ective on July 1, 2018</w:t>
      </w:r>
      <w:r w:rsidRPr="00FA0EEC">
        <w:t>, and doing so would require tariffs including thos</w:t>
      </w:r>
      <w:r w:rsidR="00D34E29">
        <w:t xml:space="preserve">e charges to be filed on </w:t>
      </w:r>
      <w:r w:rsidRPr="00040BCD" w:rsidR="00040BCD">
        <w:t>June 16</w:t>
      </w:r>
      <w:r w:rsidR="00DD52BB">
        <w:t xml:space="preserve"> as to </w:t>
      </w:r>
      <w:r w:rsidR="00040BCD">
        <w:t>15-day filings, which falls on a Saturday, and on June 24 as to 7-day filings, which falls on a Sunday</w:t>
      </w:r>
      <w:r w:rsidRPr="00FA0EEC">
        <w:t xml:space="preserve">. Accordingly, under this limited waiver, carriers are required to </w:t>
      </w:r>
      <w:r w:rsidR="00ED2FF5">
        <w:t>submit</w:t>
      </w:r>
      <w:r w:rsidR="00D34E29">
        <w:t xml:space="preserve"> their </w:t>
      </w:r>
      <w:r w:rsidRPr="00FA0EEC">
        <w:t xml:space="preserve">tariff </w:t>
      </w:r>
      <w:r w:rsidR="00D34E29">
        <w:t xml:space="preserve">filings </w:t>
      </w:r>
      <w:r w:rsidR="009F7275">
        <w:t xml:space="preserve">made on 15 days’ notice on June 18, 2018 and </w:t>
      </w:r>
      <w:r w:rsidR="00ED2FF5">
        <w:t xml:space="preserve">on </w:t>
      </w:r>
      <w:r w:rsidR="009219A1">
        <w:t>June 2</w:t>
      </w:r>
      <w:r w:rsidR="001959FE">
        <w:t>6</w:t>
      </w:r>
      <w:r w:rsidR="009219A1">
        <w:t xml:space="preserve"> for </w:t>
      </w:r>
      <w:r w:rsidR="009F7275">
        <w:t xml:space="preserve">tariff filings </w:t>
      </w:r>
      <w:r w:rsidR="00D34E29">
        <w:t xml:space="preserve">made on </w:t>
      </w:r>
      <w:r w:rsidR="00814AB4">
        <w:t>7 days’ notice</w:t>
      </w:r>
      <w:r w:rsidR="009F7275">
        <w:t xml:space="preserve">, </w:t>
      </w:r>
      <w:r w:rsidRPr="00FA0EEC">
        <w:t xml:space="preserve">to </w:t>
      </w:r>
      <w:r w:rsidR="009F7275">
        <w:t>become effective on July 3</w:t>
      </w:r>
      <w:r w:rsidR="008C3A8B">
        <w:t>, 2018</w:t>
      </w:r>
      <w:r w:rsidRPr="00FA0EEC">
        <w:t>.</w:t>
      </w:r>
    </w:p>
  </w:footnote>
  <w:footnote w:id="5">
    <w:p w:rsidR="003056A6" w14:paraId="4F6B9257" w14:textId="77777777">
      <w:pPr>
        <w:pStyle w:val="FootnoteText"/>
      </w:pPr>
      <w:r>
        <w:rPr>
          <w:rStyle w:val="FootnoteReference"/>
        </w:rPr>
        <w:footnoteRef/>
      </w:r>
      <w:r>
        <w:t xml:space="preserve"> </w:t>
      </w:r>
      <w:r>
        <w:t xml:space="preserve">We grant a limited waiver of </w:t>
      </w:r>
      <w:bookmarkStart w:id="7" w:name="_Hlk508635113"/>
      <w:r>
        <w:t xml:space="preserve">47 C.F.R. §§ 1.773(a)(2)(i) and (b)(1)(i) </w:t>
      </w:r>
      <w:bookmarkEnd w:id="7"/>
      <w:r>
        <w:t xml:space="preserve">to modify the petition and reply filing dates for tariff filings made on </w:t>
      </w:r>
      <w:r w:rsidR="00EC3533">
        <w:t xml:space="preserve">15 and </w:t>
      </w:r>
      <w:r>
        <w:t>7 days’ notice to provide sufficient time for</w:t>
      </w:r>
      <w:r w:rsidR="00841053">
        <w:t xml:space="preserve"> the submission of </w:t>
      </w:r>
      <w:r w:rsidR="00E5670E">
        <w:t xml:space="preserve">any </w:t>
      </w:r>
      <w:r w:rsidR="00841053">
        <w:t>such filings.</w:t>
      </w:r>
    </w:p>
  </w:footnote>
  <w:footnote w:id="6">
    <w:p w:rsidR="009F7275" w14:paraId="6CD9FA8E" w14:textId="77777777">
      <w:pPr>
        <w:pStyle w:val="FootnoteText"/>
      </w:pPr>
      <w:r>
        <w:rPr>
          <w:rStyle w:val="FootnoteReference"/>
        </w:rPr>
        <w:footnoteRef/>
      </w:r>
      <w:r>
        <w:t xml:space="preserve"> </w:t>
      </w:r>
      <w:bookmarkStart w:id="8" w:name="_Hlk509243480"/>
      <w:r w:rsidRPr="009F7275">
        <w:t>47</w:t>
      </w:r>
      <w:r>
        <w:t xml:space="preserve"> C.F.R. § </w:t>
      </w:r>
      <w:bookmarkEnd w:id="8"/>
      <w:r>
        <w:t>61.49(k).</w:t>
      </w:r>
      <w:r w:rsidR="00351773">
        <w:t xml:space="preserve">  </w:t>
      </w:r>
    </w:p>
  </w:footnote>
  <w:footnote w:id="7">
    <w:p w:rsidR="00812653" w14:paraId="016E0975" w14:textId="77777777">
      <w:pPr>
        <w:pStyle w:val="FootnoteText"/>
      </w:pPr>
      <w:r>
        <w:rPr>
          <w:rStyle w:val="FootnoteReference"/>
        </w:rPr>
        <w:footnoteRef/>
      </w:r>
      <w:r>
        <w:t xml:space="preserve"> </w:t>
      </w:r>
      <w:r w:rsidRPr="00812653">
        <w:t>47 C.F.R. §</w:t>
      </w:r>
      <w:r>
        <w:t xml:space="preserve"> 54.712.</w:t>
      </w:r>
    </w:p>
  </w:footnote>
  <w:footnote w:id="8">
    <w:p w:rsidR="00797B54" w:rsidRPr="003B7A9E" w:rsidP="00797B54" w14:paraId="756D8852" w14:textId="14586161">
      <w:pPr>
        <w:pStyle w:val="FootnoteText"/>
      </w:pPr>
      <w:r w:rsidRPr="003B7A9E">
        <w:rPr>
          <w:rStyle w:val="FootnoteReference"/>
        </w:rPr>
        <w:footnoteRef/>
      </w:r>
      <w:r w:rsidRPr="003B7A9E">
        <w:t xml:space="preserve"> </w:t>
      </w:r>
      <w:r>
        <w:rPr>
          <w:i/>
        </w:rPr>
        <w:t xml:space="preserve">See </w:t>
      </w:r>
      <w:bookmarkStart w:id="9" w:name="_Hlk508801098"/>
      <w:r>
        <w:rPr>
          <w:i/>
          <w:iCs/>
        </w:rPr>
        <w:t xml:space="preserve">Connect America Fund </w:t>
      </w:r>
      <w:r w:rsidRPr="00D04E93">
        <w:rPr>
          <w:i/>
          <w:iCs/>
        </w:rPr>
        <w:t>et al.</w:t>
      </w:r>
      <w:r w:rsidRPr="00D04E93">
        <w:rPr>
          <w:iCs/>
        </w:rPr>
        <w:t xml:space="preserve">, </w:t>
      </w:r>
      <w:r w:rsidRPr="00D04E93">
        <w:t xml:space="preserve">Report and Order and Further Notice of Proposed Rulemaking, 26 FCC Rcd 17663, 18149, para. 1404 </w:t>
      </w:r>
      <w:bookmarkEnd w:id="9"/>
      <w:r w:rsidRPr="00D04E93">
        <w:t>(2011) (</w:t>
      </w:r>
      <w:r w:rsidRPr="00D04E93">
        <w:rPr>
          <w:i/>
          <w:iCs/>
        </w:rPr>
        <w:t>USF/ICC Transformation Order</w:t>
      </w:r>
      <w:r>
        <w:rPr>
          <w:iCs/>
        </w:rPr>
        <w:t>)</w:t>
      </w:r>
      <w:r>
        <w:t xml:space="preserve">, </w:t>
      </w:r>
      <w:r w:rsidRPr="001462CB">
        <w:rPr>
          <w:i/>
        </w:rPr>
        <w:t>pet</w:t>
      </w:r>
      <w:r>
        <w:rPr>
          <w:i/>
        </w:rPr>
        <w:t>s</w:t>
      </w:r>
      <w:r w:rsidRPr="001462CB">
        <w:rPr>
          <w:i/>
        </w:rPr>
        <w:t xml:space="preserve">. for review denied sub nom. </w:t>
      </w:r>
      <w:r>
        <w:rPr>
          <w:i/>
        </w:rPr>
        <w:t xml:space="preserve"> </w:t>
      </w:r>
      <w:r w:rsidRPr="00661F1A">
        <w:rPr>
          <w:i/>
        </w:rPr>
        <w:t>In re</w:t>
      </w:r>
      <w:r>
        <w:rPr>
          <w:i/>
        </w:rPr>
        <w:t>:</w:t>
      </w:r>
      <w:r w:rsidRPr="00661F1A">
        <w:rPr>
          <w:i/>
        </w:rPr>
        <w:t xml:space="preserve"> FCC 11-161</w:t>
      </w:r>
      <w:r w:rsidRPr="00E95DC2">
        <w:t>, 753 F.3d 1015 (10th Cir. 2014</w:t>
      </w:r>
      <w:r>
        <w:t>).</w:t>
      </w:r>
    </w:p>
  </w:footnote>
  <w:footnote w:id="9">
    <w:p w:rsidR="00225FA8" w:rsidRPr="003B7A9E" w:rsidP="00225FA8" w14:paraId="3A41B5C6" w14:textId="77777777">
      <w:pPr>
        <w:pStyle w:val="FootnoteText"/>
      </w:pPr>
      <w:r w:rsidRPr="003B7A9E">
        <w:rPr>
          <w:rStyle w:val="FootnoteReference"/>
        </w:rPr>
        <w:footnoteRef/>
      </w:r>
      <w:r w:rsidRPr="003B7A9E">
        <w:t xml:space="preserve"> 47 U.S.C. § 204(a)(3).</w:t>
      </w:r>
    </w:p>
  </w:footnote>
  <w:footnote w:id="10">
    <w:p w:rsidR="00225FA8" w:rsidRPr="003B7A9E" w:rsidP="00225FA8" w14:paraId="05E73876" w14:textId="77777777">
      <w:pPr>
        <w:pStyle w:val="FootnoteText"/>
      </w:pPr>
      <w:r w:rsidRPr="003B7A9E">
        <w:rPr>
          <w:rStyle w:val="FootnoteReference"/>
        </w:rPr>
        <w:footnoteRef/>
      </w:r>
      <w:r w:rsidRPr="003B7A9E">
        <w:t xml:space="preserve"> </w:t>
      </w:r>
      <w:r w:rsidRPr="003B7A9E">
        <w:rPr>
          <w:i/>
        </w:rPr>
        <w:t>See</w:t>
      </w:r>
      <w:r w:rsidRPr="003B7A9E">
        <w:t xml:space="preserve"> 47 C.F.R. §§ </w:t>
      </w:r>
      <w:r w:rsidR="00814AB4">
        <w:t>69.3(a), 51.705, 51.907, 51.909</w:t>
      </w:r>
      <w:r>
        <w:t>.</w:t>
      </w:r>
    </w:p>
  </w:footnote>
  <w:footnote w:id="11">
    <w:p w:rsidR="00225FA8" w:rsidRPr="003B7A9E" w:rsidP="00225FA8" w14:paraId="126DBDF1" w14:textId="77777777">
      <w:pPr>
        <w:pStyle w:val="FootnoteText"/>
      </w:pPr>
      <w:r w:rsidRPr="003B7A9E">
        <w:rPr>
          <w:rStyle w:val="FootnoteReference"/>
        </w:rPr>
        <w:footnoteRef/>
      </w:r>
      <w:r w:rsidRPr="003B7A9E">
        <w:t xml:space="preserve"> 47 C.F.R. § 61.43.</w:t>
      </w:r>
    </w:p>
  </w:footnote>
  <w:footnote w:id="12">
    <w:p w:rsidR="00225FA8" w:rsidRPr="003B7A9E" w:rsidP="00225FA8" w14:paraId="171C8D70" w14:textId="77777777">
      <w:pPr>
        <w:pStyle w:val="FootnoteText"/>
      </w:pPr>
      <w:r w:rsidRPr="003B7A9E">
        <w:rPr>
          <w:rStyle w:val="FootnoteReference"/>
        </w:rPr>
        <w:footnoteRef/>
      </w:r>
      <w:r w:rsidRPr="003B7A9E">
        <w:t xml:space="preserve"> 47 C.F.R. § 61.3</w:t>
      </w:r>
      <w:r w:rsidR="00822202">
        <w:t>8</w:t>
      </w:r>
      <w:r w:rsidRPr="003B7A9E">
        <w:t>; 47 C.F.R. § 69.3(f)(</w:t>
      </w:r>
      <w:r w:rsidR="00822202">
        <w:t>1</w:t>
      </w:r>
      <w:r w:rsidRPr="003B7A9E">
        <w:t>).</w:t>
      </w:r>
    </w:p>
  </w:footnote>
  <w:footnote w:id="13">
    <w:p w:rsidR="00225FA8" w:rsidRPr="003B7A9E" w:rsidP="00225FA8" w14:paraId="3D6AAEB8" w14:textId="77777777">
      <w:pPr>
        <w:pStyle w:val="FootnoteText"/>
      </w:pPr>
      <w:r w:rsidRPr="003B7A9E">
        <w:rPr>
          <w:rStyle w:val="FootnoteReference"/>
        </w:rPr>
        <w:footnoteRef/>
      </w:r>
      <w:r w:rsidR="00822202">
        <w:t xml:space="preserve"> 47 C.F.R. § 61.9</w:t>
      </w:r>
      <w:r w:rsidR="00D77E09">
        <w:t>8</w:t>
      </w:r>
      <w:r w:rsidRPr="003B7A9E">
        <w:t xml:space="preserve">.  </w:t>
      </w:r>
    </w:p>
  </w:footnote>
  <w:footnote w:id="14">
    <w:p w:rsidR="00225FA8" w:rsidRPr="003B7A9E" w:rsidP="00225FA8" w14:paraId="40BDA90D" w14:textId="77777777">
      <w:pPr>
        <w:pStyle w:val="FootnoteText"/>
      </w:pPr>
      <w:r w:rsidRPr="003B7A9E">
        <w:rPr>
          <w:rStyle w:val="FootnoteReference"/>
        </w:rPr>
        <w:footnoteRef/>
      </w:r>
      <w:r w:rsidRPr="003B7A9E">
        <w:t xml:space="preserve"> </w:t>
      </w:r>
      <w:r w:rsidRPr="003B7A9E">
        <w:rPr>
          <w:i/>
        </w:rPr>
        <w:t>See USF/ICC Transformation Order</w:t>
      </w:r>
      <w:r w:rsidRPr="003B7A9E">
        <w:t xml:space="preserve">, 26 FCC Rcd at 17981-83, paras. 897-99.  </w:t>
      </w:r>
    </w:p>
  </w:footnote>
  <w:footnote w:id="15">
    <w:p w:rsidR="00225FA8" w:rsidRPr="003B7A9E" w:rsidP="00225FA8" w14:paraId="470B3A41" w14:textId="77777777">
      <w:pPr>
        <w:pStyle w:val="FootnoteText"/>
      </w:pPr>
      <w:r w:rsidRPr="003B7A9E">
        <w:rPr>
          <w:rStyle w:val="FootnoteReference"/>
        </w:rPr>
        <w:footnoteRef/>
      </w:r>
      <w:r w:rsidRPr="003B7A9E">
        <w:t xml:space="preserve"> 47 C.F.R. § 69.3(f)(</w:t>
      </w:r>
      <w:r>
        <w:t>1</w:t>
      </w:r>
      <w:r w:rsidRPr="003B7A9E">
        <w:t>).</w:t>
      </w:r>
    </w:p>
  </w:footnote>
  <w:footnote w:id="16">
    <w:p w:rsidR="00225FA8" w:rsidRPr="003B7A9E" w:rsidP="00225FA8" w14:paraId="14C6A3FC" w14:textId="77777777">
      <w:pPr>
        <w:pStyle w:val="FootnoteText"/>
      </w:pPr>
      <w:r w:rsidRPr="003B7A9E">
        <w:rPr>
          <w:rStyle w:val="FootnoteReference"/>
        </w:rPr>
        <w:footnoteRef/>
      </w:r>
      <w:r w:rsidRPr="003B7A9E">
        <w:t xml:space="preserve"> </w:t>
      </w:r>
      <w:bookmarkStart w:id="10" w:name="_Hlk510184109"/>
      <w:r w:rsidRPr="003B7A9E">
        <w:t>47 C.F.R. §</w:t>
      </w:r>
      <w:bookmarkEnd w:id="10"/>
      <w:r w:rsidRPr="003B7A9E">
        <w:t>§ 51.909(</w:t>
      </w:r>
      <w:r w:rsidR="00822202">
        <w:t>h</w:t>
      </w:r>
      <w:r w:rsidRPr="003B7A9E">
        <w:t>), 51.917(d)(i</w:t>
      </w:r>
      <w:r>
        <w:t>v</w:t>
      </w:r>
      <w:r w:rsidRPr="003B7A9E">
        <w:t>), (e)</w:t>
      </w:r>
      <w:r>
        <w:t>.</w:t>
      </w:r>
    </w:p>
  </w:footnote>
  <w:footnote w:id="17">
    <w:p w:rsidR="00281CEB" w:rsidRPr="00A9303B" w:rsidP="00281CEB" w14:paraId="238DC241" w14:textId="4C321CF1">
      <w:pPr>
        <w:pStyle w:val="FootnoteText"/>
        <w:rPr>
          <w:i/>
        </w:rPr>
      </w:pPr>
      <w:r>
        <w:rPr>
          <w:rStyle w:val="FootnoteReference"/>
        </w:rPr>
        <w:footnoteRef/>
      </w:r>
      <w:r>
        <w:t xml:space="preserve"> </w:t>
      </w:r>
      <w:bookmarkStart w:id="12" w:name="_Hlk509247992"/>
      <w:r>
        <w:rPr>
          <w:i/>
        </w:rPr>
        <w:t xml:space="preserve">See </w:t>
      </w:r>
      <w:r w:rsidRPr="002E70AF">
        <w:rPr>
          <w:i/>
          <w:iCs/>
        </w:rPr>
        <w:t>Connect America Fund et al</w:t>
      </w:r>
      <w:r w:rsidRPr="002E70AF">
        <w:rPr>
          <w:iCs/>
        </w:rPr>
        <w:t>.,</w:t>
      </w:r>
      <w:r w:rsidRPr="002E70AF">
        <w:t xml:space="preserve"> </w:t>
      </w:r>
      <w:r>
        <w:t>Second Order on Reconsideration and Clarification</w:t>
      </w:r>
      <w:r w:rsidR="006B618F">
        <w:t xml:space="preserve">, </w:t>
      </w:r>
      <w:r w:rsidRPr="006B618F" w:rsidR="006B618F">
        <w:t>WC Docket No. 10-90 et al</w:t>
      </w:r>
      <w:r w:rsidR="006B618F">
        <w:t>.,</w:t>
      </w:r>
      <w:r>
        <w:t xml:space="preserve"> </w:t>
      </w:r>
      <w:r w:rsidR="008A06A2">
        <w:t>DA 18-13</w:t>
      </w:r>
      <w:r>
        <w:t>, para. 13</w:t>
      </w:r>
      <w:bookmarkEnd w:id="12"/>
      <w:r w:rsidR="006B618F">
        <w:t xml:space="preserve"> (</w:t>
      </w:r>
      <w:r w:rsidR="008A06A2">
        <w:t xml:space="preserve">Feb. 15, </w:t>
      </w:r>
      <w:r w:rsidR="006B618F">
        <w:t>2018)</w:t>
      </w:r>
      <w:r>
        <w:t xml:space="preserve"> (</w:t>
      </w:r>
      <w:r w:rsidRPr="00A9303B">
        <w:rPr>
          <w:i/>
        </w:rPr>
        <w:t>Second Order on Reconsideration and Clarification</w:t>
      </w:r>
      <w:r>
        <w:t xml:space="preserve">). </w:t>
      </w:r>
    </w:p>
  </w:footnote>
  <w:footnote w:id="18">
    <w:p w:rsidR="00281CEB" w:rsidRPr="0089182D" w:rsidP="00281CEB" w14:paraId="10620AF0" w14:textId="0FC9C250">
      <w:pPr>
        <w:pStyle w:val="FootnoteText"/>
      </w:pPr>
      <w:r>
        <w:rPr>
          <w:rStyle w:val="FootnoteReference"/>
        </w:rPr>
        <w:footnoteRef/>
      </w:r>
      <w:r>
        <w:t xml:space="preserve"> </w:t>
      </w:r>
      <w:r w:rsidRPr="00FD3C8F" w:rsidR="00FD3C8F">
        <w:rPr>
          <w:i/>
        </w:rPr>
        <w:t>Id</w:t>
      </w:r>
      <w:r w:rsidR="00FD3C8F">
        <w:t xml:space="preserve">. at </w:t>
      </w:r>
      <w:r w:rsidRPr="00FD3C8F">
        <w:t>paras</w:t>
      </w:r>
      <w:r>
        <w:t>. 9-13.</w:t>
      </w:r>
    </w:p>
  </w:footnote>
  <w:footnote w:id="19">
    <w:p w:rsidR="00281CEB" w:rsidRPr="006B618F" w:rsidP="00281CEB" w14:paraId="1C4A4C11" w14:textId="4A0F3CAC">
      <w:pPr>
        <w:pStyle w:val="FootnoteText"/>
      </w:pPr>
      <w:r>
        <w:rPr>
          <w:rStyle w:val="FootnoteReference"/>
        </w:rPr>
        <w:footnoteRef/>
      </w:r>
      <w:r w:rsidR="00844E1D">
        <w:t xml:space="preserve"> </w:t>
      </w:r>
      <w:r w:rsidR="00844E1D">
        <w:rPr>
          <w:i/>
        </w:rPr>
        <w:t xml:space="preserve">See </w:t>
      </w:r>
      <w:r w:rsidRPr="006B618F" w:rsidR="006B618F">
        <w:rPr>
          <w:i/>
        </w:rPr>
        <w:t>Connect America Fund et al</w:t>
      </w:r>
      <w:r w:rsidR="006B618F">
        <w:t>., Report and Order, Order on Reconsideration, and Further Notice of Proposed Rulemaking, WC Docket No. 10-90 et al., 31 FCC Rcd 3087, 3212, para. 326 (2016).</w:t>
      </w:r>
    </w:p>
  </w:footnote>
  <w:footnote w:id="20">
    <w:p w:rsidR="00281CEB" w:rsidRPr="00604853" w:rsidP="00281CEB" w14:paraId="6954E876" w14:textId="62D1F8B9">
      <w:pPr>
        <w:pStyle w:val="FootnoteText"/>
      </w:pPr>
      <w:r>
        <w:rPr>
          <w:rStyle w:val="FootnoteReference"/>
        </w:rPr>
        <w:footnoteRef/>
      </w:r>
      <w:r>
        <w:t xml:space="preserve"> </w:t>
      </w:r>
      <w:r w:rsidRPr="009A5FD4">
        <w:rPr>
          <w:i/>
        </w:rPr>
        <w:t>Second Order on Reconsideration and Clarification</w:t>
      </w:r>
      <w:r>
        <w:t xml:space="preserve">, paras. 16-17.  </w:t>
      </w:r>
      <w:r>
        <w:rPr>
          <w:i/>
        </w:rPr>
        <w:t xml:space="preserve">See </w:t>
      </w:r>
      <w:r>
        <w:t>47 CFR § 51.917(f).</w:t>
      </w:r>
    </w:p>
  </w:footnote>
  <w:footnote w:id="21">
    <w:p w:rsidR="00C57607" w:rsidP="00C57607" w14:paraId="7966F139" w14:textId="2645B604">
      <w:pPr>
        <w:pStyle w:val="FootnoteText"/>
        <w:rPr>
          <w:i/>
        </w:rPr>
      </w:pPr>
      <w:r>
        <w:rPr>
          <w:rStyle w:val="FootnoteReference"/>
        </w:rPr>
        <w:footnoteRef/>
      </w:r>
      <w:r>
        <w:t xml:space="preserve"> </w:t>
      </w:r>
      <w:bookmarkStart w:id="13" w:name="_Hlk508809641"/>
      <w:r>
        <w:t>47 CFR § 61.49(k).</w:t>
      </w:r>
      <w:r w:rsidR="005E5A0D">
        <w:t xml:space="preserve">  </w:t>
      </w:r>
      <w:r w:rsidR="005E5A0D">
        <w:rPr>
          <w:i/>
        </w:rPr>
        <w:t xml:space="preserve">See </w:t>
      </w:r>
      <w:r w:rsidRPr="005E5A0D" w:rsidR="005E5A0D">
        <w:rPr>
          <w:i/>
        </w:rPr>
        <w:t>July 1, 2017 Annual Access Charge Tariff Filings</w:t>
      </w:r>
      <w:r w:rsidRPr="005E5A0D" w:rsidR="005E5A0D">
        <w:t>, WC Docket No. 17-65, Order, 3</w:t>
      </w:r>
      <w:r w:rsidR="005E5A0D">
        <w:t>2 FCC Rcd 3878</w:t>
      </w:r>
      <w:r w:rsidRPr="005E5A0D" w:rsidR="005E5A0D">
        <w:t xml:space="preserve"> (WCB 2017) (</w:t>
      </w:r>
      <w:bookmarkStart w:id="14" w:name="_Hlk510184020"/>
      <w:r w:rsidRPr="005E5A0D" w:rsidR="005E5A0D">
        <w:rPr>
          <w:i/>
        </w:rPr>
        <w:t>2017 Short Form TRP Waiver Order</w:t>
      </w:r>
      <w:bookmarkEnd w:id="14"/>
      <w:r w:rsidR="005E5A0D">
        <w:t>).</w:t>
      </w:r>
      <w:bookmarkEnd w:id="13"/>
    </w:p>
  </w:footnote>
  <w:footnote w:id="22">
    <w:p w:rsidR="00C57607" w:rsidP="00C57607" w14:paraId="7D41094B" w14:textId="2775891A">
      <w:pPr>
        <w:pStyle w:val="FootnoteText"/>
      </w:pPr>
      <w:r>
        <w:rPr>
          <w:rStyle w:val="FootnoteReference"/>
        </w:rPr>
        <w:footnoteRef/>
      </w:r>
      <w:r>
        <w:t xml:space="preserve"> </w:t>
      </w:r>
      <w:r w:rsidR="0005710C">
        <w:rPr>
          <w:i/>
        </w:rPr>
        <w:t xml:space="preserve">See </w:t>
      </w:r>
      <w:r w:rsidRPr="0005710C" w:rsidR="0005710C">
        <w:t>47 C.F.R. §</w:t>
      </w:r>
      <w:r w:rsidR="0005710C">
        <w:t xml:space="preserve"> 61.49(k).</w:t>
      </w:r>
    </w:p>
  </w:footnote>
  <w:footnote w:id="23">
    <w:p w:rsidR="00C57607" w:rsidP="00C57607" w14:paraId="430E9089" w14:textId="7DA4C35F">
      <w:pPr>
        <w:pStyle w:val="FootnoteText"/>
      </w:pPr>
      <w:r>
        <w:rPr>
          <w:rStyle w:val="FootnoteReference"/>
        </w:rPr>
        <w:footnoteRef/>
      </w:r>
      <w:r>
        <w:t xml:space="preserve"> </w:t>
      </w:r>
      <w:bookmarkStart w:id="15" w:name="_Hlk510694722"/>
      <w:r w:rsidRPr="0005710C" w:rsidR="0005710C">
        <w:rPr>
          <w:i/>
        </w:rPr>
        <w:t>2017 Short Form TRP Waiver Order</w:t>
      </w:r>
      <w:r w:rsidR="0005710C">
        <w:t>, 32 FCC Rcd</w:t>
      </w:r>
      <w:bookmarkStart w:id="16" w:name="_Hlk509326836"/>
      <w:r w:rsidR="00C4658C">
        <w:t xml:space="preserve"> </w:t>
      </w:r>
      <w:r w:rsidRPr="0005710C" w:rsidR="0005710C">
        <w:t>at 3878-79, para. 2</w:t>
      </w:r>
      <w:r w:rsidR="0005710C">
        <w:t>.</w:t>
      </w:r>
      <w:bookmarkEnd w:id="16"/>
      <w:bookmarkEnd w:id="15"/>
    </w:p>
  </w:footnote>
  <w:footnote w:id="24">
    <w:p w:rsidR="00C57607" w:rsidP="00C57607" w14:paraId="410D837B" w14:textId="267C280A">
      <w:pPr>
        <w:pStyle w:val="FootnoteText"/>
      </w:pPr>
      <w:r>
        <w:rPr>
          <w:rStyle w:val="FootnoteReference"/>
        </w:rPr>
        <w:footnoteRef/>
      </w:r>
      <w:r>
        <w:t xml:space="preserve"> </w:t>
      </w:r>
      <w:bookmarkStart w:id="17" w:name="_Hlk508875460"/>
      <w:bookmarkStart w:id="18" w:name="_Hlk508112579"/>
      <w:bookmarkStart w:id="19" w:name="_Hlk508194411"/>
      <w:r w:rsidRPr="00A77F80" w:rsidR="00A77F80">
        <w:rPr>
          <w:i/>
        </w:rPr>
        <w:t>Id</w:t>
      </w:r>
      <w:r w:rsidR="00A77F80">
        <w:t>.</w:t>
      </w:r>
      <w:r>
        <w:t xml:space="preserve"> at 3879, para. 3</w:t>
      </w:r>
      <w:bookmarkEnd w:id="17"/>
      <w:r>
        <w:t>.</w:t>
      </w:r>
      <w:bookmarkEnd w:id="18"/>
      <w:bookmarkEnd w:id="19"/>
    </w:p>
  </w:footnote>
  <w:footnote w:id="25">
    <w:p w:rsidR="00CB1CB7" w:rsidRPr="00FD3C8F" w14:paraId="3E79EFDB" w14:textId="5B358D05">
      <w:pPr>
        <w:pStyle w:val="FootnoteText"/>
      </w:pPr>
      <w:r>
        <w:rPr>
          <w:rStyle w:val="FootnoteReference"/>
        </w:rPr>
        <w:footnoteRef/>
      </w:r>
      <w:r>
        <w:t xml:space="preserve"> </w:t>
      </w:r>
      <w:r w:rsidR="00FD3C8F">
        <w:rPr>
          <w:i/>
        </w:rPr>
        <w:t>Id</w:t>
      </w:r>
      <w:r w:rsidR="00FD3C8F">
        <w:t>.</w:t>
      </w:r>
      <w:r w:rsidR="00A55537">
        <w:t xml:space="preserve">  </w:t>
      </w:r>
      <w:r w:rsidRPr="00A55537" w:rsidR="00A55537">
        <w:t xml:space="preserve">The Bureau has also previously waived the deadline for filing the short form TRP.  In 2014, the Bureau granted USTelecom’s request for waiver of section 61.49(k) to permit the short form TRP to be filed approximately 45 days prior to the annual access charge tariff effective date.  </w:t>
      </w:r>
      <w:r w:rsidRPr="00A55537" w:rsidR="00A55537">
        <w:rPr>
          <w:i/>
        </w:rPr>
        <w:t>See July 1, 2014 Annual Access Charge Tariff Filings</w:t>
      </w:r>
      <w:r w:rsidRPr="00A55537" w:rsidR="00A55537">
        <w:t>, WC Docket No. 14-48, Order, 29 FCC Rcd 3133, 3134-35, paras. 5-6 (WCB 2014).</w:t>
      </w:r>
    </w:p>
  </w:footnote>
  <w:footnote w:id="26">
    <w:p w:rsidR="00C57607" w:rsidRPr="00A55537" w:rsidP="00C57607" w14:paraId="66F38D28" w14:textId="092B1AFA">
      <w:pPr>
        <w:pStyle w:val="FootnoteText"/>
        <w:rPr>
          <w:i/>
        </w:rPr>
      </w:pPr>
      <w:r>
        <w:rPr>
          <w:rStyle w:val="FootnoteReference"/>
        </w:rPr>
        <w:footnoteRef/>
      </w:r>
      <w:r w:rsidR="00A55537">
        <w:rPr>
          <w:i/>
        </w:rPr>
        <w:t xml:space="preserve"> </w:t>
      </w:r>
      <w:r w:rsidRPr="00A55537" w:rsidR="00A55537">
        <w:rPr>
          <w:i/>
        </w:rPr>
        <w:t>2017 Short Form TRP Waiver Order</w:t>
      </w:r>
      <w:r w:rsidRPr="00A55537" w:rsidR="00A55537">
        <w:t xml:space="preserve">, 32 FCC Rcd </w:t>
      </w:r>
      <w:r w:rsidR="00A55537">
        <w:t>at 3878-79, para. 3</w:t>
      </w:r>
      <w:r w:rsidRPr="00A55537" w:rsidR="00A55537">
        <w:t>.</w:t>
      </w:r>
    </w:p>
  </w:footnote>
  <w:footnote w:id="27">
    <w:p w:rsidR="00A018CD" w:rsidRPr="00A018CD" w14:paraId="287B2740" w14:textId="77777777">
      <w:pPr>
        <w:pStyle w:val="FootnoteText"/>
      </w:pPr>
      <w:r>
        <w:rPr>
          <w:rStyle w:val="FootnoteReference"/>
        </w:rPr>
        <w:footnoteRef/>
      </w:r>
      <w:r>
        <w:t xml:space="preserve"> </w:t>
      </w:r>
      <w:r>
        <w:rPr>
          <w:i/>
        </w:rPr>
        <w:t xml:space="preserve">See </w:t>
      </w:r>
      <w:r>
        <w:t xml:space="preserve">47 CFR § 1.3 (“Any provision of the rules may be waived by the Commission on its own motion or on petition if good cause therefore is shown”).  </w:t>
      </w:r>
      <w:r>
        <w:rPr>
          <w:i/>
        </w:rPr>
        <w:t>See also Northeast Cellular Telephone Co. v. FCC</w:t>
      </w:r>
      <w:r>
        <w:t xml:space="preserve">, 897 F.2d 1164, 1166 (D.C. Cir. 1969), </w:t>
      </w:r>
      <w:r>
        <w:rPr>
          <w:i/>
        </w:rPr>
        <w:t>citing WAIT Radio v. FCC</w:t>
      </w:r>
      <w:r>
        <w:t xml:space="preserve">, 418 F.2d 1153, 1159 (D.C. Cir. 1969) (waivers must show special circumstances warranting a deviation from the general rule, and show such a deviation will serve the public interest). </w:t>
      </w:r>
    </w:p>
  </w:footnote>
  <w:footnote w:id="28">
    <w:p w:rsidR="00D84618" w14:paraId="2C16D19A" w14:textId="6124A22D">
      <w:pPr>
        <w:pStyle w:val="FootnoteText"/>
      </w:pPr>
      <w:r>
        <w:rPr>
          <w:rStyle w:val="FootnoteReference"/>
        </w:rPr>
        <w:footnoteRef/>
      </w:r>
      <w:r>
        <w:t xml:space="preserve"> </w:t>
      </w:r>
      <w:r>
        <w:rPr>
          <w:i/>
        </w:rPr>
        <w:t>See</w:t>
      </w:r>
      <w:r w:rsidRPr="00180CB4">
        <w:rPr>
          <w:i/>
        </w:rPr>
        <w:t xml:space="preserve"> </w:t>
      </w:r>
      <w:r w:rsidRPr="00180CB4">
        <w:rPr>
          <w:i/>
          <w:iCs/>
        </w:rPr>
        <w:t>Connect America Fund et al</w:t>
      </w:r>
      <w:r w:rsidRPr="00842E65">
        <w:rPr>
          <w:iCs/>
        </w:rPr>
        <w:t xml:space="preserve">., </w:t>
      </w:r>
      <w:r w:rsidRPr="00180CB4">
        <w:t>WC Docket No. 10-90 et al.,</w:t>
      </w:r>
      <w:r w:rsidRPr="00842E65">
        <w:t xml:space="preserve"> Order (</w:t>
      </w:r>
      <w:r>
        <w:t>WCB 2012</w:t>
      </w:r>
      <w:r w:rsidRPr="00126B80">
        <w:t xml:space="preserve">), </w:t>
      </w:r>
      <w:r>
        <w:t>27</w:t>
      </w:r>
      <w:r w:rsidRPr="00842E65">
        <w:t xml:space="preserve"> FCC Rcd </w:t>
      </w:r>
      <w:r>
        <w:t>5986, 5990-91</w:t>
      </w:r>
      <w:r w:rsidRPr="00842E65">
        <w:t>, para</w:t>
      </w:r>
      <w:r>
        <w:t>s</w:t>
      </w:r>
      <w:r w:rsidRPr="00180CB4">
        <w:t>.</w:t>
      </w:r>
      <w:r>
        <w:t xml:space="preserve"> </w:t>
      </w:r>
      <w:r w:rsidRPr="00180CB4">
        <w:t>12-15</w:t>
      </w:r>
      <w:r>
        <w:t xml:space="preserve"> (Partially waiving section 54.712 for when, as is the case this year, the tariff filing effective date was modified from July 1 to July 3)</w:t>
      </w:r>
      <w:r w:rsidRPr="00180CB4">
        <w:t>.</w:t>
      </w:r>
      <w:r w:rsidRPr="00842E65">
        <w:t xml:space="preserve"> </w:t>
      </w:r>
    </w:p>
  </w:footnote>
  <w:footnote w:id="29">
    <w:p w:rsidR="00B10127" w:rsidP="00B10127" w14:paraId="4E7F45AA" w14:textId="77777777">
      <w:pPr>
        <w:pStyle w:val="FootnoteText"/>
      </w:pPr>
      <w:r>
        <w:rPr>
          <w:rStyle w:val="FootnoteReference"/>
        </w:rPr>
        <w:footnoteRef/>
      </w:r>
      <w:r>
        <w:t xml:space="preserve"> </w:t>
      </w:r>
      <w:bookmarkStart w:id="20" w:name="_Hlk510184767"/>
      <w:r>
        <w:t>47 C.F.R. § 54.712.</w:t>
      </w:r>
      <w:bookmarkEnd w:id="20"/>
    </w:p>
  </w:footnote>
  <w:footnote w:id="30">
    <w:p w:rsidR="00230CFD" w:rsidRPr="00230CFD" w:rsidP="00230CFD" w14:paraId="106D24A8" w14:textId="16F5817F">
      <w:pPr>
        <w:pStyle w:val="FootnoteText"/>
      </w:pPr>
      <w:r>
        <w:rPr>
          <w:rStyle w:val="FootnoteReference"/>
        </w:rPr>
        <w:footnoteRef/>
      </w:r>
      <w:r>
        <w:t xml:space="preserve"> </w:t>
      </w:r>
      <w:r>
        <w:rPr>
          <w:i/>
        </w:rPr>
        <w:t xml:space="preserve">See </w:t>
      </w:r>
      <w:r w:rsidRPr="00230CFD">
        <w:t>47 C.F.R. § 54.712.</w:t>
      </w:r>
    </w:p>
    <w:p w:rsidR="00533BC4" w14:paraId="5F82FB5B" w14:textId="66B2BF7E">
      <w:pPr>
        <w:pStyle w:val="FootnoteText"/>
      </w:pPr>
    </w:p>
  </w:footnote>
  <w:footnote w:id="31">
    <w:p w:rsidR="00324E67" w:rsidP="00324E67" w14:paraId="3A431EA3" w14:textId="77777777">
      <w:pPr>
        <w:pStyle w:val="FootnoteText"/>
      </w:pPr>
      <w:r>
        <w:rPr>
          <w:rStyle w:val="FootnoteReference"/>
        </w:rPr>
        <w:footnoteRef/>
      </w:r>
      <w:r>
        <w:t xml:space="preserve"> 47 C.F.R. § 61.59(a).</w:t>
      </w:r>
    </w:p>
  </w:footnote>
  <w:footnote w:id="32">
    <w:p w:rsidR="00225FA8" w:rsidRPr="003B7A9E" w:rsidP="00225FA8" w14:paraId="3BFB17A0" w14:textId="77777777">
      <w:pPr>
        <w:pStyle w:val="FootnoteText"/>
      </w:pPr>
      <w:r w:rsidRPr="003B7A9E">
        <w:rPr>
          <w:rStyle w:val="FootnoteReference"/>
        </w:rPr>
        <w:footnoteRef/>
      </w:r>
      <w:r w:rsidRPr="003B7A9E">
        <w:t xml:space="preserve"> 47 C.F.R. § 61.13(b).</w:t>
      </w:r>
    </w:p>
  </w:footnote>
  <w:footnote w:id="33">
    <w:p w:rsidR="00225FA8" w:rsidRPr="003B7A9E" w:rsidP="00225FA8" w14:paraId="2AC628BF" w14:textId="77777777">
      <w:pPr>
        <w:pStyle w:val="FootnoteText"/>
      </w:pPr>
      <w:r w:rsidRPr="003B7A9E">
        <w:rPr>
          <w:rStyle w:val="FootnoteReference"/>
        </w:rPr>
        <w:footnoteRef/>
      </w:r>
      <w:r w:rsidRPr="003B7A9E">
        <w:t xml:space="preserve"> We waive any inconsistent portions of sections 1.4(f)</w:t>
      </w:r>
      <w:r>
        <w:t>, 1.773(a),</w:t>
      </w:r>
      <w:r w:rsidRPr="003B7A9E">
        <w:t xml:space="preserve"> and 1.773(b) of the Commission’s rules</w:t>
      </w:r>
      <w:r>
        <w:t>, 47 C.F.R. §§ 1.4(f), 1.773(a), and 1.773(b)</w:t>
      </w:r>
      <w:r w:rsidRPr="003B7A9E">
        <w:t xml:space="preserve">. </w:t>
      </w:r>
      <w:r>
        <w:t xml:space="preserve">  </w:t>
      </w:r>
    </w:p>
  </w:footnote>
  <w:footnote w:id="34">
    <w:p w:rsidR="00225FA8" w:rsidP="00225FA8" w14:paraId="0F15F624" w14:textId="77777777">
      <w:pPr>
        <w:pStyle w:val="FootnoteText"/>
      </w:pPr>
      <w:r>
        <w:rPr>
          <w:rStyle w:val="FootnoteReference"/>
        </w:rPr>
        <w:footnoteRef/>
      </w:r>
      <w:r>
        <w:t xml:space="preserve"> </w:t>
      </w:r>
      <w:r>
        <w:rPr>
          <w:szCs w:val="24"/>
        </w:rPr>
        <w:t>47 C.F.R. §§ 1.419, 1.773.</w:t>
      </w:r>
    </w:p>
  </w:footnote>
  <w:footnote w:id="35">
    <w:p w:rsidR="00225FA8" w:rsidP="00225FA8" w14:paraId="589072E2" w14:textId="77777777">
      <w:pPr>
        <w:pStyle w:val="FootnoteText"/>
      </w:pPr>
      <w:r>
        <w:rPr>
          <w:rStyle w:val="FootnoteReference"/>
        </w:rPr>
        <w:footnoteRef/>
      </w:r>
      <w:r>
        <w:t xml:space="preserve"> </w:t>
      </w:r>
      <w:r>
        <w:rPr>
          <w:i/>
          <w:szCs w:val="24"/>
        </w:rPr>
        <w:t xml:space="preserve">See Electronic Filing of Documents in Rulemaking </w:t>
      </w:r>
      <w:r w:rsidRPr="00F26146">
        <w:rPr>
          <w:i/>
          <w:szCs w:val="24"/>
        </w:rPr>
        <w:t>Proceedings</w:t>
      </w:r>
      <w:r>
        <w:rPr>
          <w:szCs w:val="24"/>
        </w:rPr>
        <w:t>, 63 FR 24121 (1998).</w:t>
      </w:r>
    </w:p>
  </w:footnote>
  <w:footnote w:id="36">
    <w:p w:rsidR="00225FA8" w:rsidRPr="003B7A9E" w:rsidP="00225FA8" w14:paraId="38941D98" w14:textId="77777777">
      <w:pPr>
        <w:pStyle w:val="FootnoteText"/>
        <w:rPr>
          <w:i/>
          <w:iCs/>
        </w:rPr>
      </w:pPr>
      <w:r w:rsidRPr="003B7A9E">
        <w:rPr>
          <w:rStyle w:val="FootnoteReference"/>
        </w:rPr>
        <w:footnoteRef/>
      </w:r>
      <w:r w:rsidRPr="003B7A9E">
        <w:t xml:space="preserve"> 47 C.F.R. § 1.1200 </w:t>
      </w:r>
      <w:r w:rsidRPr="003B7A9E">
        <w:rPr>
          <w:i/>
          <w:iCs/>
        </w:rPr>
        <w:t>et seq.</w:t>
      </w:r>
    </w:p>
  </w:footnote>
  <w:footnote w:id="37">
    <w:p w:rsidR="00225FA8" w:rsidRPr="003B7A9E" w:rsidP="00225FA8" w14:paraId="254033BA" w14:textId="5AF25ED5">
      <w:pPr>
        <w:pStyle w:val="FootnoteText"/>
      </w:pPr>
      <w:r w:rsidRPr="003B7A9E">
        <w:rPr>
          <w:rStyle w:val="FootnoteReference"/>
        </w:rPr>
        <w:footnoteRef/>
      </w:r>
      <w:r w:rsidRPr="003B7A9E">
        <w:t xml:space="preserve"> 47 C.F.R. §§ 1.773(a)(4), (b)(3).  We waive any inconsistent portions of </w:t>
      </w:r>
      <w:r w:rsidR="00D049AD">
        <w:t>section 1.47(d</w:t>
      </w:r>
      <w:r w:rsidRPr="003B7A9E">
        <w:t>) of the Commiss</w:t>
      </w:r>
      <w:r w:rsidR="00D049AD">
        <w:t>ion’s rules.  47 C.F.R. § 1.47(d</w:t>
      </w:r>
      <w:r w:rsidRPr="003B7A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77C7" w14:paraId="7F3AF4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64E388" w14:textId="0795F3CF">
    <w:pPr>
      <w:pStyle w:val="Header"/>
      <w:rPr>
        <w:b w:val="0"/>
      </w:rPr>
    </w:pPr>
    <w:r>
      <w:tab/>
      <w:t>Federal Communications Commission</w:t>
    </w:r>
    <w:r>
      <w:tab/>
    </w:r>
    <w:r w:rsidR="00225FA8">
      <w:t xml:space="preserve">DA </w:t>
    </w:r>
    <w:r w:rsidR="00747E1D">
      <w:t>18-335</w:t>
    </w:r>
  </w:p>
  <w:p w:rsidR="00D25FB5" w14:paraId="4079B3E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7F729B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91750F" w14:textId="0824E00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043A8">
      <w:rPr>
        <w:spacing w:val="-2"/>
      </w:rPr>
      <w:t>DA 18</w:t>
    </w:r>
    <w:r>
      <w:rPr>
        <w:spacing w:val="-2"/>
      </w:rPr>
      <w:t>-</w:t>
    </w:r>
    <w:r w:rsidR="00747E1D">
      <w:rPr>
        <w:spacing w:val="-2"/>
      </w:rPr>
      <w:t>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96CC95A2"/>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FDDC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TimesNewRoman"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NewRoman"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NewRoman"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C9485E96"/>
    <w:lvl w:ilvl="0">
      <w:start w:val="1"/>
      <w:numFmt w:val="decimal"/>
      <w:pStyle w:val="ParaNum"/>
      <w:lvlText w:val="%1."/>
      <w:lvlJc w:val="left"/>
      <w:pPr>
        <w:tabs>
          <w:tab w:val="num" w:pos="1080"/>
        </w:tabs>
        <w:ind w:left="0" w:firstLine="720"/>
      </w:pPr>
      <w:rPr>
        <w:b w:val="0"/>
        <w:i w:val="0"/>
        <w:sz w:val="22"/>
        <w:szCs w:val="22"/>
      </w:rPr>
    </w:lvl>
  </w:abstractNum>
  <w:num w:numId="1">
    <w:abstractNumId w:val="2"/>
  </w:num>
  <w:num w:numId="2">
    <w:abstractNumId w:val="10"/>
  </w:num>
  <w:num w:numId="3">
    <w:abstractNumId w:val="4"/>
  </w:num>
  <w:num w:numId="4">
    <w:abstractNumId w:val="6"/>
  </w:num>
  <w:num w:numId="5">
    <w:abstractNumId w:val="3"/>
  </w:num>
  <w:num w:numId="6">
    <w:abstractNumId w:val="1"/>
  </w:num>
  <w:num w:numId="7">
    <w:abstractNumId w:val="5"/>
  </w:num>
  <w:num w:numId="8">
    <w:abstractNumId w:val="8"/>
  </w:num>
  <w:num w:numId="9">
    <w:abstractNumId w:val="9"/>
  </w:num>
  <w:num w:numId="10">
    <w:abstractNumId w:val="7"/>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lvlOverride w:ilvl="0">
      <w:startOverride w:val="1"/>
    </w:lvlOverride>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8"/>
    <w:rsid w:val="000043A8"/>
    <w:rsid w:val="00011C30"/>
    <w:rsid w:val="00012680"/>
    <w:rsid w:val="00036039"/>
    <w:rsid w:val="00036D5A"/>
    <w:rsid w:val="00037F90"/>
    <w:rsid w:val="00040BCD"/>
    <w:rsid w:val="00043B70"/>
    <w:rsid w:val="00050427"/>
    <w:rsid w:val="00053984"/>
    <w:rsid w:val="0005710C"/>
    <w:rsid w:val="00062F74"/>
    <w:rsid w:val="00067AA0"/>
    <w:rsid w:val="00067B08"/>
    <w:rsid w:val="000875BF"/>
    <w:rsid w:val="00096C49"/>
    <w:rsid w:val="00096D8C"/>
    <w:rsid w:val="000B4E8F"/>
    <w:rsid w:val="000C0B65"/>
    <w:rsid w:val="000C2B06"/>
    <w:rsid w:val="000E05FE"/>
    <w:rsid w:val="000E3D42"/>
    <w:rsid w:val="000F05EC"/>
    <w:rsid w:val="001118F6"/>
    <w:rsid w:val="00112728"/>
    <w:rsid w:val="00122BD5"/>
    <w:rsid w:val="00126B80"/>
    <w:rsid w:val="00133F79"/>
    <w:rsid w:val="001462CB"/>
    <w:rsid w:val="00164F55"/>
    <w:rsid w:val="0017391E"/>
    <w:rsid w:val="00177892"/>
    <w:rsid w:val="00180CB4"/>
    <w:rsid w:val="00180CE7"/>
    <w:rsid w:val="00185254"/>
    <w:rsid w:val="00194A66"/>
    <w:rsid w:val="001959FE"/>
    <w:rsid w:val="001C404C"/>
    <w:rsid w:val="001C6F05"/>
    <w:rsid w:val="001D6BCF"/>
    <w:rsid w:val="001D7475"/>
    <w:rsid w:val="001E01CA"/>
    <w:rsid w:val="001E1E49"/>
    <w:rsid w:val="001F3669"/>
    <w:rsid w:val="00200C00"/>
    <w:rsid w:val="00203B6E"/>
    <w:rsid w:val="00206D6E"/>
    <w:rsid w:val="00224D3A"/>
    <w:rsid w:val="00225FA8"/>
    <w:rsid w:val="00230CFD"/>
    <w:rsid w:val="00231945"/>
    <w:rsid w:val="002351FE"/>
    <w:rsid w:val="002422FC"/>
    <w:rsid w:val="00243513"/>
    <w:rsid w:val="00251D29"/>
    <w:rsid w:val="002655AB"/>
    <w:rsid w:val="002750A3"/>
    <w:rsid w:val="00275CF5"/>
    <w:rsid w:val="00281CEB"/>
    <w:rsid w:val="0028301F"/>
    <w:rsid w:val="00285017"/>
    <w:rsid w:val="00286F38"/>
    <w:rsid w:val="002A2D2E"/>
    <w:rsid w:val="002A4599"/>
    <w:rsid w:val="002B3520"/>
    <w:rsid w:val="002C00E8"/>
    <w:rsid w:val="002C0885"/>
    <w:rsid w:val="002D0A30"/>
    <w:rsid w:val="002D2E63"/>
    <w:rsid w:val="002D6B10"/>
    <w:rsid w:val="002D7D19"/>
    <w:rsid w:val="002E70AF"/>
    <w:rsid w:val="003056A6"/>
    <w:rsid w:val="0031084E"/>
    <w:rsid w:val="00324796"/>
    <w:rsid w:val="00324E67"/>
    <w:rsid w:val="0033368F"/>
    <w:rsid w:val="00343749"/>
    <w:rsid w:val="00351773"/>
    <w:rsid w:val="003539A7"/>
    <w:rsid w:val="00354BC8"/>
    <w:rsid w:val="0035685D"/>
    <w:rsid w:val="003660ED"/>
    <w:rsid w:val="00391E01"/>
    <w:rsid w:val="003B0550"/>
    <w:rsid w:val="003B1E16"/>
    <w:rsid w:val="003B5CB1"/>
    <w:rsid w:val="003B694F"/>
    <w:rsid w:val="003B7A9E"/>
    <w:rsid w:val="003C25F4"/>
    <w:rsid w:val="003E6343"/>
    <w:rsid w:val="003F171C"/>
    <w:rsid w:val="00412FC5"/>
    <w:rsid w:val="00416994"/>
    <w:rsid w:val="00422276"/>
    <w:rsid w:val="004242F1"/>
    <w:rsid w:val="004263E1"/>
    <w:rsid w:val="00426881"/>
    <w:rsid w:val="00427259"/>
    <w:rsid w:val="00431F40"/>
    <w:rsid w:val="00433C92"/>
    <w:rsid w:val="00434953"/>
    <w:rsid w:val="0043556A"/>
    <w:rsid w:val="00445A00"/>
    <w:rsid w:val="00447BDC"/>
    <w:rsid w:val="00451B0F"/>
    <w:rsid w:val="00456143"/>
    <w:rsid w:val="004A3233"/>
    <w:rsid w:val="004A3F76"/>
    <w:rsid w:val="004B280E"/>
    <w:rsid w:val="004C2EE3"/>
    <w:rsid w:val="004E4A22"/>
    <w:rsid w:val="004E7738"/>
    <w:rsid w:val="004F1167"/>
    <w:rsid w:val="004F247B"/>
    <w:rsid w:val="00502E39"/>
    <w:rsid w:val="00510A32"/>
    <w:rsid w:val="00511968"/>
    <w:rsid w:val="00524784"/>
    <w:rsid w:val="00532E7C"/>
    <w:rsid w:val="00533BC4"/>
    <w:rsid w:val="0055614C"/>
    <w:rsid w:val="005851B4"/>
    <w:rsid w:val="005B1821"/>
    <w:rsid w:val="005C1E5B"/>
    <w:rsid w:val="005C415A"/>
    <w:rsid w:val="005D40A6"/>
    <w:rsid w:val="005D70DD"/>
    <w:rsid w:val="005E14C2"/>
    <w:rsid w:val="005E395C"/>
    <w:rsid w:val="005E5A0D"/>
    <w:rsid w:val="005F3767"/>
    <w:rsid w:val="005F74FD"/>
    <w:rsid w:val="00604853"/>
    <w:rsid w:val="00607BA5"/>
    <w:rsid w:val="00610B1F"/>
    <w:rsid w:val="0061180A"/>
    <w:rsid w:val="0062039B"/>
    <w:rsid w:val="00626EB6"/>
    <w:rsid w:val="006315A6"/>
    <w:rsid w:val="0063475E"/>
    <w:rsid w:val="006508B2"/>
    <w:rsid w:val="00654DFA"/>
    <w:rsid w:val="00655D03"/>
    <w:rsid w:val="00661F1A"/>
    <w:rsid w:val="00683388"/>
    <w:rsid w:val="00683F84"/>
    <w:rsid w:val="0069015E"/>
    <w:rsid w:val="006A2ABB"/>
    <w:rsid w:val="006A6A81"/>
    <w:rsid w:val="006B618F"/>
    <w:rsid w:val="006E21E4"/>
    <w:rsid w:val="006F7393"/>
    <w:rsid w:val="0070224F"/>
    <w:rsid w:val="007030C3"/>
    <w:rsid w:val="00705172"/>
    <w:rsid w:val="007115F7"/>
    <w:rsid w:val="00717423"/>
    <w:rsid w:val="00720FD3"/>
    <w:rsid w:val="00747E1D"/>
    <w:rsid w:val="0075315D"/>
    <w:rsid w:val="00754361"/>
    <w:rsid w:val="00763BF4"/>
    <w:rsid w:val="00764723"/>
    <w:rsid w:val="00782DA6"/>
    <w:rsid w:val="00785689"/>
    <w:rsid w:val="00785715"/>
    <w:rsid w:val="0079754B"/>
    <w:rsid w:val="00797B54"/>
    <w:rsid w:val="007A1E6D"/>
    <w:rsid w:val="007B0EB2"/>
    <w:rsid w:val="008020DB"/>
    <w:rsid w:val="00810B6F"/>
    <w:rsid w:val="00812653"/>
    <w:rsid w:val="00814AB4"/>
    <w:rsid w:val="00822202"/>
    <w:rsid w:val="00822CE0"/>
    <w:rsid w:val="00824852"/>
    <w:rsid w:val="0082553F"/>
    <w:rsid w:val="00841053"/>
    <w:rsid w:val="00841AB1"/>
    <w:rsid w:val="00842E65"/>
    <w:rsid w:val="00844E1D"/>
    <w:rsid w:val="008452C9"/>
    <w:rsid w:val="00856BDA"/>
    <w:rsid w:val="00882EAC"/>
    <w:rsid w:val="0089182D"/>
    <w:rsid w:val="008A06A2"/>
    <w:rsid w:val="008A1678"/>
    <w:rsid w:val="008C3A8B"/>
    <w:rsid w:val="008C6436"/>
    <w:rsid w:val="008C68F1"/>
    <w:rsid w:val="008D42EA"/>
    <w:rsid w:val="00921803"/>
    <w:rsid w:val="009219A1"/>
    <w:rsid w:val="00922BD5"/>
    <w:rsid w:val="009232E6"/>
    <w:rsid w:val="00926503"/>
    <w:rsid w:val="00931F3F"/>
    <w:rsid w:val="0094370B"/>
    <w:rsid w:val="00947BA4"/>
    <w:rsid w:val="00947CE5"/>
    <w:rsid w:val="00951E1F"/>
    <w:rsid w:val="009726D8"/>
    <w:rsid w:val="00985E64"/>
    <w:rsid w:val="0099330A"/>
    <w:rsid w:val="009965CD"/>
    <w:rsid w:val="009A2518"/>
    <w:rsid w:val="009A5FD4"/>
    <w:rsid w:val="009A7C15"/>
    <w:rsid w:val="009B4C59"/>
    <w:rsid w:val="009E0ABF"/>
    <w:rsid w:val="009E6A40"/>
    <w:rsid w:val="009F7275"/>
    <w:rsid w:val="009F76DB"/>
    <w:rsid w:val="00A00D39"/>
    <w:rsid w:val="00A018CD"/>
    <w:rsid w:val="00A120FD"/>
    <w:rsid w:val="00A15769"/>
    <w:rsid w:val="00A179DC"/>
    <w:rsid w:val="00A269E8"/>
    <w:rsid w:val="00A32C3B"/>
    <w:rsid w:val="00A45F4F"/>
    <w:rsid w:val="00A50129"/>
    <w:rsid w:val="00A536A1"/>
    <w:rsid w:val="00A55537"/>
    <w:rsid w:val="00A600A9"/>
    <w:rsid w:val="00A627D4"/>
    <w:rsid w:val="00A77F80"/>
    <w:rsid w:val="00A85866"/>
    <w:rsid w:val="00A9303B"/>
    <w:rsid w:val="00A947F0"/>
    <w:rsid w:val="00A96938"/>
    <w:rsid w:val="00AA55B7"/>
    <w:rsid w:val="00AA57A5"/>
    <w:rsid w:val="00AA5B9E"/>
    <w:rsid w:val="00AB2407"/>
    <w:rsid w:val="00AB53DF"/>
    <w:rsid w:val="00AD492F"/>
    <w:rsid w:val="00AD6075"/>
    <w:rsid w:val="00AD6A9D"/>
    <w:rsid w:val="00AF17A2"/>
    <w:rsid w:val="00B0064A"/>
    <w:rsid w:val="00B00D3D"/>
    <w:rsid w:val="00B034BD"/>
    <w:rsid w:val="00B07E5C"/>
    <w:rsid w:val="00B10127"/>
    <w:rsid w:val="00B1696A"/>
    <w:rsid w:val="00B309C1"/>
    <w:rsid w:val="00B36184"/>
    <w:rsid w:val="00B6030D"/>
    <w:rsid w:val="00B72F29"/>
    <w:rsid w:val="00B811F7"/>
    <w:rsid w:val="00B833C8"/>
    <w:rsid w:val="00B9521B"/>
    <w:rsid w:val="00BA5DC6"/>
    <w:rsid w:val="00BA6196"/>
    <w:rsid w:val="00BB059D"/>
    <w:rsid w:val="00BC6D8C"/>
    <w:rsid w:val="00BD5A96"/>
    <w:rsid w:val="00BE0D07"/>
    <w:rsid w:val="00BF0742"/>
    <w:rsid w:val="00C02157"/>
    <w:rsid w:val="00C07182"/>
    <w:rsid w:val="00C2431E"/>
    <w:rsid w:val="00C33A8F"/>
    <w:rsid w:val="00C33FF8"/>
    <w:rsid w:val="00C34006"/>
    <w:rsid w:val="00C426B1"/>
    <w:rsid w:val="00C4658C"/>
    <w:rsid w:val="00C57607"/>
    <w:rsid w:val="00C66160"/>
    <w:rsid w:val="00C721AC"/>
    <w:rsid w:val="00C76FF8"/>
    <w:rsid w:val="00C90D6A"/>
    <w:rsid w:val="00CA247E"/>
    <w:rsid w:val="00CA33C9"/>
    <w:rsid w:val="00CB1CB7"/>
    <w:rsid w:val="00CB7677"/>
    <w:rsid w:val="00CC1B2A"/>
    <w:rsid w:val="00CC72B6"/>
    <w:rsid w:val="00CE3489"/>
    <w:rsid w:val="00CE4120"/>
    <w:rsid w:val="00CE545D"/>
    <w:rsid w:val="00CE61D2"/>
    <w:rsid w:val="00CF5909"/>
    <w:rsid w:val="00D0218D"/>
    <w:rsid w:val="00D049AD"/>
    <w:rsid w:val="00D04E93"/>
    <w:rsid w:val="00D0713D"/>
    <w:rsid w:val="00D25FB5"/>
    <w:rsid w:val="00D34466"/>
    <w:rsid w:val="00D34E29"/>
    <w:rsid w:val="00D43322"/>
    <w:rsid w:val="00D44223"/>
    <w:rsid w:val="00D60A0B"/>
    <w:rsid w:val="00D6432F"/>
    <w:rsid w:val="00D77E09"/>
    <w:rsid w:val="00D84618"/>
    <w:rsid w:val="00D95E58"/>
    <w:rsid w:val="00D97532"/>
    <w:rsid w:val="00DA1EA1"/>
    <w:rsid w:val="00DA2529"/>
    <w:rsid w:val="00DA68C9"/>
    <w:rsid w:val="00DB130A"/>
    <w:rsid w:val="00DB2EBB"/>
    <w:rsid w:val="00DC10A1"/>
    <w:rsid w:val="00DC655F"/>
    <w:rsid w:val="00DC6985"/>
    <w:rsid w:val="00DC7CF6"/>
    <w:rsid w:val="00DD0B59"/>
    <w:rsid w:val="00DD3DDA"/>
    <w:rsid w:val="00DD4AA0"/>
    <w:rsid w:val="00DD52BB"/>
    <w:rsid w:val="00DD7EBD"/>
    <w:rsid w:val="00DE1AEC"/>
    <w:rsid w:val="00DE3639"/>
    <w:rsid w:val="00DF0EA2"/>
    <w:rsid w:val="00DF62B6"/>
    <w:rsid w:val="00E07225"/>
    <w:rsid w:val="00E17B45"/>
    <w:rsid w:val="00E17FC4"/>
    <w:rsid w:val="00E249D5"/>
    <w:rsid w:val="00E30A94"/>
    <w:rsid w:val="00E3797B"/>
    <w:rsid w:val="00E5409F"/>
    <w:rsid w:val="00E5622D"/>
    <w:rsid w:val="00E5670E"/>
    <w:rsid w:val="00E61A29"/>
    <w:rsid w:val="00E62393"/>
    <w:rsid w:val="00E63692"/>
    <w:rsid w:val="00E75061"/>
    <w:rsid w:val="00E83E90"/>
    <w:rsid w:val="00E84E00"/>
    <w:rsid w:val="00E905AE"/>
    <w:rsid w:val="00E95DC2"/>
    <w:rsid w:val="00E97BD1"/>
    <w:rsid w:val="00EA3DD0"/>
    <w:rsid w:val="00EC1380"/>
    <w:rsid w:val="00EC3533"/>
    <w:rsid w:val="00EC47B8"/>
    <w:rsid w:val="00EC48A3"/>
    <w:rsid w:val="00ED0890"/>
    <w:rsid w:val="00ED2FF5"/>
    <w:rsid w:val="00ED44F5"/>
    <w:rsid w:val="00ED7A99"/>
    <w:rsid w:val="00EE05E4"/>
    <w:rsid w:val="00EE2116"/>
    <w:rsid w:val="00EE6488"/>
    <w:rsid w:val="00F021FA"/>
    <w:rsid w:val="00F23A86"/>
    <w:rsid w:val="00F24688"/>
    <w:rsid w:val="00F26146"/>
    <w:rsid w:val="00F27C4D"/>
    <w:rsid w:val="00F34C64"/>
    <w:rsid w:val="00F41FE9"/>
    <w:rsid w:val="00F62D5C"/>
    <w:rsid w:val="00F62E97"/>
    <w:rsid w:val="00F64209"/>
    <w:rsid w:val="00F80A7D"/>
    <w:rsid w:val="00F90F62"/>
    <w:rsid w:val="00F91DC5"/>
    <w:rsid w:val="00F93BF5"/>
    <w:rsid w:val="00F9675B"/>
    <w:rsid w:val="00FA0EEC"/>
    <w:rsid w:val="00FC252C"/>
    <w:rsid w:val="00FC6ECC"/>
    <w:rsid w:val="00FD3C8F"/>
    <w:rsid w:val="00FF16C3"/>
    <w:rsid w:val="00FF77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A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225FA8"/>
    <w:pPr>
      <w:numPr>
        <w:numId w:val="8"/>
      </w:numPr>
      <w:tabs>
        <w:tab w:val="clear" w:pos="1080"/>
      </w:tabs>
      <w:spacing w:after="220"/>
      <w:ind w:firstLine="0"/>
    </w:pPr>
  </w:style>
  <w:style w:type="paragraph" w:styleId="BodyTextIndent2">
    <w:name w:val="Body Text Indent 2"/>
    <w:basedOn w:val="Normal"/>
    <w:link w:val="BodyTextIndent2Char"/>
    <w:rsid w:val="00225FA8"/>
    <w:pPr>
      <w:spacing w:after="120" w:line="480" w:lineRule="auto"/>
      <w:ind w:left="360"/>
    </w:pPr>
  </w:style>
  <w:style w:type="character" w:customStyle="1" w:styleId="BodyTextIndent2Char">
    <w:name w:val="Body Text Indent 2 Char"/>
    <w:basedOn w:val="DefaultParagraphFont"/>
    <w:link w:val="BodyTextIndent2"/>
    <w:rsid w:val="00225FA8"/>
    <w:rPr>
      <w:sz w:val="22"/>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locked/>
    <w:rsid w:val="00225FA8"/>
  </w:style>
  <w:style w:type="paragraph" w:styleId="BalloonText">
    <w:name w:val="Balloon Text"/>
    <w:basedOn w:val="Normal"/>
    <w:link w:val="BalloonTextChar"/>
    <w:semiHidden/>
    <w:unhideWhenUsed/>
    <w:rsid w:val="009965CD"/>
    <w:rPr>
      <w:rFonts w:ascii="Segoe UI" w:hAnsi="Segoe UI" w:cs="Segoe UI"/>
      <w:sz w:val="18"/>
      <w:szCs w:val="18"/>
    </w:rPr>
  </w:style>
  <w:style w:type="character" w:customStyle="1" w:styleId="BalloonTextChar">
    <w:name w:val="Balloon Text Char"/>
    <w:basedOn w:val="DefaultParagraphFont"/>
    <w:link w:val="BalloonText"/>
    <w:semiHidden/>
    <w:rsid w:val="009965CD"/>
    <w:rPr>
      <w:rFonts w:ascii="Segoe UI" w:hAnsi="Segoe UI" w:cs="Segoe UI"/>
      <w:sz w:val="18"/>
      <w:szCs w:val="18"/>
    </w:rPr>
  </w:style>
  <w:style w:type="character" w:styleId="FollowedHyperlink">
    <w:name w:val="FollowedHyperlink"/>
    <w:basedOn w:val="DefaultParagraphFont"/>
    <w:semiHidden/>
    <w:unhideWhenUsed/>
    <w:rsid w:val="006315A6"/>
    <w:rPr>
      <w:color w:val="954F72" w:themeColor="followedHyperlink"/>
      <w:u w:val="single"/>
    </w:rPr>
  </w:style>
  <w:style w:type="character" w:customStyle="1" w:styleId="ParaNumCharChar">
    <w:name w:val="ParaNum Char Char"/>
    <w:link w:val="ParaNum"/>
    <w:locked/>
    <w:rsid w:val="00C57607"/>
    <w:rPr>
      <w:sz w:val="22"/>
    </w:rPr>
  </w:style>
  <w:style w:type="character" w:styleId="CommentReference">
    <w:name w:val="annotation reference"/>
    <w:basedOn w:val="DefaultParagraphFont"/>
    <w:semiHidden/>
    <w:unhideWhenUsed/>
    <w:rsid w:val="00B833C8"/>
    <w:rPr>
      <w:sz w:val="16"/>
      <w:szCs w:val="16"/>
    </w:rPr>
  </w:style>
  <w:style w:type="paragraph" w:styleId="CommentText">
    <w:name w:val="annotation text"/>
    <w:basedOn w:val="Normal"/>
    <w:link w:val="CommentTextChar"/>
    <w:unhideWhenUsed/>
    <w:rsid w:val="00B833C8"/>
    <w:rPr>
      <w:sz w:val="20"/>
    </w:rPr>
  </w:style>
  <w:style w:type="character" w:customStyle="1" w:styleId="CommentTextChar">
    <w:name w:val="Comment Text Char"/>
    <w:basedOn w:val="DefaultParagraphFont"/>
    <w:link w:val="CommentText"/>
    <w:rsid w:val="00B833C8"/>
  </w:style>
  <w:style w:type="paragraph" w:styleId="CommentSubject">
    <w:name w:val="annotation subject"/>
    <w:basedOn w:val="CommentText"/>
    <w:next w:val="CommentText"/>
    <w:link w:val="CommentSubjectChar"/>
    <w:semiHidden/>
    <w:unhideWhenUsed/>
    <w:rsid w:val="00B833C8"/>
    <w:rPr>
      <w:b/>
      <w:bCs/>
    </w:rPr>
  </w:style>
  <w:style w:type="character" w:customStyle="1" w:styleId="CommentSubjectChar">
    <w:name w:val="Comment Subject Char"/>
    <w:basedOn w:val="CommentTextChar"/>
    <w:link w:val="CommentSubject"/>
    <w:semiHidden/>
    <w:rsid w:val="00B833C8"/>
    <w:rPr>
      <w:b/>
      <w:bCs/>
    </w:rPr>
  </w:style>
  <w:style w:type="character" w:customStyle="1" w:styleId="ParaNumCharChar1">
    <w:name w:val="ParaNum Char Char1"/>
    <w:locked/>
    <w:rsid w:val="00B10127"/>
    <w:rPr>
      <w:snapToGrid w:val="0"/>
      <w:kern w:val="28"/>
      <w:sz w:val="22"/>
    </w:rPr>
  </w:style>
  <w:style w:type="paragraph" w:styleId="Revision">
    <w:name w:val="Revision"/>
    <w:hidden/>
    <w:uiPriority w:val="99"/>
    <w:semiHidden/>
    <w:rsid w:val="00D846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4D30-713E-4C29-891C-D8C2566D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2018-04-05T18:14:39Z</dcterms:created>
  <dcterms:modified xsi:type="dcterms:W3CDTF">2018-04-05T18:14:39Z</dcterms:modified>
</cp:coreProperties>
</file>