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5395F" w:rsidRPr="009B4EF2" w:rsidP="0089185E" w14:paraId="613EEC8F" w14:textId="214CCCA4">
      <w:pPr>
        <w:rPr>
          <w:b/>
          <w:sz w:val="22"/>
          <w:szCs w:val="22"/>
        </w:rPr>
      </w:pPr>
      <w:bookmarkStart w:id="0" w:name="_GoBack"/>
      <w:bookmarkEnd w:id="0"/>
    </w:p>
    <w:p w:rsidR="0095395F" w:rsidRPr="009B4EF2" w:rsidP="0089185E" w14:paraId="460611A6" w14:textId="4AC306C7">
      <w:pPr>
        <w:ind w:left="7200" w:firstLine="720"/>
        <w:jc w:val="right"/>
        <w:rPr>
          <w:b/>
          <w:sz w:val="22"/>
          <w:szCs w:val="22"/>
        </w:rPr>
      </w:pPr>
      <w:r w:rsidRPr="009B4EF2">
        <w:rPr>
          <w:b/>
          <w:sz w:val="22"/>
          <w:szCs w:val="22"/>
        </w:rPr>
        <w:t xml:space="preserve">DA </w:t>
      </w:r>
      <w:r w:rsidRPr="009B4EF2" w:rsidR="00BF50D0">
        <w:rPr>
          <w:b/>
          <w:sz w:val="22"/>
          <w:szCs w:val="22"/>
        </w:rPr>
        <w:t>1</w:t>
      </w:r>
      <w:r w:rsidR="00847F8F">
        <w:rPr>
          <w:b/>
          <w:sz w:val="22"/>
          <w:szCs w:val="22"/>
        </w:rPr>
        <w:t>8</w:t>
      </w:r>
      <w:r w:rsidRPr="009B4EF2" w:rsidR="00BF50D0">
        <w:rPr>
          <w:b/>
          <w:sz w:val="22"/>
          <w:szCs w:val="22"/>
        </w:rPr>
        <w:t>-</w:t>
      </w:r>
      <w:r w:rsidR="007A3E38">
        <w:rPr>
          <w:b/>
          <w:sz w:val="22"/>
          <w:szCs w:val="22"/>
        </w:rPr>
        <w:t>346</w:t>
      </w:r>
    </w:p>
    <w:p w:rsidR="0095395F" w:rsidP="0089185E" w14:paraId="71DFF620" w14:textId="79F18B3F">
      <w:pPr>
        <w:ind w:left="7200"/>
        <w:jc w:val="right"/>
        <w:rPr>
          <w:b/>
          <w:sz w:val="22"/>
          <w:szCs w:val="22"/>
        </w:rPr>
      </w:pPr>
      <w:r>
        <w:rPr>
          <w:b/>
          <w:sz w:val="22"/>
          <w:szCs w:val="22"/>
        </w:rPr>
        <w:t>April 6, 2018</w:t>
      </w:r>
    </w:p>
    <w:p w:rsidR="003D03C1" w:rsidRPr="009B4EF2" w:rsidP="0089185E" w14:paraId="5D5E2B67" w14:textId="77777777">
      <w:pPr>
        <w:ind w:left="7200"/>
        <w:jc w:val="right"/>
        <w:rPr>
          <w:b/>
          <w:sz w:val="22"/>
          <w:szCs w:val="22"/>
        </w:rPr>
      </w:pPr>
    </w:p>
    <w:p w:rsidR="00336182" w:rsidP="00336182" w14:paraId="47B32F63" w14:textId="77777777">
      <w:pPr>
        <w:jc w:val="center"/>
        <w:rPr>
          <w:b/>
          <w:sz w:val="22"/>
          <w:szCs w:val="22"/>
        </w:rPr>
      </w:pPr>
      <w:r w:rsidRPr="009B4EF2">
        <w:rPr>
          <w:b/>
          <w:sz w:val="22"/>
          <w:szCs w:val="22"/>
        </w:rPr>
        <w:t xml:space="preserve">WIRELESS TELECOMMUNICATIONS BUREAU SEEKS COMMENT ON </w:t>
      </w:r>
      <w:r>
        <w:rPr>
          <w:b/>
          <w:sz w:val="22"/>
          <w:szCs w:val="22"/>
        </w:rPr>
        <w:t>STATUS OF FEDERAL GOVERNMENT RELOCATION FROM AWS-3 BANDS</w:t>
      </w:r>
    </w:p>
    <w:p w:rsidR="00336182" w:rsidP="00336182" w14:paraId="402DBBD6" w14:textId="77777777">
      <w:pPr>
        <w:jc w:val="center"/>
        <w:rPr>
          <w:b/>
          <w:sz w:val="22"/>
          <w:szCs w:val="22"/>
        </w:rPr>
      </w:pPr>
    </w:p>
    <w:p w:rsidR="00336182" w:rsidP="00336182" w14:paraId="19B4C9EC" w14:textId="0A4B4FE1">
      <w:pPr>
        <w:jc w:val="center"/>
        <w:rPr>
          <w:b/>
          <w:sz w:val="22"/>
          <w:szCs w:val="22"/>
        </w:rPr>
      </w:pPr>
      <w:bookmarkStart w:id="1" w:name="_Hlk510789340"/>
      <w:r w:rsidRPr="000E3727">
        <w:rPr>
          <w:i/>
          <w:sz w:val="22"/>
          <w:szCs w:val="22"/>
        </w:rPr>
        <w:t xml:space="preserve">Bureau </w:t>
      </w:r>
      <w:bookmarkStart w:id="2" w:name="_Hlk510789099"/>
      <w:r w:rsidR="00251612">
        <w:rPr>
          <w:i/>
          <w:sz w:val="22"/>
          <w:szCs w:val="22"/>
        </w:rPr>
        <w:t xml:space="preserve">Seeks Comment on </w:t>
      </w:r>
      <w:r w:rsidRPr="000E3727">
        <w:rPr>
          <w:i/>
          <w:sz w:val="22"/>
          <w:szCs w:val="22"/>
        </w:rPr>
        <w:t>Whether</w:t>
      </w:r>
      <w:r w:rsidR="00251612">
        <w:rPr>
          <w:i/>
          <w:sz w:val="22"/>
          <w:szCs w:val="22"/>
        </w:rPr>
        <w:t xml:space="preserve"> to Recommend </w:t>
      </w:r>
      <w:r w:rsidRPr="000E3727">
        <w:rPr>
          <w:i/>
          <w:sz w:val="22"/>
          <w:szCs w:val="22"/>
        </w:rPr>
        <w:t xml:space="preserve">an Extension by Up to Three Years of the </w:t>
      </w:r>
      <w:r w:rsidR="001B3E12">
        <w:rPr>
          <w:i/>
          <w:sz w:val="22"/>
          <w:szCs w:val="22"/>
        </w:rPr>
        <w:br/>
      </w:r>
      <w:r w:rsidRPr="000E3727">
        <w:rPr>
          <w:i/>
          <w:sz w:val="22"/>
          <w:szCs w:val="22"/>
        </w:rPr>
        <w:t>Initial License Term (and Associated Build-out Deadlines) for AWS-3 Licenses in Light of the Status of Federal Government Relocation from the 1695-1710 MHz and 1755-1780 MHz Bands</w:t>
      </w:r>
      <w:bookmarkEnd w:id="2"/>
    </w:p>
    <w:p w:rsidR="00AD2748" w:rsidRPr="009B4EF2" w:rsidP="0089185E" w14:paraId="6F8497F8" w14:textId="77777777">
      <w:pPr>
        <w:jc w:val="center"/>
        <w:rPr>
          <w:b/>
          <w:sz w:val="22"/>
          <w:szCs w:val="22"/>
        </w:rPr>
      </w:pPr>
      <w:bookmarkEnd w:id="1"/>
    </w:p>
    <w:p w:rsidR="0095395F" w:rsidRPr="009B4EF2" w:rsidP="0089185E" w14:paraId="2774FC7D" w14:textId="2C4E7B03">
      <w:pPr>
        <w:jc w:val="center"/>
        <w:rPr>
          <w:b/>
          <w:sz w:val="22"/>
          <w:szCs w:val="22"/>
        </w:rPr>
      </w:pPr>
      <w:r w:rsidRPr="009B4EF2">
        <w:rPr>
          <w:b/>
          <w:sz w:val="22"/>
          <w:szCs w:val="22"/>
        </w:rPr>
        <w:t xml:space="preserve">WT Docket </w:t>
      </w:r>
      <w:r w:rsidR="00847F8F">
        <w:rPr>
          <w:b/>
          <w:sz w:val="22"/>
          <w:szCs w:val="22"/>
        </w:rPr>
        <w:t>1</w:t>
      </w:r>
      <w:r w:rsidR="00292FB9">
        <w:rPr>
          <w:b/>
          <w:sz w:val="22"/>
          <w:szCs w:val="22"/>
        </w:rPr>
        <w:t>8</w:t>
      </w:r>
      <w:r w:rsidR="00847F8F">
        <w:rPr>
          <w:b/>
          <w:sz w:val="22"/>
          <w:szCs w:val="22"/>
        </w:rPr>
        <w:t>-</w:t>
      </w:r>
      <w:r w:rsidR="00E315A4">
        <w:rPr>
          <w:b/>
          <w:sz w:val="22"/>
          <w:szCs w:val="22"/>
        </w:rPr>
        <w:t>104</w:t>
      </w:r>
    </w:p>
    <w:p w:rsidR="008456EB" w:rsidRPr="009B4EF2" w:rsidP="0089185E" w14:paraId="4E0703F4" w14:textId="635A7100">
      <w:pPr>
        <w:jc w:val="center"/>
        <w:rPr>
          <w:b/>
          <w:sz w:val="22"/>
          <w:szCs w:val="22"/>
        </w:rPr>
      </w:pPr>
    </w:p>
    <w:p w:rsidR="008456EB" w:rsidRPr="009B4EF2" w:rsidP="008456EB" w14:paraId="7E2F787C" w14:textId="58161219">
      <w:pPr>
        <w:spacing w:before="60" w:line="276" w:lineRule="auto"/>
        <w:rPr>
          <w:b/>
          <w:sz w:val="22"/>
          <w:szCs w:val="22"/>
        </w:rPr>
      </w:pPr>
      <w:r w:rsidRPr="009B4EF2">
        <w:rPr>
          <w:b/>
          <w:sz w:val="22"/>
          <w:szCs w:val="22"/>
        </w:rPr>
        <w:t xml:space="preserve">Comments Due: </w:t>
      </w:r>
      <w:r w:rsidR="00785F2E">
        <w:rPr>
          <w:b/>
          <w:sz w:val="22"/>
          <w:szCs w:val="22"/>
        </w:rPr>
        <w:t xml:space="preserve"> June 5, 2018</w:t>
      </w:r>
    </w:p>
    <w:p w:rsidR="008456EB" w:rsidRPr="009B4EF2" w:rsidP="008456EB" w14:paraId="7E2E2CDF" w14:textId="426C8BF1">
      <w:pPr>
        <w:spacing w:before="60" w:line="276" w:lineRule="auto"/>
        <w:rPr>
          <w:b/>
          <w:sz w:val="22"/>
          <w:szCs w:val="22"/>
        </w:rPr>
      </w:pPr>
      <w:r w:rsidRPr="009B4EF2">
        <w:rPr>
          <w:b/>
          <w:sz w:val="22"/>
          <w:szCs w:val="22"/>
        </w:rPr>
        <w:t xml:space="preserve">Reply Comments Due:  </w:t>
      </w:r>
      <w:r w:rsidR="00785F2E">
        <w:rPr>
          <w:b/>
          <w:sz w:val="22"/>
          <w:szCs w:val="22"/>
        </w:rPr>
        <w:t>July 5</w:t>
      </w:r>
      <w:r w:rsidR="00CC76AF">
        <w:rPr>
          <w:b/>
          <w:sz w:val="22"/>
          <w:szCs w:val="22"/>
        </w:rPr>
        <w:t>, 2018</w:t>
      </w:r>
    </w:p>
    <w:p w:rsidR="00AC479D" w:rsidRPr="00DD5130" w:rsidP="0089185E" w14:paraId="4C7C62B8" w14:textId="77777777">
      <w:pPr>
        <w:ind w:firstLine="720"/>
      </w:pPr>
    </w:p>
    <w:p w:rsidR="00896476" w:rsidP="00BB140C" w14:paraId="1791A7C5" w14:textId="6DEADD07">
      <w:pPr>
        <w:ind w:firstLine="720"/>
        <w:rPr>
          <w:sz w:val="22"/>
          <w:szCs w:val="22"/>
        </w:rPr>
      </w:pPr>
      <w:r w:rsidRPr="009B4EF2">
        <w:rPr>
          <w:sz w:val="22"/>
          <w:szCs w:val="22"/>
        </w:rPr>
        <w:t xml:space="preserve">On </w:t>
      </w:r>
      <w:r w:rsidR="006D40DE">
        <w:rPr>
          <w:sz w:val="22"/>
          <w:szCs w:val="22"/>
        </w:rPr>
        <w:t>March 31,</w:t>
      </w:r>
      <w:r w:rsidRPr="009B4EF2">
        <w:rPr>
          <w:sz w:val="22"/>
          <w:szCs w:val="22"/>
        </w:rPr>
        <w:t xml:space="preserve"> 201</w:t>
      </w:r>
      <w:r w:rsidR="006D40DE">
        <w:rPr>
          <w:sz w:val="22"/>
          <w:szCs w:val="22"/>
        </w:rPr>
        <w:t>4</w:t>
      </w:r>
      <w:r w:rsidRPr="009B4EF2">
        <w:rPr>
          <w:sz w:val="22"/>
          <w:szCs w:val="22"/>
        </w:rPr>
        <w:t xml:space="preserve">, the </w:t>
      </w:r>
      <w:r w:rsidRPr="009B4EF2" w:rsidR="009861FA">
        <w:rPr>
          <w:sz w:val="22"/>
          <w:szCs w:val="22"/>
        </w:rPr>
        <w:t>Federal Communications Commission (C</w:t>
      </w:r>
      <w:r w:rsidRPr="009B4EF2">
        <w:rPr>
          <w:sz w:val="22"/>
          <w:szCs w:val="22"/>
        </w:rPr>
        <w:t>ommission</w:t>
      </w:r>
      <w:r w:rsidRPr="009B4EF2" w:rsidR="00BB140C">
        <w:rPr>
          <w:sz w:val="22"/>
          <w:szCs w:val="22"/>
        </w:rPr>
        <w:t xml:space="preserve"> or FCC</w:t>
      </w:r>
      <w:r w:rsidRPr="009B4EF2" w:rsidR="009861FA">
        <w:rPr>
          <w:sz w:val="22"/>
          <w:szCs w:val="22"/>
        </w:rPr>
        <w:t>)</w:t>
      </w:r>
      <w:r w:rsidRPr="009B4EF2">
        <w:rPr>
          <w:sz w:val="22"/>
          <w:szCs w:val="22"/>
        </w:rPr>
        <w:t xml:space="preserve"> </w:t>
      </w:r>
      <w:r w:rsidRPr="009B4EF2" w:rsidR="00E759EC">
        <w:rPr>
          <w:sz w:val="22"/>
          <w:szCs w:val="22"/>
        </w:rPr>
        <w:t>released</w:t>
      </w:r>
      <w:r w:rsidRPr="009B4EF2">
        <w:rPr>
          <w:sz w:val="22"/>
          <w:szCs w:val="22"/>
        </w:rPr>
        <w:t xml:space="preserve"> </w:t>
      </w:r>
      <w:r w:rsidR="00B11A5A">
        <w:rPr>
          <w:sz w:val="22"/>
          <w:szCs w:val="22"/>
        </w:rPr>
        <w:t xml:space="preserve">a </w:t>
      </w:r>
      <w:r w:rsidRPr="006D40DE">
        <w:rPr>
          <w:i/>
          <w:sz w:val="22"/>
          <w:szCs w:val="22"/>
        </w:rPr>
        <w:t>Report</w:t>
      </w:r>
      <w:r w:rsidRPr="009B4EF2">
        <w:rPr>
          <w:i/>
          <w:sz w:val="22"/>
          <w:szCs w:val="22"/>
        </w:rPr>
        <w:t xml:space="preserve"> and Order</w:t>
      </w:r>
      <w:r w:rsidRPr="009B4EF2">
        <w:rPr>
          <w:sz w:val="22"/>
          <w:szCs w:val="22"/>
        </w:rPr>
        <w:t xml:space="preserve"> in which it adopted </w:t>
      </w:r>
      <w:r w:rsidRPr="00C961D1" w:rsidR="006D40DE">
        <w:rPr>
          <w:sz w:val="22"/>
          <w:szCs w:val="22"/>
        </w:rPr>
        <w:t>rules governing use of spectrum in the 1695-1710 MHz, 1755-1780 MHz and 2155-2180 MHz bands for Advanced Wireless Services (AWS).</w:t>
      </w:r>
      <w:r>
        <w:rPr>
          <w:rStyle w:val="FootnoteReference"/>
          <w:sz w:val="22"/>
          <w:szCs w:val="22"/>
        </w:rPr>
        <w:footnoteReference w:id="2"/>
      </w:r>
      <w:r w:rsidRPr="00C961D1" w:rsidR="006D40DE">
        <w:rPr>
          <w:sz w:val="22"/>
          <w:szCs w:val="22"/>
        </w:rPr>
        <w:t xml:space="preserve">  </w:t>
      </w:r>
      <w:r w:rsidRPr="00C961D1" w:rsidR="00711070">
        <w:rPr>
          <w:sz w:val="22"/>
          <w:szCs w:val="22"/>
        </w:rPr>
        <w:t xml:space="preserve">Collectively, this spectrum is informally referred to as “AWS-3.”  </w:t>
      </w:r>
      <w:r w:rsidRPr="00C961D1" w:rsidR="00271D04">
        <w:rPr>
          <w:sz w:val="22"/>
          <w:szCs w:val="22"/>
        </w:rPr>
        <w:t>There are Federal operations in the 1695-1710 MHz and 1755-1780 MHz bands, some of which are relocating</w:t>
      </w:r>
      <w:r w:rsidR="00271D04">
        <w:rPr>
          <w:sz w:val="22"/>
          <w:szCs w:val="22"/>
        </w:rPr>
        <w:t xml:space="preserve"> over time and a limited number of which will continue</w:t>
      </w:r>
      <w:r w:rsidR="006F7CC8">
        <w:rPr>
          <w:sz w:val="22"/>
          <w:szCs w:val="22"/>
        </w:rPr>
        <w:t xml:space="preserve"> operating in these bands</w:t>
      </w:r>
      <w:r w:rsidR="00271D04">
        <w:rPr>
          <w:sz w:val="22"/>
          <w:szCs w:val="22"/>
        </w:rPr>
        <w:t xml:space="preserve"> </w:t>
      </w:r>
      <w:r w:rsidR="008C009D">
        <w:rPr>
          <w:sz w:val="22"/>
          <w:szCs w:val="22"/>
        </w:rPr>
        <w:t xml:space="preserve">indefinitely.  </w:t>
      </w:r>
      <w:r w:rsidR="009B48C9">
        <w:rPr>
          <w:sz w:val="22"/>
          <w:szCs w:val="22"/>
        </w:rPr>
        <w:t>The Commission’s rules require that, u</w:t>
      </w:r>
      <w:r w:rsidR="008C009D">
        <w:rPr>
          <w:sz w:val="22"/>
          <w:szCs w:val="22"/>
        </w:rPr>
        <w:t xml:space="preserve">ntil the incumbent Federal authorizations are terminated, the Commission </w:t>
      </w:r>
      <w:r w:rsidR="001058BC">
        <w:rPr>
          <w:sz w:val="22"/>
          <w:szCs w:val="22"/>
        </w:rPr>
        <w:t xml:space="preserve">will </w:t>
      </w:r>
      <w:r w:rsidR="009B48C9">
        <w:rPr>
          <w:sz w:val="22"/>
          <w:szCs w:val="22"/>
        </w:rPr>
        <w:t xml:space="preserve">issue </w:t>
      </w:r>
      <w:r w:rsidR="008C009D">
        <w:rPr>
          <w:sz w:val="22"/>
          <w:szCs w:val="22"/>
        </w:rPr>
        <w:t>AWS-3 licenses subject to the condition that harmful interference cannot be caused to these Federal incumbents</w:t>
      </w:r>
      <w:r w:rsidR="009B48C9">
        <w:rPr>
          <w:sz w:val="22"/>
          <w:szCs w:val="22"/>
        </w:rPr>
        <w:t>.</w:t>
      </w:r>
      <w:r>
        <w:rPr>
          <w:snapToGrid w:val="0"/>
          <w:kern w:val="28"/>
          <w:vertAlign w:val="superscript"/>
        </w:rPr>
        <w:footnoteReference w:id="3"/>
      </w:r>
      <w:r w:rsidR="00DB2D9A">
        <w:rPr>
          <w:snapToGrid w:val="0"/>
          <w:kern w:val="28"/>
          <w:sz w:val="22"/>
        </w:rPr>
        <w:t xml:space="preserve"> </w:t>
      </w:r>
      <w:r w:rsidR="00D10997">
        <w:rPr>
          <w:sz w:val="22"/>
          <w:szCs w:val="22"/>
        </w:rPr>
        <w:t xml:space="preserve"> </w:t>
      </w:r>
      <w:r w:rsidR="009B48C9">
        <w:rPr>
          <w:sz w:val="22"/>
          <w:szCs w:val="22"/>
        </w:rPr>
        <w:t>T</w:t>
      </w:r>
      <w:r w:rsidR="008C009D">
        <w:rPr>
          <w:sz w:val="22"/>
          <w:szCs w:val="22"/>
        </w:rPr>
        <w:t xml:space="preserve">he Commission’s rules </w:t>
      </w:r>
      <w:r w:rsidR="009B48C9">
        <w:rPr>
          <w:sz w:val="22"/>
          <w:szCs w:val="22"/>
        </w:rPr>
        <w:t xml:space="preserve">also </w:t>
      </w:r>
      <w:r w:rsidR="008C009D">
        <w:rPr>
          <w:sz w:val="22"/>
          <w:szCs w:val="22"/>
        </w:rPr>
        <w:t>require AWS-3 licensees to coordinate with the relevant Federal incumbents prior to operating.</w:t>
      </w:r>
      <w:r>
        <w:rPr>
          <w:rStyle w:val="FootnoteReference"/>
          <w:sz w:val="22"/>
          <w:szCs w:val="22"/>
        </w:rPr>
        <w:footnoteReference w:id="4"/>
      </w:r>
      <w:r w:rsidR="008C009D">
        <w:rPr>
          <w:sz w:val="22"/>
          <w:szCs w:val="22"/>
        </w:rPr>
        <w:t xml:space="preserve">  </w:t>
      </w:r>
    </w:p>
    <w:p w:rsidR="00DD5130" w:rsidRPr="00ED2239" w:rsidP="00BB140C" w14:paraId="10BF9232" w14:textId="77777777">
      <w:pPr>
        <w:ind w:firstLine="720"/>
        <w:rPr>
          <w:sz w:val="22"/>
          <w:szCs w:val="22"/>
        </w:rPr>
      </w:pPr>
    </w:p>
    <w:p w:rsidR="008D5559" w:rsidP="00395436" w14:paraId="613226F9" w14:textId="484184E9">
      <w:pPr>
        <w:rPr>
          <w:sz w:val="22"/>
          <w:szCs w:val="22"/>
        </w:rPr>
      </w:pPr>
      <w:r w:rsidRPr="009B587A">
        <w:rPr>
          <w:sz w:val="22"/>
          <w:szCs w:val="22"/>
        </w:rPr>
        <w:tab/>
      </w:r>
      <w:bookmarkStart w:id="5" w:name="_Hlk507490477"/>
      <w:r w:rsidRPr="00695A05">
        <w:rPr>
          <w:sz w:val="22"/>
          <w:szCs w:val="22"/>
        </w:rPr>
        <w:t xml:space="preserve">The Commission typically </w:t>
      </w:r>
      <w:r w:rsidRPr="00695A05" w:rsidR="009B48C9">
        <w:rPr>
          <w:sz w:val="22"/>
          <w:szCs w:val="22"/>
        </w:rPr>
        <w:t xml:space="preserve">has </w:t>
      </w:r>
      <w:r w:rsidRPr="00695A05">
        <w:rPr>
          <w:sz w:val="22"/>
          <w:szCs w:val="22"/>
        </w:rPr>
        <w:t>adopted 10-year license terms for Part 27 services</w:t>
      </w:r>
      <w:r w:rsidRPr="00695A05" w:rsidR="009B587A">
        <w:rPr>
          <w:sz w:val="22"/>
          <w:szCs w:val="22"/>
        </w:rPr>
        <w:t>,</w:t>
      </w:r>
      <w:r>
        <w:rPr>
          <w:rStyle w:val="FootnoteReference"/>
          <w:sz w:val="22"/>
          <w:szCs w:val="22"/>
        </w:rPr>
        <w:footnoteReference w:id="5"/>
      </w:r>
      <w:r w:rsidRPr="00695A05" w:rsidR="009B587A">
        <w:rPr>
          <w:sz w:val="22"/>
          <w:szCs w:val="22"/>
        </w:rPr>
        <w:t xml:space="preserve"> </w:t>
      </w:r>
      <w:r w:rsidRPr="00695A05">
        <w:rPr>
          <w:sz w:val="22"/>
          <w:szCs w:val="22"/>
        </w:rPr>
        <w:t xml:space="preserve">but </w:t>
      </w:r>
      <w:r w:rsidR="009B48C9">
        <w:rPr>
          <w:sz w:val="22"/>
          <w:szCs w:val="22"/>
        </w:rPr>
        <w:t xml:space="preserve">it </w:t>
      </w:r>
      <w:r w:rsidRPr="00695A05">
        <w:rPr>
          <w:sz w:val="22"/>
          <w:szCs w:val="22"/>
        </w:rPr>
        <w:t>has also found a longer initial term to be in the public interest.</w:t>
      </w:r>
      <w:r>
        <w:rPr>
          <w:rStyle w:val="FootnoteReference"/>
          <w:rFonts w:eastAsiaTheme="minorEastAsia"/>
          <w:sz w:val="22"/>
          <w:szCs w:val="22"/>
        </w:rPr>
        <w:footnoteReference w:id="6"/>
      </w:r>
      <w:r w:rsidRPr="00695A05">
        <w:rPr>
          <w:rStyle w:val="FootnoteReference"/>
          <w:sz w:val="22"/>
          <w:szCs w:val="22"/>
        </w:rPr>
        <w:t xml:space="preserve"> </w:t>
      </w:r>
      <w:r w:rsidRPr="00695A05">
        <w:rPr>
          <w:sz w:val="22"/>
          <w:szCs w:val="22"/>
        </w:rPr>
        <w:t xml:space="preserve"> </w:t>
      </w:r>
      <w:r w:rsidRPr="00695A05" w:rsidR="009B587A">
        <w:rPr>
          <w:sz w:val="22"/>
          <w:szCs w:val="22"/>
        </w:rPr>
        <w:t xml:space="preserve"> </w:t>
      </w:r>
      <w:r w:rsidRPr="00695A05">
        <w:rPr>
          <w:sz w:val="22"/>
          <w:szCs w:val="22"/>
        </w:rPr>
        <w:t>For AWS-</w:t>
      </w:r>
      <w:r w:rsidRPr="00695A05" w:rsidR="00D46177">
        <w:rPr>
          <w:sz w:val="22"/>
          <w:szCs w:val="22"/>
        </w:rPr>
        <w:t>3</w:t>
      </w:r>
      <w:r w:rsidRPr="00695A05">
        <w:rPr>
          <w:sz w:val="22"/>
          <w:szCs w:val="22"/>
        </w:rPr>
        <w:t xml:space="preserve">, </w:t>
      </w:r>
      <w:r w:rsidRPr="00695A05" w:rsidR="00D46177">
        <w:rPr>
          <w:sz w:val="22"/>
          <w:szCs w:val="22"/>
        </w:rPr>
        <w:t>t</w:t>
      </w:r>
      <w:r w:rsidRPr="00695A05">
        <w:rPr>
          <w:sz w:val="22"/>
          <w:szCs w:val="22"/>
        </w:rPr>
        <w:t xml:space="preserve">he Commission </w:t>
      </w:r>
      <w:r w:rsidRPr="00695A05" w:rsidR="00695A05">
        <w:rPr>
          <w:sz w:val="22"/>
          <w:szCs w:val="22"/>
        </w:rPr>
        <w:t>found that a</w:t>
      </w:r>
      <w:r w:rsidR="00AE4C17">
        <w:rPr>
          <w:sz w:val="22"/>
          <w:szCs w:val="22"/>
        </w:rPr>
        <w:t xml:space="preserve"> 12-year license term was </w:t>
      </w:r>
      <w:r w:rsidRPr="00695A05" w:rsidR="00695A05">
        <w:rPr>
          <w:sz w:val="22"/>
          <w:szCs w:val="22"/>
        </w:rPr>
        <w:t>appropriate</w:t>
      </w:r>
      <w:r w:rsidR="00AE4C17">
        <w:rPr>
          <w:sz w:val="22"/>
          <w:szCs w:val="22"/>
        </w:rPr>
        <w:t xml:space="preserve"> to accommodate </w:t>
      </w:r>
      <w:r w:rsidRPr="00695A05" w:rsidR="00695A05">
        <w:rPr>
          <w:sz w:val="22"/>
          <w:szCs w:val="22"/>
        </w:rPr>
        <w:t xml:space="preserve">the complexities and timing of clearing </w:t>
      </w:r>
      <w:r w:rsidR="00867913">
        <w:rPr>
          <w:sz w:val="22"/>
          <w:szCs w:val="22"/>
        </w:rPr>
        <w:t xml:space="preserve">Federal </w:t>
      </w:r>
      <w:r w:rsidRPr="00695A05" w:rsidR="00695A05">
        <w:rPr>
          <w:sz w:val="22"/>
          <w:szCs w:val="22"/>
        </w:rPr>
        <w:t xml:space="preserve">government </w:t>
      </w:r>
      <w:r w:rsidRPr="00695A05" w:rsidR="00695A05">
        <w:rPr>
          <w:sz w:val="22"/>
          <w:szCs w:val="22"/>
        </w:rPr>
        <w:t>operations.</w:t>
      </w:r>
      <w:r>
        <w:rPr>
          <w:rStyle w:val="FootnoteReference"/>
          <w:sz w:val="22"/>
          <w:szCs w:val="22"/>
        </w:rPr>
        <w:footnoteReference w:id="7"/>
      </w:r>
      <w:r w:rsidRPr="00695A05" w:rsidR="00695A05">
        <w:rPr>
          <w:sz w:val="22"/>
          <w:szCs w:val="22"/>
        </w:rPr>
        <w:t xml:space="preserve">  </w:t>
      </w:r>
      <w:r w:rsidR="009B48C9">
        <w:rPr>
          <w:sz w:val="22"/>
          <w:szCs w:val="22"/>
        </w:rPr>
        <w:t>T</w:t>
      </w:r>
      <w:r>
        <w:rPr>
          <w:sz w:val="22"/>
          <w:szCs w:val="22"/>
        </w:rPr>
        <w:t xml:space="preserve">he Commission also directed the </w:t>
      </w:r>
      <w:r w:rsidR="00292FB9">
        <w:rPr>
          <w:sz w:val="22"/>
          <w:szCs w:val="22"/>
        </w:rPr>
        <w:t xml:space="preserve">Wireless </w:t>
      </w:r>
      <w:r w:rsidR="002B510B">
        <w:rPr>
          <w:sz w:val="22"/>
          <w:szCs w:val="22"/>
        </w:rPr>
        <w:t>Telecommunications Bureau (B</w:t>
      </w:r>
      <w:r>
        <w:rPr>
          <w:sz w:val="22"/>
          <w:szCs w:val="22"/>
        </w:rPr>
        <w:t>ureau</w:t>
      </w:r>
      <w:r w:rsidR="002B510B">
        <w:rPr>
          <w:sz w:val="22"/>
          <w:szCs w:val="22"/>
        </w:rPr>
        <w:t xml:space="preserve"> or WTB)</w:t>
      </w:r>
      <w:r w:rsidR="009B48C9">
        <w:rPr>
          <w:sz w:val="22"/>
          <w:szCs w:val="22"/>
        </w:rPr>
        <w:t>, however,</w:t>
      </w:r>
      <w:r>
        <w:rPr>
          <w:sz w:val="22"/>
          <w:szCs w:val="22"/>
        </w:rPr>
        <w:t xml:space="preserve"> to solicit comment in the third year following the initial licensing of the AWS-3 spectrum </w:t>
      </w:r>
      <w:bookmarkStart w:id="8" w:name="_Hlk507491206"/>
      <w:r>
        <w:rPr>
          <w:sz w:val="22"/>
          <w:szCs w:val="22"/>
        </w:rPr>
        <w:t xml:space="preserve">for the purpose of making a recommendation to the Commission </w:t>
      </w:r>
      <w:bookmarkStart w:id="9" w:name="_Hlk507490096"/>
      <w:r>
        <w:rPr>
          <w:sz w:val="22"/>
          <w:szCs w:val="22"/>
        </w:rPr>
        <w:t xml:space="preserve">about whether an </w:t>
      </w:r>
      <w:r w:rsidR="00D501C1">
        <w:rPr>
          <w:sz w:val="22"/>
          <w:szCs w:val="22"/>
        </w:rPr>
        <w:t>extension</w:t>
      </w:r>
      <w:r>
        <w:rPr>
          <w:sz w:val="22"/>
          <w:szCs w:val="22"/>
        </w:rPr>
        <w:t xml:space="preserve"> of th</w:t>
      </w:r>
      <w:r w:rsidR="00AB5519">
        <w:rPr>
          <w:sz w:val="22"/>
          <w:szCs w:val="22"/>
        </w:rPr>
        <w:t xml:space="preserve">e </w:t>
      </w:r>
      <w:r w:rsidR="00D501C1">
        <w:rPr>
          <w:sz w:val="22"/>
          <w:szCs w:val="22"/>
        </w:rPr>
        <w:t>initial</w:t>
      </w:r>
      <w:r w:rsidR="00AB5519">
        <w:rPr>
          <w:sz w:val="22"/>
          <w:szCs w:val="22"/>
        </w:rPr>
        <w:t xml:space="preserve"> license </w:t>
      </w:r>
      <w:r>
        <w:rPr>
          <w:sz w:val="22"/>
          <w:szCs w:val="22"/>
        </w:rPr>
        <w:t>term (and associated build-out deadlines)</w:t>
      </w:r>
      <w:r>
        <w:rPr>
          <w:rStyle w:val="FootnoteReference"/>
          <w:sz w:val="22"/>
          <w:szCs w:val="22"/>
        </w:rPr>
        <w:footnoteReference w:id="8"/>
      </w:r>
      <w:r>
        <w:rPr>
          <w:sz w:val="22"/>
          <w:szCs w:val="22"/>
        </w:rPr>
        <w:t xml:space="preserve"> by up to 3 years is warranted in light of the status of government relocation.</w:t>
      </w:r>
      <w:r>
        <w:rPr>
          <w:rStyle w:val="FootnoteReference"/>
          <w:sz w:val="22"/>
          <w:szCs w:val="22"/>
        </w:rPr>
        <w:footnoteReference w:id="9"/>
      </w:r>
      <w:r>
        <w:rPr>
          <w:sz w:val="22"/>
          <w:szCs w:val="22"/>
        </w:rPr>
        <w:t xml:space="preserve">  </w:t>
      </w:r>
      <w:bookmarkEnd w:id="8"/>
    </w:p>
    <w:p w:rsidR="008D5559" w:rsidRPr="00ED2239" w:rsidP="009B587A" w14:paraId="21962F48" w14:textId="77777777">
      <w:pPr>
        <w:rPr>
          <w:sz w:val="22"/>
          <w:szCs w:val="22"/>
        </w:rPr>
      </w:pPr>
      <w:bookmarkEnd w:id="5"/>
      <w:bookmarkEnd w:id="9"/>
    </w:p>
    <w:p w:rsidR="00A12E6A" w:rsidP="00DD5130" w14:paraId="59A467F1" w14:textId="2268108A">
      <w:pPr>
        <w:spacing w:after="120"/>
        <w:rPr>
          <w:sz w:val="22"/>
          <w:szCs w:val="22"/>
        </w:rPr>
      </w:pPr>
      <w:r>
        <w:rPr>
          <w:sz w:val="22"/>
          <w:szCs w:val="22"/>
        </w:rPr>
        <w:tab/>
      </w:r>
      <w:r w:rsidRPr="009B4EF2" w:rsidR="008F5D13">
        <w:rPr>
          <w:sz w:val="22"/>
          <w:szCs w:val="22"/>
        </w:rPr>
        <w:t>Accordingly</w:t>
      </w:r>
      <w:r w:rsidRPr="009B4EF2" w:rsidR="00BA02BF">
        <w:rPr>
          <w:sz w:val="22"/>
          <w:szCs w:val="22"/>
        </w:rPr>
        <w:t xml:space="preserve">, </w:t>
      </w:r>
      <w:r w:rsidR="00FB15B2">
        <w:rPr>
          <w:sz w:val="22"/>
          <w:szCs w:val="22"/>
        </w:rPr>
        <w:t>in accordance with the Commission’s directive</w:t>
      </w:r>
      <w:r w:rsidR="009B48C9">
        <w:rPr>
          <w:sz w:val="22"/>
          <w:szCs w:val="22"/>
        </w:rPr>
        <w:t xml:space="preserve">, </w:t>
      </w:r>
      <w:r w:rsidRPr="009B4EF2" w:rsidR="009B48C9">
        <w:rPr>
          <w:sz w:val="22"/>
          <w:szCs w:val="22"/>
        </w:rPr>
        <w:t>the Bureau hereby seeks comment</w:t>
      </w:r>
      <w:r w:rsidR="00FF22BA">
        <w:rPr>
          <w:sz w:val="22"/>
          <w:szCs w:val="22"/>
        </w:rPr>
        <w:t xml:space="preserve"> on the following:</w:t>
      </w:r>
      <w:r w:rsidR="00E27F22">
        <w:rPr>
          <w:sz w:val="22"/>
          <w:szCs w:val="22"/>
        </w:rPr>
        <w:t xml:space="preserve"> </w:t>
      </w:r>
    </w:p>
    <w:p w:rsidR="00FB15B2" w:rsidRPr="00BA77ED" w:rsidP="008C6F9D" w14:paraId="27B3D306" w14:textId="3DEA7A56">
      <w:pPr>
        <w:pStyle w:val="ListParagraph"/>
        <w:numPr>
          <w:ilvl w:val="0"/>
          <w:numId w:val="37"/>
        </w:numPr>
        <w:spacing w:after="120"/>
        <w:rPr>
          <w:sz w:val="22"/>
          <w:szCs w:val="22"/>
        </w:rPr>
      </w:pPr>
      <w:bookmarkStart w:id="11" w:name="_Hlk510456158"/>
      <w:r>
        <w:rPr>
          <w:sz w:val="22"/>
          <w:szCs w:val="22"/>
        </w:rPr>
        <w:t xml:space="preserve">Is an extension of the initial license term (and associated build-out deadlines) warranted </w:t>
      </w:r>
      <w:r w:rsidR="00FF22BA">
        <w:rPr>
          <w:sz w:val="22"/>
          <w:szCs w:val="22"/>
        </w:rPr>
        <w:t xml:space="preserve">for </w:t>
      </w:r>
      <w:r w:rsidR="00127549">
        <w:rPr>
          <w:sz w:val="22"/>
          <w:szCs w:val="22"/>
        </w:rPr>
        <w:t xml:space="preserve">all </w:t>
      </w:r>
      <w:r w:rsidR="00FF22BA">
        <w:rPr>
          <w:sz w:val="22"/>
          <w:szCs w:val="22"/>
        </w:rPr>
        <w:t xml:space="preserve">AWS-3 licenses granted to date, </w:t>
      </w:r>
      <w:r>
        <w:rPr>
          <w:sz w:val="22"/>
          <w:szCs w:val="22"/>
        </w:rPr>
        <w:t xml:space="preserve">in light of the status of Federal government relocation?  </w:t>
      </w:r>
      <w:r>
        <w:rPr>
          <w:sz w:val="22"/>
          <w:szCs w:val="22"/>
        </w:rPr>
        <w:t xml:space="preserve">Alternatively, is an extension warranted only for </w:t>
      </w:r>
      <w:r w:rsidR="00A91905">
        <w:rPr>
          <w:sz w:val="22"/>
          <w:szCs w:val="22"/>
        </w:rPr>
        <w:t>the earliest</w:t>
      </w:r>
      <w:r w:rsidR="00B35B49">
        <w:rPr>
          <w:sz w:val="22"/>
          <w:szCs w:val="22"/>
        </w:rPr>
        <w:t>-</w:t>
      </w:r>
      <w:r w:rsidR="00A91905">
        <w:rPr>
          <w:sz w:val="22"/>
          <w:szCs w:val="22"/>
        </w:rPr>
        <w:t xml:space="preserve">issued licenses, </w:t>
      </w:r>
      <w:r w:rsidR="00575C75">
        <w:rPr>
          <w:sz w:val="22"/>
          <w:szCs w:val="22"/>
        </w:rPr>
        <w:t xml:space="preserve">such as those issued </w:t>
      </w:r>
      <w:r w:rsidR="00A91905">
        <w:rPr>
          <w:sz w:val="22"/>
          <w:szCs w:val="22"/>
        </w:rPr>
        <w:t xml:space="preserve">in 2015 </w:t>
      </w:r>
      <w:r w:rsidR="00575C75">
        <w:rPr>
          <w:sz w:val="22"/>
          <w:szCs w:val="22"/>
        </w:rPr>
        <w:t xml:space="preserve">and </w:t>
      </w:r>
      <w:r w:rsidR="00062E69">
        <w:rPr>
          <w:sz w:val="22"/>
          <w:szCs w:val="22"/>
        </w:rPr>
        <w:t>2016</w:t>
      </w:r>
      <w:r w:rsidRPr="00BA77ED">
        <w:rPr>
          <w:sz w:val="22"/>
          <w:szCs w:val="22"/>
        </w:rPr>
        <w:t>?</w:t>
      </w:r>
      <w:r>
        <w:rPr>
          <w:rStyle w:val="FootnoteReference"/>
          <w:sz w:val="22"/>
          <w:szCs w:val="22"/>
        </w:rPr>
        <w:footnoteReference w:id="10"/>
      </w:r>
    </w:p>
    <w:p w:rsidR="00A12E6A" w:rsidP="00597E81" w14:paraId="0A9C50A8" w14:textId="752FAE51">
      <w:pPr>
        <w:pStyle w:val="ListParagraph"/>
        <w:numPr>
          <w:ilvl w:val="0"/>
          <w:numId w:val="37"/>
        </w:numPr>
        <w:spacing w:after="120"/>
        <w:rPr>
          <w:sz w:val="22"/>
          <w:szCs w:val="22"/>
        </w:rPr>
      </w:pPr>
      <w:bookmarkEnd w:id="11"/>
      <w:r>
        <w:rPr>
          <w:sz w:val="22"/>
          <w:szCs w:val="22"/>
        </w:rPr>
        <w:t>If a blanket extension for all AWS-3 licenses is not appropriate, i</w:t>
      </w:r>
      <w:r>
        <w:rPr>
          <w:sz w:val="22"/>
          <w:szCs w:val="22"/>
        </w:rPr>
        <w:t xml:space="preserve">s an extension warranted for AWS-3 licenses </w:t>
      </w:r>
      <w:r w:rsidR="003D1F84">
        <w:rPr>
          <w:sz w:val="22"/>
          <w:szCs w:val="22"/>
        </w:rPr>
        <w:t>in</w:t>
      </w:r>
      <w:r>
        <w:rPr>
          <w:sz w:val="22"/>
          <w:szCs w:val="22"/>
        </w:rPr>
        <w:t xml:space="preserve"> specific geographical area</w:t>
      </w:r>
      <w:r w:rsidR="00025F7F">
        <w:rPr>
          <w:sz w:val="22"/>
          <w:szCs w:val="22"/>
        </w:rPr>
        <w:t>(s)</w:t>
      </w:r>
      <w:r>
        <w:rPr>
          <w:sz w:val="22"/>
          <w:szCs w:val="22"/>
        </w:rPr>
        <w:t xml:space="preserve"> </w:t>
      </w:r>
      <w:r w:rsidR="00025F7F">
        <w:rPr>
          <w:sz w:val="22"/>
          <w:szCs w:val="22"/>
        </w:rPr>
        <w:t xml:space="preserve">or </w:t>
      </w:r>
      <w:r w:rsidR="009B48C9">
        <w:rPr>
          <w:sz w:val="22"/>
          <w:szCs w:val="22"/>
        </w:rPr>
        <w:t xml:space="preserve">spectrum </w:t>
      </w:r>
      <w:r>
        <w:rPr>
          <w:sz w:val="22"/>
          <w:szCs w:val="22"/>
        </w:rPr>
        <w:t>band</w:t>
      </w:r>
      <w:r w:rsidR="00025F7F">
        <w:rPr>
          <w:sz w:val="22"/>
          <w:szCs w:val="22"/>
        </w:rPr>
        <w:t>(s)</w:t>
      </w:r>
      <w:r>
        <w:rPr>
          <w:sz w:val="22"/>
          <w:szCs w:val="22"/>
        </w:rPr>
        <w:t xml:space="preserve"> (1695-1710 MHz or 1755-1780 MHz or specific blocks therein</w:t>
      </w:r>
      <w:r w:rsidR="00025F7F">
        <w:rPr>
          <w:sz w:val="22"/>
          <w:szCs w:val="22"/>
        </w:rPr>
        <w:t>)</w:t>
      </w:r>
      <w:r>
        <w:rPr>
          <w:sz w:val="22"/>
          <w:szCs w:val="22"/>
        </w:rPr>
        <w:t xml:space="preserve"> </w:t>
      </w:r>
      <w:r w:rsidR="00597E81">
        <w:rPr>
          <w:sz w:val="22"/>
          <w:szCs w:val="22"/>
        </w:rPr>
        <w:t xml:space="preserve">in light of the </w:t>
      </w:r>
      <w:r>
        <w:rPr>
          <w:sz w:val="22"/>
          <w:szCs w:val="22"/>
        </w:rPr>
        <w:t>status of Federal relocation?</w:t>
      </w:r>
      <w:r w:rsidR="006A5D23">
        <w:rPr>
          <w:sz w:val="22"/>
          <w:szCs w:val="22"/>
        </w:rPr>
        <w:t xml:space="preserve">  </w:t>
      </w:r>
    </w:p>
    <w:p w:rsidR="00FB15B2" w:rsidP="00CA3F04" w14:paraId="75472791" w14:textId="60578A7B">
      <w:pPr>
        <w:pStyle w:val="ListParagraph"/>
        <w:numPr>
          <w:ilvl w:val="0"/>
          <w:numId w:val="37"/>
        </w:numPr>
        <w:rPr>
          <w:sz w:val="22"/>
          <w:szCs w:val="22"/>
        </w:rPr>
      </w:pPr>
      <w:r w:rsidRPr="003D1F84">
        <w:rPr>
          <w:sz w:val="22"/>
          <w:szCs w:val="22"/>
        </w:rPr>
        <w:t xml:space="preserve">If </w:t>
      </w:r>
      <w:r w:rsidRPr="003D1F84" w:rsidR="006A5D23">
        <w:rPr>
          <w:sz w:val="22"/>
          <w:szCs w:val="22"/>
        </w:rPr>
        <w:t xml:space="preserve">an extension </w:t>
      </w:r>
      <w:r w:rsidR="002E0C31">
        <w:rPr>
          <w:sz w:val="22"/>
          <w:szCs w:val="22"/>
        </w:rPr>
        <w:t xml:space="preserve">is </w:t>
      </w:r>
      <w:r w:rsidRPr="003D1F84" w:rsidR="006A5D23">
        <w:rPr>
          <w:sz w:val="22"/>
          <w:szCs w:val="22"/>
        </w:rPr>
        <w:t>warranted</w:t>
      </w:r>
      <w:r w:rsidRPr="003D1F84">
        <w:rPr>
          <w:sz w:val="22"/>
          <w:szCs w:val="22"/>
        </w:rPr>
        <w:t xml:space="preserve">, how long </w:t>
      </w:r>
      <w:r w:rsidR="00956346">
        <w:rPr>
          <w:sz w:val="22"/>
          <w:szCs w:val="22"/>
        </w:rPr>
        <w:t>should it be</w:t>
      </w:r>
      <w:r w:rsidRPr="00D01159">
        <w:rPr>
          <w:sz w:val="22"/>
          <w:szCs w:val="22"/>
        </w:rPr>
        <w:t xml:space="preserve">?  </w:t>
      </w:r>
      <w:bookmarkStart w:id="12" w:name="_Hlk507663309"/>
      <w:r w:rsidR="00D01159">
        <w:rPr>
          <w:sz w:val="22"/>
          <w:szCs w:val="22"/>
        </w:rPr>
        <w:t xml:space="preserve">Commenters should bear in mind the Commission’s </w:t>
      </w:r>
      <w:r w:rsidR="009B48C9">
        <w:rPr>
          <w:sz w:val="22"/>
          <w:szCs w:val="22"/>
        </w:rPr>
        <w:t xml:space="preserve">previous </w:t>
      </w:r>
      <w:r w:rsidR="00D01159">
        <w:rPr>
          <w:sz w:val="22"/>
          <w:szCs w:val="22"/>
        </w:rPr>
        <w:t>indication that it would consider extensions up to 3 years, if appropriate.</w:t>
      </w:r>
    </w:p>
    <w:p w:rsidR="00A12E6A" w:rsidRPr="00ED2239" w:rsidP="00CA3F04" w14:paraId="7C83CEE9" w14:textId="77777777">
      <w:pPr>
        <w:pStyle w:val="ListParagraph"/>
        <w:rPr>
          <w:sz w:val="22"/>
          <w:szCs w:val="22"/>
        </w:rPr>
      </w:pPr>
      <w:bookmarkEnd w:id="12"/>
    </w:p>
    <w:p w:rsidR="0089185E" w:rsidRPr="00CC406E" w:rsidP="00CC406E" w14:paraId="53F6D566" w14:textId="6E644104">
      <w:pPr>
        <w:ind w:firstLine="720"/>
        <w:rPr>
          <w:sz w:val="22"/>
          <w:szCs w:val="22"/>
        </w:rPr>
      </w:pPr>
      <w:r w:rsidRPr="00CC406E">
        <w:rPr>
          <w:sz w:val="22"/>
          <w:szCs w:val="22"/>
        </w:rPr>
        <w:t>The comments</w:t>
      </w:r>
      <w:r w:rsidR="00956346">
        <w:rPr>
          <w:sz w:val="22"/>
          <w:szCs w:val="22"/>
        </w:rPr>
        <w:t xml:space="preserve"> </w:t>
      </w:r>
      <w:r w:rsidRPr="00CC406E">
        <w:rPr>
          <w:sz w:val="22"/>
          <w:szCs w:val="22"/>
        </w:rPr>
        <w:t>receive</w:t>
      </w:r>
      <w:r w:rsidR="00956346">
        <w:rPr>
          <w:sz w:val="22"/>
          <w:szCs w:val="22"/>
        </w:rPr>
        <w:t>d</w:t>
      </w:r>
      <w:r w:rsidRPr="00CC406E">
        <w:rPr>
          <w:sz w:val="22"/>
          <w:szCs w:val="22"/>
        </w:rPr>
        <w:t xml:space="preserve"> in response to this </w:t>
      </w:r>
      <w:r w:rsidRPr="00CC406E">
        <w:rPr>
          <w:i/>
          <w:sz w:val="22"/>
          <w:szCs w:val="22"/>
        </w:rPr>
        <w:t>Public Notice</w:t>
      </w:r>
      <w:r w:rsidRPr="00CC406E">
        <w:rPr>
          <w:sz w:val="22"/>
          <w:szCs w:val="22"/>
        </w:rPr>
        <w:t xml:space="preserve"> will inform </w:t>
      </w:r>
      <w:r w:rsidR="00FF22BA">
        <w:rPr>
          <w:sz w:val="22"/>
          <w:szCs w:val="22"/>
        </w:rPr>
        <w:t xml:space="preserve">the Bureau’s recommendation to the Commission </w:t>
      </w:r>
      <w:r w:rsidR="00EA3A98">
        <w:rPr>
          <w:sz w:val="22"/>
          <w:szCs w:val="22"/>
        </w:rPr>
        <w:t>about whe</w:t>
      </w:r>
      <w:r w:rsidR="00956346">
        <w:rPr>
          <w:sz w:val="22"/>
          <w:szCs w:val="22"/>
        </w:rPr>
        <w:t>t</w:t>
      </w:r>
      <w:r w:rsidR="00EA3A98">
        <w:rPr>
          <w:sz w:val="22"/>
          <w:szCs w:val="22"/>
        </w:rPr>
        <w:t>her an extension of the initial license term (and associated build-out deadlines) by up to 3 years is warranted in light of the status of Federal government relocation from the 1695-1710 MHz and 1755-1780 MHz bands</w:t>
      </w:r>
      <w:r w:rsidRPr="00CC406E">
        <w:rPr>
          <w:sz w:val="22"/>
          <w:szCs w:val="22"/>
        </w:rPr>
        <w:t>.</w:t>
      </w:r>
      <w:r>
        <w:rPr>
          <w:rStyle w:val="FootnoteReference"/>
          <w:sz w:val="22"/>
          <w:szCs w:val="22"/>
        </w:rPr>
        <w:footnoteReference w:id="11"/>
      </w:r>
      <w:r w:rsidR="00EA3A98">
        <w:rPr>
          <w:sz w:val="22"/>
          <w:szCs w:val="22"/>
        </w:rPr>
        <w:t xml:space="preserve">  </w:t>
      </w:r>
    </w:p>
    <w:p w:rsidR="0089185E" w:rsidRPr="00ED2239" w:rsidP="0089185E" w14:paraId="3F6589BD" w14:textId="77777777">
      <w:pPr>
        <w:ind w:firstLine="720"/>
        <w:rPr>
          <w:sz w:val="22"/>
          <w:szCs w:val="22"/>
        </w:rPr>
      </w:pPr>
    </w:p>
    <w:p w:rsidR="00BB39C9" w:rsidRPr="009B4EF2" w:rsidP="00BB39C9" w14:paraId="3561EFC7" w14:textId="77777777">
      <w:pPr>
        <w:rPr>
          <w:b/>
          <w:sz w:val="22"/>
          <w:szCs w:val="22"/>
        </w:rPr>
      </w:pPr>
      <w:r w:rsidRPr="009B4EF2">
        <w:rPr>
          <w:b/>
          <w:sz w:val="22"/>
          <w:szCs w:val="22"/>
        </w:rPr>
        <w:t>Procedural Matters</w:t>
      </w:r>
    </w:p>
    <w:p w:rsidR="00BB39C9" w:rsidRPr="00ED2239" w:rsidP="00BB39C9" w14:paraId="09387026" w14:textId="77777777">
      <w:pPr>
        <w:ind w:firstLine="720"/>
        <w:rPr>
          <w:sz w:val="22"/>
          <w:szCs w:val="22"/>
        </w:rPr>
      </w:pPr>
    </w:p>
    <w:p w:rsidR="00BB39C9" w:rsidRPr="009B4EF2" w:rsidP="00DD5130" w14:paraId="2667BE70" w14:textId="38FEEEF7">
      <w:pPr>
        <w:spacing w:after="200"/>
        <w:ind w:firstLine="720"/>
        <w:rPr>
          <w:sz w:val="22"/>
          <w:szCs w:val="22"/>
        </w:rPr>
      </w:pPr>
      <w:r w:rsidRPr="009B4EF2">
        <w:rPr>
          <w:sz w:val="22"/>
          <w:szCs w:val="22"/>
        </w:rPr>
        <w:t>Pursuant to sections 1.415 and 1.419 of the Commission’s rules,</w:t>
      </w:r>
      <w:r>
        <w:rPr>
          <w:rStyle w:val="FootnoteReference"/>
          <w:sz w:val="22"/>
          <w:szCs w:val="22"/>
        </w:rPr>
        <w:footnoteReference w:id="12"/>
      </w:r>
      <w:r w:rsidRPr="009B4EF2">
        <w:rPr>
          <w:sz w:val="22"/>
          <w:szCs w:val="22"/>
        </w:rPr>
        <w:t xml:space="preserve"> interested parties may file comments and reply comments on or before the dates indicated on the first page of this document.  Comments may be filed using the Commission’s Ele</w:t>
      </w:r>
      <w:r w:rsidRPr="009B4EF2" w:rsidR="00230B4B">
        <w:rPr>
          <w:sz w:val="22"/>
          <w:szCs w:val="22"/>
        </w:rPr>
        <w:t>ctronic Comment Filing System (ECFS</w:t>
      </w:r>
      <w:r w:rsidRPr="009B4EF2">
        <w:rPr>
          <w:sz w:val="22"/>
          <w:szCs w:val="22"/>
        </w:rPr>
        <w:t>).</w:t>
      </w:r>
      <w:r>
        <w:rPr>
          <w:rStyle w:val="FootnoteReference"/>
          <w:sz w:val="22"/>
          <w:szCs w:val="22"/>
        </w:rPr>
        <w:footnoteReference w:id="13"/>
      </w:r>
      <w:r w:rsidRPr="009B4EF2">
        <w:rPr>
          <w:sz w:val="22"/>
          <w:szCs w:val="22"/>
        </w:rPr>
        <w:t xml:space="preserve">  </w:t>
      </w:r>
      <w:r w:rsidRPr="009B4EF2" w:rsidR="00230B4B">
        <w:rPr>
          <w:color w:val="000000"/>
          <w:sz w:val="22"/>
          <w:szCs w:val="22"/>
        </w:rPr>
        <w:t xml:space="preserve">When filing comments, please reference </w:t>
      </w:r>
      <w:r w:rsidR="00EA3A98">
        <w:rPr>
          <w:color w:val="000000"/>
          <w:sz w:val="22"/>
          <w:szCs w:val="22"/>
        </w:rPr>
        <w:t xml:space="preserve">the docket number </w:t>
      </w:r>
      <w:r w:rsidR="000B11EC">
        <w:rPr>
          <w:color w:val="000000"/>
          <w:sz w:val="22"/>
          <w:szCs w:val="22"/>
        </w:rPr>
        <w:t xml:space="preserve">near the top of the </w:t>
      </w:r>
      <w:r w:rsidR="00EA3A98">
        <w:rPr>
          <w:color w:val="000000"/>
          <w:sz w:val="22"/>
          <w:szCs w:val="22"/>
        </w:rPr>
        <w:t xml:space="preserve">first page of this public notice.  </w:t>
      </w:r>
    </w:p>
    <w:p w:rsidR="00230B4B" w:rsidRPr="009B4EF2" w:rsidP="00EE5C3F" w14:paraId="75019EB5" w14:textId="0E176A8C">
      <w:pPr>
        <w:numPr>
          <w:ilvl w:val="0"/>
          <w:numId w:val="23"/>
        </w:numPr>
        <w:spacing w:after="120"/>
        <w:rPr>
          <w:sz w:val="22"/>
          <w:szCs w:val="22"/>
        </w:rPr>
      </w:pPr>
      <w:r w:rsidRPr="00BB078A">
        <w:rPr>
          <w:i/>
          <w:sz w:val="22"/>
          <w:szCs w:val="22"/>
        </w:rPr>
        <w:t>Electronic Filers</w:t>
      </w:r>
      <w:r w:rsidRPr="009B4EF2">
        <w:rPr>
          <w:sz w:val="22"/>
          <w:szCs w:val="22"/>
        </w:rPr>
        <w:t xml:space="preserve">:  Comments may be filed electronically using the Internet by accessing the ECFS: </w:t>
      </w:r>
      <w:r w:rsidR="00BB078A">
        <w:rPr>
          <w:sz w:val="22"/>
          <w:szCs w:val="22"/>
        </w:rPr>
        <w:t xml:space="preserve"> </w:t>
      </w:r>
      <w:r>
        <w:fldChar w:fldCharType="begin"/>
      </w:r>
      <w:r>
        <w:instrText xml:space="preserve"> HYPERLINK "https://www.fcc.gov/ecfs/filings" </w:instrText>
      </w:r>
      <w:r>
        <w:fldChar w:fldCharType="separate"/>
      </w:r>
      <w:r w:rsidRPr="00482269" w:rsidR="00BB078A">
        <w:rPr>
          <w:rStyle w:val="Hyperlink"/>
          <w:sz w:val="22"/>
          <w:szCs w:val="22"/>
        </w:rPr>
        <w:t>https://www.fcc.gov/ecfs/filings</w:t>
      </w:r>
      <w:r>
        <w:fldChar w:fldCharType="end"/>
      </w:r>
      <w:r w:rsidR="00F10DB6">
        <w:rPr>
          <w:sz w:val="22"/>
          <w:szCs w:val="22"/>
        </w:rPr>
        <w:t xml:space="preserve">.  </w:t>
      </w:r>
      <w:r w:rsidR="00BB078A">
        <w:rPr>
          <w:sz w:val="22"/>
          <w:szCs w:val="22"/>
        </w:rPr>
        <w:t xml:space="preserve"> </w:t>
      </w:r>
    </w:p>
    <w:p w:rsidR="00230B4B" w:rsidRPr="009B4EF2" w:rsidP="00EE5C3F" w14:paraId="5F3E5A44" w14:textId="3D542B4D">
      <w:pPr>
        <w:numPr>
          <w:ilvl w:val="0"/>
          <w:numId w:val="23"/>
        </w:numPr>
        <w:spacing w:after="120"/>
        <w:rPr>
          <w:sz w:val="22"/>
          <w:szCs w:val="22"/>
        </w:rPr>
      </w:pPr>
      <w:r w:rsidRPr="00BB078A">
        <w:rPr>
          <w:i/>
          <w:sz w:val="22"/>
          <w:szCs w:val="22"/>
        </w:rPr>
        <w:t>Paper Filers</w:t>
      </w:r>
      <w:r w:rsidRPr="009B4EF2">
        <w:rPr>
          <w:sz w:val="22"/>
          <w:szCs w:val="22"/>
        </w:rPr>
        <w:t>:  Parties who choose to file by paper must file an origina</w:t>
      </w:r>
      <w:r w:rsidRPr="009B4EF2" w:rsidR="004C1B11">
        <w:rPr>
          <w:sz w:val="22"/>
          <w:szCs w:val="22"/>
        </w:rPr>
        <w:t xml:space="preserve">l and one copy of each filing. </w:t>
      </w:r>
      <w:r w:rsidR="00BB078A">
        <w:rPr>
          <w:sz w:val="22"/>
          <w:szCs w:val="22"/>
        </w:rPr>
        <w:t xml:space="preserve"> </w:t>
      </w:r>
      <w:r w:rsidRPr="00BB078A" w:rsidR="00BB078A">
        <w:rPr>
          <w:sz w:val="22"/>
          <w:szCs w:val="22"/>
        </w:rPr>
        <w:t>If more than one docket or rulemaking number appears in the captions of this proceeding, filers must submit two additional copies for each additional docket or rulemaking number.</w:t>
      </w:r>
    </w:p>
    <w:p w:rsidR="00BB39C9" w:rsidRPr="009B4EF2" w:rsidP="00EE5C3F" w14:paraId="57D56A77" w14:textId="3E922371">
      <w:pPr>
        <w:numPr>
          <w:ilvl w:val="0"/>
          <w:numId w:val="29"/>
        </w:numPr>
        <w:spacing w:after="120"/>
        <w:rPr>
          <w:sz w:val="22"/>
          <w:szCs w:val="22"/>
        </w:rPr>
      </w:pPr>
      <w:r w:rsidRPr="009B4EF2">
        <w:rPr>
          <w:sz w:val="22"/>
          <w:szCs w:val="22"/>
        </w:rPr>
        <w:t xml:space="preserve">Filings </w:t>
      </w:r>
      <w:r w:rsidR="00BB078A">
        <w:rPr>
          <w:sz w:val="22"/>
          <w:szCs w:val="22"/>
        </w:rPr>
        <w:t xml:space="preserve">in response to this Public Notice </w:t>
      </w:r>
      <w:r w:rsidRPr="009B4EF2">
        <w:rPr>
          <w:sz w:val="22"/>
          <w:szCs w:val="22"/>
        </w:rPr>
        <w:t>can be sent by hand or messenger delivery, by commercial overnight courier, or by first-class or overnight U.S. Postal Service mail.  All filings must be addressed to the Commission’s Secretary, Office of the Secretary, Federal Communications Commission.</w:t>
      </w:r>
    </w:p>
    <w:p w:rsidR="00BB39C9" w:rsidRPr="009B4EF2" w:rsidP="00EE5C3F" w14:paraId="1F129070" w14:textId="64CB41C8">
      <w:pPr>
        <w:numPr>
          <w:ilvl w:val="0"/>
          <w:numId w:val="29"/>
        </w:numPr>
        <w:spacing w:after="120"/>
        <w:rPr>
          <w:sz w:val="22"/>
          <w:szCs w:val="22"/>
        </w:rPr>
      </w:pPr>
      <w:r w:rsidRPr="009B4EF2">
        <w:rPr>
          <w:sz w:val="22"/>
          <w:szCs w:val="22"/>
        </w:rPr>
        <w:t>All hand-delivered or messenger-delivered paper filings for the Commission’s Secretary must be delivered to FCC Headquarters at 445 12</w:t>
      </w:r>
      <w:r w:rsidRPr="009B4EF2">
        <w:rPr>
          <w:sz w:val="22"/>
          <w:szCs w:val="22"/>
          <w:vertAlign w:val="superscript"/>
        </w:rPr>
        <w:t>th</w:t>
      </w:r>
      <w:r w:rsidRPr="009B4EF2">
        <w:rPr>
          <w:sz w:val="22"/>
          <w:szCs w:val="22"/>
        </w:rPr>
        <w:t xml:space="preserve"> St., SW, Room TW-A325, Washington, DC 20554.  The filing hours are 8:00 a.m. to 7:00 p.m.</w:t>
      </w:r>
      <w:r w:rsidR="00F10DB6">
        <w:rPr>
          <w:sz w:val="22"/>
          <w:szCs w:val="22"/>
        </w:rPr>
        <w:t xml:space="preserve"> Eastern Time.  </w:t>
      </w:r>
      <w:r w:rsidRPr="009B4EF2">
        <w:rPr>
          <w:sz w:val="22"/>
          <w:szCs w:val="22"/>
        </w:rPr>
        <w:t xml:space="preserve">All hand deliveries must be held together with rubber bands or fasteners.  Any envelopes and boxes must be disposed of </w:t>
      </w:r>
      <w:r w:rsidRPr="009B4EF2">
        <w:rPr>
          <w:sz w:val="22"/>
          <w:szCs w:val="22"/>
          <w:u w:val="single"/>
        </w:rPr>
        <w:t>before</w:t>
      </w:r>
      <w:r w:rsidRPr="009B4EF2">
        <w:rPr>
          <w:sz w:val="22"/>
          <w:szCs w:val="22"/>
        </w:rPr>
        <w:t xml:space="preserve"> entering the building.  </w:t>
      </w:r>
    </w:p>
    <w:p w:rsidR="00BB39C9" w:rsidRPr="009B4EF2" w:rsidP="00EE5C3F" w14:paraId="610E222B" w14:textId="551716C0">
      <w:pPr>
        <w:numPr>
          <w:ilvl w:val="0"/>
          <w:numId w:val="29"/>
        </w:numPr>
        <w:spacing w:after="120"/>
        <w:rPr>
          <w:sz w:val="22"/>
          <w:szCs w:val="22"/>
        </w:rPr>
      </w:pPr>
      <w:r w:rsidRPr="00F10DB6">
        <w:rPr>
          <w:i/>
          <w:sz w:val="22"/>
          <w:szCs w:val="22"/>
        </w:rPr>
        <w:t>Commercial</w:t>
      </w:r>
      <w:r w:rsidRPr="009B4EF2">
        <w:rPr>
          <w:sz w:val="22"/>
          <w:szCs w:val="22"/>
        </w:rPr>
        <w:t xml:space="preserve"> overnight mail (other than U.S. Postal Service Express Mail and Priority Mail) must be sent to </w:t>
      </w:r>
      <w:r w:rsidRPr="00F10DB6" w:rsidR="00F10DB6">
        <w:rPr>
          <w:sz w:val="22"/>
          <w:szCs w:val="22"/>
        </w:rPr>
        <w:t>9050 Junction Drive, Annapolis Junction, MD 20701.</w:t>
      </w:r>
      <w:r w:rsidR="00F10DB6">
        <w:rPr>
          <w:sz w:val="22"/>
          <w:szCs w:val="22"/>
        </w:rPr>
        <w:t xml:space="preserve">  </w:t>
      </w:r>
    </w:p>
    <w:p w:rsidR="00BB39C9" w:rsidRPr="009B4EF2" w:rsidP="00BB39C9" w14:paraId="4FEE2C1B" w14:textId="77777777">
      <w:pPr>
        <w:numPr>
          <w:ilvl w:val="0"/>
          <w:numId w:val="29"/>
        </w:numPr>
        <w:rPr>
          <w:sz w:val="22"/>
          <w:szCs w:val="22"/>
        </w:rPr>
      </w:pPr>
      <w:r w:rsidRPr="00F10DB6">
        <w:rPr>
          <w:i/>
          <w:sz w:val="22"/>
          <w:szCs w:val="22"/>
        </w:rPr>
        <w:t>U.S. Postal Service</w:t>
      </w:r>
      <w:r w:rsidRPr="009B4EF2">
        <w:rPr>
          <w:sz w:val="22"/>
          <w:szCs w:val="22"/>
        </w:rPr>
        <w:t xml:space="preserve"> first-class, Express, and Priority mail must be addressed to 445 12</w:t>
      </w:r>
      <w:r w:rsidRPr="009B4EF2">
        <w:rPr>
          <w:sz w:val="22"/>
          <w:szCs w:val="22"/>
          <w:vertAlign w:val="superscript"/>
        </w:rPr>
        <w:t>th</w:t>
      </w:r>
      <w:r w:rsidRPr="009B4EF2">
        <w:rPr>
          <w:sz w:val="22"/>
          <w:szCs w:val="22"/>
        </w:rPr>
        <w:t xml:space="preserve"> Street, SW, Washington DC  20554.</w:t>
      </w:r>
    </w:p>
    <w:p w:rsidR="00BB39C9" w:rsidRPr="00ED2239" w:rsidP="00BB39C9" w14:paraId="7F1EF3ED" w14:textId="77777777">
      <w:pPr>
        <w:rPr>
          <w:sz w:val="22"/>
          <w:szCs w:val="22"/>
        </w:rPr>
      </w:pPr>
    </w:p>
    <w:p w:rsidR="00BB39C9" w:rsidRPr="009B4EF2" w:rsidP="00BB39C9" w14:paraId="6180CF6B" w14:textId="20C43C02">
      <w:pPr>
        <w:ind w:firstLine="720"/>
        <w:rPr>
          <w:sz w:val="22"/>
          <w:szCs w:val="22"/>
        </w:rPr>
      </w:pPr>
      <w:r w:rsidRPr="00F10DB6">
        <w:rPr>
          <w:i/>
          <w:sz w:val="22"/>
          <w:szCs w:val="22"/>
        </w:rPr>
        <w:t>People with Disabilities</w:t>
      </w:r>
      <w:r w:rsidRPr="009B4EF2">
        <w:rPr>
          <w:sz w:val="22"/>
          <w:szCs w:val="22"/>
        </w:rPr>
        <w:t xml:space="preserve">: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B4EF2">
        <w:rPr>
          <w:color w:val="0000FF"/>
          <w:sz w:val="22"/>
          <w:szCs w:val="22"/>
          <w:u w:val="single"/>
        </w:rPr>
        <w:t>fcc504@fcc.gov</w:t>
      </w:r>
      <w:r>
        <w:fldChar w:fldCharType="end"/>
      </w:r>
      <w:r w:rsidRPr="009B4EF2">
        <w:rPr>
          <w:sz w:val="22"/>
          <w:szCs w:val="22"/>
        </w:rPr>
        <w:t xml:space="preserve"> or call the Consumer &amp; Governmental Affairs Bureau at 202-418-0530 (voice), 202-418-0432 (</w:t>
      </w:r>
      <w:r w:rsidR="00F10DB6">
        <w:rPr>
          <w:sz w:val="22"/>
          <w:szCs w:val="22"/>
        </w:rPr>
        <w:t>TTY</w:t>
      </w:r>
      <w:r w:rsidRPr="009B4EF2">
        <w:rPr>
          <w:sz w:val="22"/>
          <w:szCs w:val="22"/>
        </w:rPr>
        <w:t>).</w:t>
      </w:r>
      <w:r w:rsidR="00F10DB6">
        <w:rPr>
          <w:sz w:val="22"/>
          <w:szCs w:val="22"/>
        </w:rPr>
        <w:t xml:space="preserve">  </w:t>
      </w:r>
    </w:p>
    <w:p w:rsidR="00BB39C9" w:rsidRPr="00ED2239" w:rsidP="00BB39C9" w14:paraId="25A233AF" w14:textId="77777777">
      <w:pPr>
        <w:rPr>
          <w:sz w:val="22"/>
          <w:szCs w:val="22"/>
        </w:rPr>
      </w:pPr>
    </w:p>
    <w:p w:rsidR="00BB39C9" w:rsidRPr="009B4EF2" w:rsidP="00BB39C9" w14:paraId="5AA5850F" w14:textId="77777777">
      <w:pPr>
        <w:ind w:firstLine="720"/>
        <w:rPr>
          <w:sz w:val="22"/>
          <w:szCs w:val="22"/>
        </w:rPr>
      </w:pPr>
      <w:r w:rsidRPr="009B4EF2">
        <w:rPr>
          <w:sz w:val="22"/>
          <w:szCs w:val="22"/>
        </w:rPr>
        <w:t xml:space="preserve">This proceeding has been designated as a “permit-but-disclose” proceeding in accordance with the Commission's </w:t>
      </w:r>
      <w:r w:rsidRPr="009B4EF2">
        <w:rPr>
          <w:i/>
          <w:sz w:val="22"/>
          <w:szCs w:val="22"/>
        </w:rPr>
        <w:t>ex parte</w:t>
      </w:r>
      <w:r w:rsidRPr="009B4EF2">
        <w:rPr>
          <w:sz w:val="22"/>
          <w:szCs w:val="22"/>
        </w:rPr>
        <w:t xml:space="preserve"> rules.</w:t>
      </w:r>
      <w:r>
        <w:rPr>
          <w:sz w:val="22"/>
          <w:szCs w:val="22"/>
          <w:vertAlign w:val="superscript"/>
        </w:rPr>
        <w:footnoteReference w:id="14"/>
      </w:r>
      <w:r w:rsidRPr="009B4EF2">
        <w:rPr>
          <w:sz w:val="22"/>
          <w:szCs w:val="22"/>
        </w:rPr>
        <w:t xml:space="preserve">  Persons making </w:t>
      </w:r>
      <w:r w:rsidRPr="009B4EF2">
        <w:rPr>
          <w:i/>
          <w:sz w:val="22"/>
          <w:szCs w:val="22"/>
        </w:rPr>
        <w:t xml:space="preserve">ex parte </w:t>
      </w:r>
      <w:r w:rsidRPr="009B4EF2">
        <w:rPr>
          <w:sz w:val="22"/>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9B4EF2">
        <w:rPr>
          <w:i/>
          <w:iCs/>
          <w:sz w:val="22"/>
          <w:szCs w:val="22"/>
        </w:rPr>
        <w:t xml:space="preserve">ex parte </w:t>
      </w:r>
      <w:r w:rsidRPr="009B4EF2">
        <w:rPr>
          <w:sz w:val="22"/>
          <w:szCs w:val="22"/>
        </w:rPr>
        <w:t xml:space="preserve">presentations are reminded that memoranda summarizing the presentation must (1) list all persons attending or otherwise participating in the meeting at which the </w:t>
      </w:r>
      <w:r w:rsidRPr="009B4EF2">
        <w:rPr>
          <w:i/>
          <w:iCs/>
          <w:sz w:val="22"/>
          <w:szCs w:val="22"/>
        </w:rPr>
        <w:t xml:space="preserve">ex parte </w:t>
      </w:r>
      <w:r w:rsidRPr="009B4EF2">
        <w:rPr>
          <w:sz w:val="22"/>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9B4EF2">
        <w:rPr>
          <w:i/>
          <w:iCs/>
          <w:sz w:val="22"/>
          <w:szCs w:val="22"/>
        </w:rPr>
        <w:t xml:space="preserve">ex parte </w:t>
      </w:r>
      <w:r w:rsidRPr="009B4EF2">
        <w:rPr>
          <w:sz w:val="22"/>
          <w:szCs w:val="22"/>
        </w:rPr>
        <w:t xml:space="preserve">meetings are deemed to be written </w:t>
      </w:r>
      <w:r w:rsidRPr="009B4EF2">
        <w:rPr>
          <w:i/>
          <w:iCs/>
          <w:sz w:val="22"/>
          <w:szCs w:val="22"/>
        </w:rPr>
        <w:t>ex parte</w:t>
      </w:r>
      <w:r w:rsidRPr="009B4EF2">
        <w:rPr>
          <w:sz w:val="22"/>
          <w:szCs w:val="22"/>
        </w:rPr>
        <w:t xml:space="preserve"> presentations and must be filed consistent with rule 1.1206(b).  </w:t>
      </w:r>
    </w:p>
    <w:p w:rsidR="00BB39C9" w:rsidRPr="00ED2239" w:rsidP="00BB39C9" w14:paraId="1AEE6B0A" w14:textId="77777777">
      <w:pPr>
        <w:ind w:firstLine="720"/>
        <w:rPr>
          <w:sz w:val="22"/>
          <w:szCs w:val="22"/>
        </w:rPr>
      </w:pPr>
    </w:p>
    <w:p w:rsidR="00C36CF1" w:rsidRPr="009B4EF2" w:rsidP="00BB39C9" w14:paraId="478D2943" w14:textId="1DD182AF">
      <w:pPr>
        <w:ind w:firstLine="720"/>
        <w:rPr>
          <w:sz w:val="22"/>
          <w:szCs w:val="22"/>
        </w:rPr>
      </w:pPr>
      <w:r w:rsidRPr="009B4EF2">
        <w:rPr>
          <w:sz w:val="22"/>
          <w:szCs w:val="22"/>
        </w:rPr>
        <w:t>In proceedings governed by rule 1.49(f)</w:t>
      </w:r>
      <w:r>
        <w:rPr>
          <w:rStyle w:val="FootnoteReference"/>
          <w:sz w:val="22"/>
          <w:szCs w:val="22"/>
        </w:rPr>
        <w:footnoteReference w:id="15"/>
      </w:r>
      <w:r w:rsidRPr="009B4EF2">
        <w:rPr>
          <w:sz w:val="22"/>
          <w:szCs w:val="22"/>
        </w:rPr>
        <w:t xml:space="preserve"> or for which the Commission has made available a method of electronic filing, written </w:t>
      </w:r>
      <w:r w:rsidRPr="009B4EF2">
        <w:rPr>
          <w:i/>
          <w:iCs/>
          <w:sz w:val="22"/>
          <w:szCs w:val="22"/>
        </w:rPr>
        <w:t xml:space="preserve">ex parte </w:t>
      </w:r>
      <w:r w:rsidRPr="009B4EF2">
        <w:rPr>
          <w:sz w:val="22"/>
          <w:szCs w:val="22"/>
        </w:rPr>
        <w:t xml:space="preserve">presentations and memoranda summarizing oral </w:t>
      </w:r>
      <w:r w:rsidRPr="009B4EF2">
        <w:rPr>
          <w:i/>
          <w:iCs/>
          <w:sz w:val="22"/>
          <w:szCs w:val="22"/>
        </w:rPr>
        <w:t xml:space="preserve">ex parte </w:t>
      </w:r>
      <w:r w:rsidRPr="009B4EF2">
        <w:rPr>
          <w:sz w:val="22"/>
          <w:szCs w:val="22"/>
        </w:rPr>
        <w:t>presentations, and all attachments thereto, must be filed through the electronic comment filing system available for that proceeding, and must be filed in their native format (</w:t>
      </w:r>
      <w:r w:rsidRPr="009B4EF2">
        <w:rPr>
          <w:i/>
          <w:iCs/>
          <w:sz w:val="22"/>
          <w:szCs w:val="22"/>
        </w:rPr>
        <w:t>e.g.</w:t>
      </w:r>
      <w:r w:rsidRPr="009B4EF2">
        <w:rPr>
          <w:sz w:val="22"/>
          <w:szCs w:val="22"/>
        </w:rPr>
        <w:t xml:space="preserve">, .doc, .xml, .ppt, searchable .pdf).  Participants in this proceeding should familiarize themselves with the Commission’s </w:t>
      </w:r>
      <w:r w:rsidRPr="009B4EF2">
        <w:rPr>
          <w:i/>
          <w:iCs/>
          <w:sz w:val="22"/>
          <w:szCs w:val="22"/>
        </w:rPr>
        <w:t xml:space="preserve">ex parte </w:t>
      </w:r>
      <w:r w:rsidRPr="009B4EF2">
        <w:rPr>
          <w:sz w:val="22"/>
          <w:szCs w:val="22"/>
        </w:rPr>
        <w:t>rules.</w:t>
      </w:r>
    </w:p>
    <w:p w:rsidR="00BB39C9" w:rsidRPr="00ED2239" w:rsidP="0089185E" w14:paraId="0D74C5E3" w14:textId="77777777">
      <w:pPr>
        <w:ind w:firstLine="720"/>
        <w:rPr>
          <w:sz w:val="22"/>
          <w:szCs w:val="22"/>
        </w:rPr>
      </w:pPr>
    </w:p>
    <w:p w:rsidR="0085199C" w:rsidRPr="009B4EF2" w:rsidP="0089185E" w14:paraId="53D84112" w14:textId="5105721F">
      <w:pPr>
        <w:ind w:firstLine="720"/>
        <w:rPr>
          <w:rFonts w:eastAsia="MS Mincho"/>
          <w:sz w:val="22"/>
          <w:szCs w:val="22"/>
        </w:rPr>
      </w:pPr>
      <w:r w:rsidRPr="009B4EF2">
        <w:rPr>
          <w:rFonts w:eastAsia="MS Mincho"/>
          <w:sz w:val="22"/>
          <w:szCs w:val="22"/>
        </w:rPr>
        <w:t xml:space="preserve">For further information, contact </w:t>
      </w:r>
      <w:r w:rsidR="00896476">
        <w:rPr>
          <w:rFonts w:eastAsia="MS Mincho"/>
          <w:sz w:val="22"/>
          <w:szCs w:val="22"/>
        </w:rPr>
        <w:t xml:space="preserve">Jeff Tignor, Special Counsel, </w:t>
      </w:r>
      <w:r w:rsidR="000B11EC">
        <w:rPr>
          <w:rFonts w:eastAsia="MS Mincho"/>
          <w:sz w:val="22"/>
          <w:szCs w:val="22"/>
        </w:rPr>
        <w:t xml:space="preserve">Broadband </w:t>
      </w:r>
      <w:r w:rsidRPr="009B4EF2">
        <w:rPr>
          <w:rFonts w:eastAsia="MS Mincho"/>
          <w:sz w:val="22"/>
          <w:szCs w:val="22"/>
        </w:rPr>
        <w:t>Division, Wireless Telecommunications Bureau at (202) 418-</w:t>
      </w:r>
      <w:r w:rsidR="00EE5C3F">
        <w:rPr>
          <w:rFonts w:eastAsia="MS Mincho"/>
          <w:sz w:val="22"/>
          <w:szCs w:val="22"/>
        </w:rPr>
        <w:t>0774</w:t>
      </w:r>
      <w:r w:rsidRPr="009B4EF2">
        <w:rPr>
          <w:rFonts w:eastAsia="MS Mincho"/>
          <w:sz w:val="22"/>
          <w:szCs w:val="22"/>
        </w:rPr>
        <w:t xml:space="preserve">, or via e-mail at </w:t>
      </w:r>
      <w:r>
        <w:fldChar w:fldCharType="begin"/>
      </w:r>
      <w:r>
        <w:instrText xml:space="preserve"> HYPERLINK "mailto:jeffrey.tignor@fcc.gov" </w:instrText>
      </w:r>
      <w:r>
        <w:fldChar w:fldCharType="separate"/>
      </w:r>
      <w:r w:rsidRPr="00255CE2" w:rsidR="00EE5C3F">
        <w:rPr>
          <w:rStyle w:val="Hyperlink"/>
          <w:rFonts w:eastAsia="MS Mincho"/>
          <w:sz w:val="22"/>
          <w:szCs w:val="22"/>
        </w:rPr>
        <w:t>jeffrey.tignor@fcc.gov</w:t>
      </w:r>
      <w:r>
        <w:fldChar w:fldCharType="end"/>
      </w:r>
      <w:r w:rsidRPr="009B4EF2">
        <w:rPr>
          <w:rFonts w:eastAsia="MS Mincho"/>
          <w:sz w:val="22"/>
          <w:szCs w:val="22"/>
        </w:rPr>
        <w:t>.</w:t>
      </w:r>
      <w:r w:rsidR="00EE5C3F">
        <w:rPr>
          <w:rFonts w:eastAsia="MS Mincho"/>
          <w:sz w:val="22"/>
          <w:szCs w:val="22"/>
        </w:rPr>
        <w:t xml:space="preserve"> </w:t>
      </w:r>
      <w:r w:rsidRPr="009B4EF2">
        <w:rPr>
          <w:rFonts w:eastAsia="MS Mincho"/>
          <w:sz w:val="22"/>
          <w:szCs w:val="22"/>
        </w:rPr>
        <w:t xml:space="preserve"> </w:t>
      </w:r>
    </w:p>
    <w:p w:rsidR="0085199C" w:rsidRPr="00ED2239" w:rsidP="0089185E" w14:paraId="2A4544CE" w14:textId="77777777">
      <w:pPr>
        <w:autoSpaceDE w:val="0"/>
        <w:autoSpaceDN w:val="0"/>
        <w:adjustRightInd w:val="0"/>
        <w:rPr>
          <w:color w:val="000000"/>
          <w:sz w:val="22"/>
          <w:szCs w:val="22"/>
        </w:rPr>
      </w:pPr>
    </w:p>
    <w:p w:rsidR="0085199C" w:rsidRPr="009B4EF2" w:rsidP="0089185E" w14:paraId="3E6D5094" w14:textId="1C6D84A4">
      <w:pPr>
        <w:ind w:firstLine="720"/>
        <w:rPr>
          <w:sz w:val="22"/>
          <w:szCs w:val="22"/>
        </w:rPr>
      </w:pPr>
      <w:r w:rsidRPr="009B4EF2">
        <w:rPr>
          <w:sz w:val="22"/>
          <w:szCs w:val="22"/>
        </w:rPr>
        <w:t xml:space="preserve">Action by the Chief, </w:t>
      </w:r>
      <w:r w:rsidR="000B11EC">
        <w:rPr>
          <w:sz w:val="22"/>
          <w:szCs w:val="22"/>
        </w:rPr>
        <w:t xml:space="preserve">Broadband </w:t>
      </w:r>
      <w:r w:rsidRPr="009B4EF2">
        <w:rPr>
          <w:sz w:val="22"/>
          <w:szCs w:val="22"/>
        </w:rPr>
        <w:t>Division, Wireless Telecommunications Bureau.</w:t>
      </w:r>
      <w:r w:rsidR="00DD5130">
        <w:rPr>
          <w:sz w:val="22"/>
          <w:szCs w:val="22"/>
        </w:rPr>
        <w:t xml:space="preserve">  </w:t>
      </w:r>
    </w:p>
    <w:p w:rsidR="0085199C" w:rsidRPr="00ED2239" w:rsidP="0089185E" w14:paraId="02B90B05" w14:textId="77777777">
      <w:pPr>
        <w:autoSpaceDE w:val="0"/>
        <w:autoSpaceDN w:val="0"/>
        <w:adjustRightInd w:val="0"/>
        <w:rPr>
          <w:color w:val="000000"/>
          <w:sz w:val="22"/>
          <w:szCs w:val="22"/>
        </w:rPr>
      </w:pPr>
    </w:p>
    <w:p w:rsidR="00C021CF" w:rsidRPr="00262390" w:rsidP="00262390" w14:paraId="0CE83E92" w14:textId="039FCE8B">
      <w:pPr>
        <w:autoSpaceDE w:val="0"/>
        <w:autoSpaceDN w:val="0"/>
        <w:adjustRightInd w:val="0"/>
        <w:jc w:val="center"/>
        <w:rPr>
          <w:sz w:val="22"/>
          <w:szCs w:val="22"/>
        </w:rPr>
      </w:pPr>
      <w:r w:rsidRPr="009B4EF2">
        <w:rPr>
          <w:sz w:val="22"/>
          <w:szCs w:val="22"/>
        </w:rPr>
        <w:t>- FCC -</w:t>
      </w:r>
    </w:p>
    <w:sectPr w:rsidSect="00ED2239">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152" w:left="144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784D" w14:paraId="27567A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395F" w14:paraId="7AAC9612" w14:textId="1320A439">
    <w:pPr>
      <w:pStyle w:val="Footer"/>
      <w:jc w:val="center"/>
    </w:pPr>
    <w:r>
      <w:fldChar w:fldCharType="begin"/>
    </w:r>
    <w:r>
      <w:instrText xml:space="preserve"> PAGE   \* MERGEFORMAT </w:instrText>
    </w:r>
    <w:r>
      <w:fldChar w:fldCharType="separate"/>
    </w:r>
    <w:r w:rsidR="003D784D">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784D" w14:paraId="1505C6C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14A6D" w14:paraId="79D935F6" w14:textId="77777777">
      <w:r>
        <w:separator/>
      </w:r>
    </w:p>
  </w:footnote>
  <w:footnote w:type="continuationSeparator" w:id="1">
    <w:p w:rsidR="00B14A6D" w14:paraId="765D7156" w14:textId="77777777">
      <w:r>
        <w:continuationSeparator/>
      </w:r>
    </w:p>
  </w:footnote>
  <w:footnote w:id="2">
    <w:p w:rsidR="00711070" w:rsidRPr="00575C7C" w:rsidP="00896476" w14:paraId="3C7DE584" w14:textId="4DF3715A">
      <w:pPr>
        <w:pStyle w:val="FootnoteText"/>
        <w:spacing w:after="120"/>
        <w:rPr>
          <w:sz w:val="20"/>
        </w:rPr>
      </w:pPr>
      <w:r w:rsidRPr="00575C7C">
        <w:rPr>
          <w:rStyle w:val="FootnoteReference"/>
          <w:sz w:val="20"/>
        </w:rPr>
        <w:footnoteRef/>
      </w:r>
      <w:r w:rsidRPr="00575C7C">
        <w:rPr>
          <w:sz w:val="20"/>
        </w:rPr>
        <w:t xml:space="preserve"> </w:t>
      </w:r>
      <w:bookmarkStart w:id="3" w:name="_Hlk507589568"/>
      <w:bookmarkStart w:id="4" w:name="_Hlk507495423"/>
      <w:r w:rsidRPr="00575C7C">
        <w:rPr>
          <w:i/>
          <w:spacing w:val="-2"/>
          <w:sz w:val="20"/>
        </w:rPr>
        <w:t>Amendment of the Commission’s Rules with Regard to Commercial Operations in the 1695-1710 MHz, 1755-1780 MHz, and 2155-2180 MHz Bands</w:t>
      </w:r>
      <w:r w:rsidRPr="00575C7C">
        <w:rPr>
          <w:spacing w:val="-2"/>
          <w:sz w:val="20"/>
        </w:rPr>
        <w:t>,</w:t>
      </w:r>
      <w:r w:rsidRPr="00575C7C">
        <w:rPr>
          <w:i/>
          <w:sz w:val="20"/>
        </w:rPr>
        <w:t xml:space="preserve"> </w:t>
      </w:r>
      <w:r w:rsidRPr="00575C7C">
        <w:rPr>
          <w:sz w:val="20"/>
        </w:rPr>
        <w:t>Report a</w:t>
      </w:r>
      <w:r w:rsidRPr="00575C7C" w:rsidR="00575C7C">
        <w:rPr>
          <w:sz w:val="20"/>
        </w:rPr>
        <w:t xml:space="preserve">nd Order, WT Docket No. 13-185, </w:t>
      </w:r>
      <w:r w:rsidRPr="00575C7C">
        <w:rPr>
          <w:sz w:val="20"/>
        </w:rPr>
        <w:t xml:space="preserve">29 FCC Rcd </w:t>
      </w:r>
      <w:r w:rsidRPr="00575C7C" w:rsidR="008405D6">
        <w:rPr>
          <w:sz w:val="20"/>
        </w:rPr>
        <w:t>4610</w:t>
      </w:r>
      <w:r w:rsidRPr="00575C7C" w:rsidR="00191928">
        <w:rPr>
          <w:sz w:val="20"/>
        </w:rPr>
        <w:t xml:space="preserve"> (</w:t>
      </w:r>
      <w:r w:rsidRPr="00575C7C">
        <w:rPr>
          <w:sz w:val="20"/>
        </w:rPr>
        <w:t>2014) (</w:t>
      </w:r>
      <w:r w:rsidRPr="00575C7C">
        <w:rPr>
          <w:i/>
          <w:sz w:val="20"/>
        </w:rPr>
        <w:t>AWS-3 Report and Order</w:t>
      </w:r>
      <w:r w:rsidRPr="00575C7C">
        <w:rPr>
          <w:sz w:val="20"/>
        </w:rPr>
        <w:t>).</w:t>
      </w:r>
      <w:bookmarkEnd w:id="3"/>
      <w:r w:rsidRPr="00575C7C">
        <w:rPr>
          <w:sz w:val="20"/>
        </w:rPr>
        <w:t xml:space="preserve">  </w:t>
      </w:r>
      <w:bookmarkEnd w:id="4"/>
    </w:p>
  </w:footnote>
  <w:footnote w:id="3">
    <w:p w:rsidR="00DB2D9A" w:rsidRPr="00575C7C" w:rsidP="00896476" w14:paraId="68BED009" w14:textId="77777777">
      <w:pPr>
        <w:pStyle w:val="FootnoteText"/>
        <w:spacing w:after="120"/>
        <w:rPr>
          <w:sz w:val="20"/>
        </w:rPr>
      </w:pPr>
      <w:r w:rsidRPr="00575C7C">
        <w:rPr>
          <w:rStyle w:val="FootnoteReference"/>
          <w:sz w:val="20"/>
        </w:rPr>
        <w:footnoteRef/>
      </w:r>
      <w:r w:rsidRPr="00575C7C">
        <w:rPr>
          <w:rStyle w:val="FootnoteReference"/>
          <w:sz w:val="20"/>
        </w:rPr>
        <w:t xml:space="preserve"> </w:t>
      </w:r>
      <w:r w:rsidRPr="00575C7C">
        <w:rPr>
          <w:i/>
          <w:sz w:val="20"/>
        </w:rPr>
        <w:t>See</w:t>
      </w:r>
      <w:r w:rsidRPr="00575C7C">
        <w:rPr>
          <w:sz w:val="20"/>
        </w:rPr>
        <w:t xml:space="preserve"> 47 U.S.C. § 309(j)(16)(C) (Authority to issue prior to deauthorization) (FCC may grant a license assigned for the use of certain frequencies prior to the termination of an eligible Federal entity’s authorization but “shall condition such license by requiring that the licensee cannot cause harmful interference to such Federal entity until such entity’s authorization has been terminated by the National Telecommunications and Information Administration.”).  </w:t>
      </w:r>
      <w:r w:rsidRPr="008C6F9D">
        <w:rPr>
          <w:i/>
          <w:sz w:val="20"/>
        </w:rPr>
        <w:t>See also</w:t>
      </w:r>
      <w:r w:rsidRPr="00575C7C">
        <w:rPr>
          <w:sz w:val="20"/>
        </w:rPr>
        <w:t xml:space="preserve"> 47 CFR § 27.5 (Note to para. (h)).  </w:t>
      </w:r>
    </w:p>
  </w:footnote>
  <w:footnote w:id="4">
    <w:p w:rsidR="00DB2D9A" w:rsidRPr="00575C7C" w:rsidP="00896476" w14:paraId="276854C9" w14:textId="08867218">
      <w:pPr>
        <w:pStyle w:val="FootnoteText"/>
        <w:spacing w:after="120"/>
        <w:rPr>
          <w:sz w:val="20"/>
        </w:rPr>
      </w:pPr>
      <w:r w:rsidRPr="00575C7C">
        <w:rPr>
          <w:rStyle w:val="FootnoteReference"/>
          <w:sz w:val="20"/>
        </w:rPr>
        <w:footnoteRef/>
      </w:r>
      <w:r w:rsidRPr="00575C7C">
        <w:rPr>
          <w:sz w:val="20"/>
        </w:rPr>
        <w:t xml:space="preserve"> </w:t>
      </w:r>
      <w:r w:rsidRPr="00575C7C">
        <w:rPr>
          <w:i/>
          <w:sz w:val="20"/>
        </w:rPr>
        <w:t xml:space="preserve">See, e.g., </w:t>
      </w:r>
      <w:r w:rsidRPr="00575C7C">
        <w:rPr>
          <w:sz w:val="20"/>
        </w:rPr>
        <w:t xml:space="preserve">47 CFR § 27.1134.  </w:t>
      </w:r>
      <w:r w:rsidRPr="00575C7C" w:rsidR="00857B75">
        <w:rPr>
          <w:i/>
          <w:sz w:val="20"/>
        </w:rPr>
        <w:t>See also</w:t>
      </w:r>
      <w:r w:rsidRPr="00575C7C" w:rsidR="00857B75">
        <w:rPr>
          <w:sz w:val="20"/>
        </w:rPr>
        <w:t xml:space="preserve"> </w:t>
      </w:r>
      <w:r w:rsidRPr="00575C7C" w:rsidR="00634398">
        <w:rPr>
          <w:sz w:val="20"/>
        </w:rPr>
        <w:t>The Federal Communications Commission and National</w:t>
      </w:r>
      <w:r w:rsidRPr="00575C7C" w:rsidR="00575C7C">
        <w:rPr>
          <w:sz w:val="20"/>
        </w:rPr>
        <w:t xml:space="preserve"> </w:t>
      </w:r>
      <w:r w:rsidRPr="00575C7C" w:rsidR="00634398">
        <w:rPr>
          <w:sz w:val="20"/>
        </w:rPr>
        <w:t>Telecommunications and Information Administration</w:t>
      </w:r>
      <w:r w:rsidR="009B48C9">
        <w:rPr>
          <w:sz w:val="20"/>
        </w:rPr>
        <w:t>,</w:t>
      </w:r>
      <w:r w:rsidRPr="00575C7C" w:rsidR="00634398">
        <w:rPr>
          <w:sz w:val="20"/>
        </w:rPr>
        <w:t xml:space="preserve"> </w:t>
      </w:r>
      <w:r w:rsidRPr="00575C7C" w:rsidR="00634398">
        <w:rPr>
          <w:i/>
          <w:sz w:val="20"/>
        </w:rPr>
        <w:t>Coordination Procedures in the 1695–1710 MHz and 1755–1780 MHz Bands</w:t>
      </w:r>
      <w:r w:rsidRPr="00575C7C" w:rsidR="00634398">
        <w:rPr>
          <w:sz w:val="20"/>
        </w:rPr>
        <w:t xml:space="preserve">, 79 FR 54710 (Sept. 12, 2014).  </w:t>
      </w:r>
    </w:p>
  </w:footnote>
  <w:footnote w:id="5">
    <w:p w:rsidR="009B587A" w:rsidRPr="00575C7C" w:rsidP="00896476" w14:paraId="2157C839" w14:textId="5CD45E92">
      <w:pPr>
        <w:pStyle w:val="FootnoteText"/>
        <w:spacing w:after="120"/>
        <w:rPr>
          <w:sz w:val="20"/>
        </w:rPr>
      </w:pPr>
      <w:r w:rsidRPr="00575C7C">
        <w:rPr>
          <w:rStyle w:val="FootnoteReference"/>
          <w:sz w:val="20"/>
        </w:rPr>
        <w:footnoteRef/>
      </w:r>
      <w:r w:rsidRPr="00575C7C">
        <w:rPr>
          <w:sz w:val="20"/>
        </w:rPr>
        <w:t xml:space="preserve"> </w:t>
      </w:r>
      <w:r w:rsidRPr="00575C7C">
        <w:rPr>
          <w:i/>
          <w:iCs/>
          <w:sz w:val="20"/>
        </w:rPr>
        <w:t>See</w:t>
      </w:r>
      <w:r w:rsidR="00406571">
        <w:rPr>
          <w:i/>
          <w:iCs/>
          <w:sz w:val="20"/>
        </w:rPr>
        <w:t>, e.g.,</w:t>
      </w:r>
      <w:r w:rsidRPr="00575C7C">
        <w:rPr>
          <w:i/>
          <w:iCs/>
          <w:sz w:val="20"/>
        </w:rPr>
        <w:t xml:space="preserve"> </w:t>
      </w:r>
      <w:bookmarkStart w:id="6" w:name="_Hlk509218947"/>
      <w:r w:rsidR="00DE2690">
        <w:rPr>
          <w:sz w:val="20"/>
        </w:rPr>
        <w:t>47 CFR</w:t>
      </w:r>
      <w:r w:rsidRPr="00575C7C">
        <w:rPr>
          <w:sz w:val="20"/>
        </w:rPr>
        <w:t xml:space="preserve"> § 27.13</w:t>
      </w:r>
      <w:r w:rsidR="00406571">
        <w:rPr>
          <w:sz w:val="20"/>
        </w:rPr>
        <w:t xml:space="preserve"> (a), (b), (c), (</w:t>
      </w:r>
      <w:bookmarkEnd w:id="6"/>
      <w:r w:rsidR="00406571">
        <w:rPr>
          <w:sz w:val="20"/>
        </w:rPr>
        <w:t>d), (e), and (i)</w:t>
      </w:r>
      <w:r w:rsidRPr="00575C7C">
        <w:rPr>
          <w:sz w:val="20"/>
        </w:rPr>
        <w:t xml:space="preserve">; </w:t>
      </w:r>
      <w:r w:rsidRPr="00575C7C">
        <w:rPr>
          <w:i/>
          <w:sz w:val="20"/>
        </w:rPr>
        <w:t>see also</w:t>
      </w:r>
      <w:r w:rsidRPr="00575C7C">
        <w:rPr>
          <w:sz w:val="20"/>
        </w:rPr>
        <w:t xml:space="preserve"> </w:t>
      </w:r>
      <w:r w:rsidRPr="00575C7C">
        <w:rPr>
          <w:iCs/>
          <w:sz w:val="20"/>
        </w:rPr>
        <w:t>4</w:t>
      </w:r>
      <w:r w:rsidR="00DE2690">
        <w:rPr>
          <w:sz w:val="20"/>
        </w:rPr>
        <w:t>7 CFR</w:t>
      </w:r>
      <w:r w:rsidRPr="00575C7C">
        <w:rPr>
          <w:sz w:val="20"/>
        </w:rPr>
        <w:t xml:space="preserve"> § 24.15</w:t>
      </w:r>
      <w:r w:rsidRPr="00575C7C" w:rsidR="00D46177">
        <w:rPr>
          <w:sz w:val="20"/>
        </w:rPr>
        <w:t>.</w:t>
      </w:r>
      <w:r w:rsidRPr="00575C7C">
        <w:rPr>
          <w:sz w:val="20"/>
        </w:rPr>
        <w:t xml:space="preserve"> </w:t>
      </w:r>
    </w:p>
  </w:footnote>
  <w:footnote w:id="6">
    <w:p w:rsidR="00847F8F" w:rsidRPr="00575C7C" w:rsidP="00896476" w14:paraId="768D1A34" w14:textId="1CF60733">
      <w:pPr>
        <w:pStyle w:val="FootnoteText"/>
        <w:spacing w:after="120"/>
        <w:rPr>
          <w:sz w:val="20"/>
        </w:rPr>
      </w:pPr>
      <w:r w:rsidRPr="00575C7C">
        <w:rPr>
          <w:rStyle w:val="FootnoteReference"/>
          <w:rFonts w:eastAsiaTheme="minorEastAsia"/>
          <w:sz w:val="20"/>
        </w:rPr>
        <w:footnoteRef/>
      </w:r>
      <w:r w:rsidRPr="00575C7C">
        <w:rPr>
          <w:sz w:val="20"/>
        </w:rPr>
        <w:t xml:space="preserve"> </w:t>
      </w:r>
      <w:r w:rsidRPr="00575C7C">
        <w:rPr>
          <w:i/>
          <w:sz w:val="20"/>
        </w:rPr>
        <w:t>See, e.g.</w:t>
      </w:r>
      <w:r w:rsidRPr="00575C7C">
        <w:rPr>
          <w:sz w:val="20"/>
        </w:rPr>
        <w:t xml:space="preserve">, </w:t>
      </w:r>
      <w:r w:rsidRPr="00575C7C" w:rsidR="00F3520B">
        <w:rPr>
          <w:sz w:val="20"/>
        </w:rPr>
        <w:t xml:space="preserve">47 CFR § </w:t>
      </w:r>
      <w:r w:rsidRPr="00575C7C" w:rsidR="00D501C1">
        <w:rPr>
          <w:sz w:val="20"/>
        </w:rPr>
        <w:t>27.13(g)</w:t>
      </w:r>
      <w:r w:rsidR="006A26D4">
        <w:rPr>
          <w:sz w:val="20"/>
        </w:rPr>
        <w:t xml:space="preserve">, (l) </w:t>
      </w:r>
      <w:r w:rsidR="00472B15">
        <w:rPr>
          <w:sz w:val="20"/>
        </w:rPr>
        <w:t>(</w:t>
      </w:r>
      <w:r w:rsidR="003A71B8">
        <w:rPr>
          <w:sz w:val="20"/>
        </w:rPr>
        <w:t xml:space="preserve">15-year </w:t>
      </w:r>
      <w:r w:rsidRPr="00575C7C" w:rsidR="00472B15">
        <w:rPr>
          <w:sz w:val="20"/>
        </w:rPr>
        <w:t>initial license term for AWS-1 licenses issued before 2010</w:t>
      </w:r>
      <w:r w:rsidR="003A71B8">
        <w:rPr>
          <w:sz w:val="20"/>
        </w:rPr>
        <w:t xml:space="preserve">, 12-year </w:t>
      </w:r>
      <w:r w:rsidR="00AE4C17">
        <w:rPr>
          <w:sz w:val="20"/>
        </w:rPr>
        <w:t xml:space="preserve">initial </w:t>
      </w:r>
      <w:r w:rsidR="003A71B8">
        <w:rPr>
          <w:sz w:val="20"/>
        </w:rPr>
        <w:t xml:space="preserve">license </w:t>
      </w:r>
      <w:r w:rsidR="00AE4C17">
        <w:rPr>
          <w:sz w:val="20"/>
        </w:rPr>
        <w:t>term for 600 MHz licenses</w:t>
      </w:r>
      <w:r w:rsidR="00DC4FD6">
        <w:rPr>
          <w:sz w:val="20"/>
        </w:rPr>
        <w:t>, respectively</w:t>
      </w:r>
      <w:r w:rsidR="00AE4C17">
        <w:rPr>
          <w:sz w:val="20"/>
        </w:rPr>
        <w:t>)</w:t>
      </w:r>
      <w:r w:rsidRPr="00575C7C" w:rsidR="00F3520B">
        <w:rPr>
          <w:sz w:val="20"/>
        </w:rPr>
        <w:t xml:space="preserve">.  </w:t>
      </w:r>
    </w:p>
  </w:footnote>
  <w:footnote w:id="7">
    <w:p w:rsidR="00B35224" w:rsidRPr="00A04B91" w:rsidP="00896476" w14:paraId="536937B9" w14:textId="2E56BAD9">
      <w:pPr>
        <w:pStyle w:val="FootnoteText"/>
        <w:spacing w:after="120"/>
        <w:rPr>
          <w:sz w:val="20"/>
        </w:rPr>
      </w:pPr>
      <w:r w:rsidRPr="00575C7C">
        <w:rPr>
          <w:rStyle w:val="FootnoteReference"/>
          <w:sz w:val="20"/>
        </w:rPr>
        <w:footnoteRef/>
      </w:r>
      <w:r w:rsidRPr="00575C7C">
        <w:rPr>
          <w:sz w:val="20"/>
        </w:rPr>
        <w:t xml:space="preserve"> </w:t>
      </w:r>
      <w:bookmarkStart w:id="7" w:name="_Hlk509222100"/>
      <w:r w:rsidRPr="00575C7C">
        <w:rPr>
          <w:i/>
          <w:sz w:val="20"/>
        </w:rPr>
        <w:t xml:space="preserve">See AWS-3 Report and Order, </w:t>
      </w:r>
      <w:r w:rsidRPr="00575C7C">
        <w:rPr>
          <w:sz w:val="20"/>
        </w:rPr>
        <w:t xml:space="preserve">29 FCC Rcd at </w:t>
      </w:r>
      <w:r w:rsidRPr="00575C7C" w:rsidR="00191928">
        <w:rPr>
          <w:sz w:val="20"/>
        </w:rPr>
        <w:t xml:space="preserve">4658 </w:t>
      </w:r>
      <w:r w:rsidRPr="00575C7C">
        <w:rPr>
          <w:sz w:val="20"/>
        </w:rPr>
        <w:t>para. 132.</w:t>
      </w:r>
      <w:bookmarkEnd w:id="7"/>
      <w:r w:rsidRPr="00575C7C">
        <w:rPr>
          <w:sz w:val="20"/>
        </w:rPr>
        <w:t xml:space="preserve">  </w:t>
      </w:r>
      <w:r w:rsidRPr="00575C7C">
        <w:rPr>
          <w:i/>
          <w:sz w:val="20"/>
        </w:rPr>
        <w:t>See also</w:t>
      </w:r>
      <w:r w:rsidRPr="00575C7C">
        <w:rPr>
          <w:sz w:val="20"/>
        </w:rPr>
        <w:t xml:space="preserve"> 47 CFR § 27.13(k)</w:t>
      </w:r>
      <w:r w:rsidRPr="00575C7C" w:rsidR="0055525F">
        <w:rPr>
          <w:sz w:val="20"/>
        </w:rPr>
        <w:t xml:space="preserve"> (AWS-3 licenses will have a term not to exceed twelve (12) years from the date of issuance and ten (10) years from the date of any subsequent license renewal).</w:t>
      </w:r>
      <w:r w:rsidRPr="00575C7C">
        <w:rPr>
          <w:sz w:val="20"/>
        </w:rPr>
        <w:t xml:space="preserve"> </w:t>
      </w:r>
      <w:r w:rsidRPr="00575C7C">
        <w:rPr>
          <w:i/>
          <w:sz w:val="20"/>
        </w:rPr>
        <w:t xml:space="preserve"> </w:t>
      </w:r>
    </w:p>
  </w:footnote>
  <w:footnote w:id="8">
    <w:p w:rsidR="00395436" w:rsidRPr="00575C7C" w:rsidP="00896476" w14:paraId="4CDF57D4" w14:textId="5972F99C">
      <w:pPr>
        <w:pStyle w:val="FootnoteText"/>
        <w:spacing w:after="120"/>
        <w:rPr>
          <w:sz w:val="20"/>
        </w:rPr>
      </w:pPr>
      <w:r w:rsidRPr="00575C7C">
        <w:rPr>
          <w:rStyle w:val="FootnoteReference"/>
          <w:sz w:val="20"/>
        </w:rPr>
        <w:footnoteRef/>
      </w:r>
      <w:r w:rsidRPr="00575C7C">
        <w:rPr>
          <w:sz w:val="20"/>
        </w:rPr>
        <w:t xml:space="preserve"> </w:t>
      </w:r>
      <w:r w:rsidRPr="00575C7C">
        <w:rPr>
          <w:i/>
          <w:sz w:val="20"/>
        </w:rPr>
        <w:t xml:space="preserve">See </w:t>
      </w:r>
      <w:r w:rsidRPr="00575C7C">
        <w:rPr>
          <w:sz w:val="20"/>
        </w:rPr>
        <w:t>47 CFR § 27.1</w:t>
      </w:r>
      <w:r w:rsidRPr="00575C7C" w:rsidR="00B35224">
        <w:rPr>
          <w:sz w:val="20"/>
        </w:rPr>
        <w:t>4</w:t>
      </w:r>
      <w:r w:rsidRPr="00575C7C">
        <w:rPr>
          <w:sz w:val="20"/>
        </w:rPr>
        <w:t>(s)</w:t>
      </w:r>
      <w:r w:rsidRPr="00575C7C" w:rsidR="00BF6E06">
        <w:rPr>
          <w:sz w:val="20"/>
        </w:rPr>
        <w:t xml:space="preserve">.  </w:t>
      </w:r>
    </w:p>
  </w:footnote>
  <w:footnote w:id="9">
    <w:p w:rsidR="003D1F84" w:rsidP="00896476" w14:paraId="6EA84D75" w14:textId="4647CA09">
      <w:pPr>
        <w:pStyle w:val="FootnoteText"/>
        <w:spacing w:after="120"/>
      </w:pPr>
      <w:r>
        <w:rPr>
          <w:rStyle w:val="FootnoteReference"/>
        </w:rPr>
        <w:footnoteRef/>
      </w:r>
      <w:r>
        <w:t xml:space="preserve"> </w:t>
      </w:r>
      <w:bookmarkStart w:id="10" w:name="_Hlk509222266"/>
      <w:r w:rsidRPr="00575C7C">
        <w:rPr>
          <w:i/>
          <w:sz w:val="20"/>
        </w:rPr>
        <w:t xml:space="preserve">See AWS-3 Report and Order, </w:t>
      </w:r>
      <w:r w:rsidRPr="00575C7C">
        <w:rPr>
          <w:sz w:val="20"/>
        </w:rPr>
        <w:t>29 FCC Rcd at 4658 para. 132.</w:t>
      </w:r>
      <w:bookmarkEnd w:id="10"/>
    </w:p>
  </w:footnote>
  <w:footnote w:id="10">
    <w:p w:rsidR="00896476" w:rsidRPr="00575C7C" w:rsidP="00896476" w14:paraId="338C4A41" w14:textId="77777777">
      <w:pPr>
        <w:pStyle w:val="FootnoteText"/>
        <w:spacing w:after="120"/>
        <w:rPr>
          <w:sz w:val="20"/>
        </w:rPr>
      </w:pPr>
      <w:r w:rsidRPr="00575C7C">
        <w:rPr>
          <w:rStyle w:val="FootnoteReference"/>
          <w:sz w:val="20"/>
        </w:rPr>
        <w:footnoteRef/>
      </w:r>
      <w:r w:rsidRPr="00575C7C">
        <w:rPr>
          <w:sz w:val="20"/>
        </w:rPr>
        <w:t xml:space="preserve"> WTB granted a total of 1414 initial AWS-3 licenses:  1153 in 2015, 233 in 2016, and 28 licenses in 2018.  </w:t>
      </w:r>
    </w:p>
  </w:footnote>
  <w:footnote w:id="11">
    <w:p w:rsidR="00B2739E" w:rsidRPr="00575C7C" w:rsidP="00896476" w14:paraId="732E847B" w14:textId="3CD1DCD2">
      <w:pPr>
        <w:pStyle w:val="FootnoteText"/>
        <w:spacing w:after="120"/>
        <w:rPr>
          <w:sz w:val="20"/>
        </w:rPr>
      </w:pPr>
      <w:r w:rsidRPr="00575C7C">
        <w:rPr>
          <w:rStyle w:val="FootnoteReference"/>
          <w:sz w:val="20"/>
        </w:rPr>
        <w:footnoteRef/>
      </w:r>
      <w:r w:rsidRPr="00575C7C">
        <w:rPr>
          <w:sz w:val="20"/>
        </w:rPr>
        <w:t xml:space="preserve"> </w:t>
      </w:r>
      <w:r w:rsidRPr="00575C7C" w:rsidR="003D1F84">
        <w:rPr>
          <w:i/>
          <w:sz w:val="20"/>
        </w:rPr>
        <w:t xml:space="preserve">See AWS-3 Report and Order, </w:t>
      </w:r>
      <w:r w:rsidRPr="00575C7C" w:rsidR="003D1F84">
        <w:rPr>
          <w:sz w:val="20"/>
        </w:rPr>
        <w:t>29 FCC Rcd at 4658 para. 132.</w:t>
      </w:r>
    </w:p>
  </w:footnote>
  <w:footnote w:id="12">
    <w:p w:rsidR="00BB39C9" w:rsidRPr="00575C7C" w:rsidP="00896476" w14:paraId="6BA748A5" w14:textId="298958A6">
      <w:pPr>
        <w:pStyle w:val="FootnoteText"/>
        <w:spacing w:after="120"/>
        <w:rPr>
          <w:sz w:val="20"/>
        </w:rPr>
      </w:pPr>
      <w:r w:rsidRPr="00575C7C">
        <w:rPr>
          <w:rStyle w:val="FootnoteReference"/>
          <w:sz w:val="20"/>
        </w:rPr>
        <w:footnoteRef/>
      </w:r>
      <w:r w:rsidRPr="00575C7C">
        <w:rPr>
          <w:sz w:val="20"/>
        </w:rPr>
        <w:t xml:space="preserve"> </w:t>
      </w:r>
      <w:r w:rsidRPr="00575C7C">
        <w:rPr>
          <w:i/>
          <w:sz w:val="20"/>
        </w:rPr>
        <w:t>See</w:t>
      </w:r>
      <w:r w:rsidR="00DE2690">
        <w:rPr>
          <w:sz w:val="20"/>
        </w:rPr>
        <w:t xml:space="preserve"> 47 CFR</w:t>
      </w:r>
      <w:r w:rsidRPr="00575C7C">
        <w:rPr>
          <w:sz w:val="20"/>
        </w:rPr>
        <w:t xml:space="preserve"> §§ 1.415, 1.419.</w:t>
      </w:r>
    </w:p>
  </w:footnote>
  <w:footnote w:id="13">
    <w:p w:rsidR="00230B4B" w:rsidRPr="00575C7C" w:rsidP="00896476" w14:paraId="0B9AD3C3" w14:textId="77777777">
      <w:pPr>
        <w:pStyle w:val="FootnoteText"/>
        <w:spacing w:after="120"/>
        <w:rPr>
          <w:sz w:val="20"/>
        </w:rPr>
      </w:pPr>
      <w:r w:rsidRPr="00575C7C">
        <w:rPr>
          <w:rStyle w:val="FootnoteReference"/>
          <w:sz w:val="20"/>
        </w:rPr>
        <w:footnoteRef/>
      </w:r>
      <w:r w:rsidRPr="00575C7C">
        <w:rPr>
          <w:sz w:val="20"/>
        </w:rPr>
        <w:t xml:space="preserve"> </w:t>
      </w:r>
      <w:r w:rsidRPr="00575C7C">
        <w:rPr>
          <w:i/>
          <w:sz w:val="20"/>
        </w:rPr>
        <w:t>See Electronic Filing of Documents in Rulemaking Proceedings</w:t>
      </w:r>
      <w:r w:rsidRPr="00575C7C">
        <w:rPr>
          <w:sz w:val="20"/>
        </w:rPr>
        <w:t>, 63 FR 24121 (1998).</w:t>
      </w:r>
    </w:p>
  </w:footnote>
  <w:footnote w:id="14">
    <w:p w:rsidR="00BB39C9" w:rsidRPr="00575C7C" w:rsidP="00896476" w14:paraId="4DBA9005" w14:textId="660B5BCA">
      <w:pPr>
        <w:pStyle w:val="FootnoteText"/>
        <w:spacing w:after="120"/>
        <w:rPr>
          <w:sz w:val="20"/>
        </w:rPr>
      </w:pPr>
      <w:r w:rsidRPr="00575C7C">
        <w:rPr>
          <w:rStyle w:val="FootnoteReference"/>
          <w:sz w:val="20"/>
        </w:rPr>
        <w:footnoteRef/>
      </w:r>
      <w:r w:rsidRPr="00575C7C">
        <w:rPr>
          <w:i/>
          <w:sz w:val="20"/>
        </w:rPr>
        <w:t xml:space="preserve"> See</w:t>
      </w:r>
      <w:r w:rsidR="00DE2690">
        <w:rPr>
          <w:sz w:val="20"/>
        </w:rPr>
        <w:t xml:space="preserve"> 47 CFR</w:t>
      </w:r>
      <w:r w:rsidRPr="00575C7C">
        <w:rPr>
          <w:sz w:val="20"/>
        </w:rPr>
        <w:t xml:space="preserve"> §§ 1.1200(a), 1.1206.</w:t>
      </w:r>
    </w:p>
  </w:footnote>
  <w:footnote w:id="15">
    <w:p w:rsidR="00DE2690" w:rsidP="00896476" w14:paraId="098F471F" w14:textId="0B4A4402">
      <w:pPr>
        <w:pStyle w:val="FootnoteText"/>
        <w:spacing w:after="120"/>
      </w:pPr>
      <w:r>
        <w:rPr>
          <w:rStyle w:val="FootnoteReference"/>
        </w:rPr>
        <w:footnoteRef/>
      </w:r>
      <w:r>
        <w:t xml:space="preserve"> </w:t>
      </w:r>
      <w:r>
        <w:rPr>
          <w:sz w:val="20"/>
        </w:rPr>
        <w:t>47 CFR</w:t>
      </w:r>
      <w:r w:rsidRPr="00575C7C">
        <w:rPr>
          <w:sz w:val="20"/>
        </w:rPr>
        <w:t xml:space="preserve"> §</w:t>
      </w:r>
      <w:r>
        <w:rPr>
          <w:sz w:val="20"/>
        </w:rPr>
        <w:t xml:space="preserve"> 1.49(f).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784D" w14:paraId="1D7654A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784D" w14:paraId="20B8155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395F" w14:paraId="28DD1A35"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1" locked="0" layoutInCell="0" allowOverlap="1">
          <wp:simplePos x="0" y="0"/>
          <wp:positionH relativeFrom="column">
            <wp:posOffset>34290</wp:posOffset>
          </wp:positionH>
          <wp:positionV relativeFrom="paragraph">
            <wp:posOffset>111760</wp:posOffset>
          </wp:positionV>
          <wp:extent cx="530225" cy="530225"/>
          <wp:effectExtent l="0" t="0" r="3175"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708661"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95395F" w:rsidP="00262390" w14:paraId="45431F92" w14:textId="704B219E">
    <w:pPr>
      <w:pStyle w:val="Header"/>
      <w:tabs>
        <w:tab w:val="clear" w:pos="4320"/>
        <w:tab w:val="center" w:pos="504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3730487</wp:posOffset>
              </wp:positionH>
              <wp:positionV relativeFrom="paragraph">
                <wp:posOffset>2431</wp:posOffset>
              </wp:positionV>
              <wp:extent cx="2330507" cy="640080"/>
              <wp:effectExtent l="0" t="0" r="0" b="762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30507"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5395F" w14:textId="77777777">
                          <w:pPr>
                            <w:spacing w:before="40"/>
                            <w:jc w:val="right"/>
                            <w:rPr>
                              <w:rFonts w:ascii="Arial" w:hAnsi="Arial"/>
                              <w:b/>
                              <w:sz w:val="16"/>
                            </w:rPr>
                          </w:pPr>
                          <w:r>
                            <w:rPr>
                              <w:rFonts w:ascii="Arial" w:hAnsi="Arial"/>
                              <w:b/>
                              <w:sz w:val="16"/>
                            </w:rPr>
                            <w:t>News Media Information 202 / 418-0500</w:t>
                          </w:r>
                        </w:p>
                        <w:p w:rsidR="0085199C" w:rsidRPr="0085199C" w:rsidP="0085199C" w14:textId="77777777">
                          <w:pPr>
                            <w:jc w:val="right"/>
                            <w:rPr>
                              <w:rFonts w:ascii="Arial" w:hAnsi="Arial"/>
                              <w:b/>
                              <w:sz w:val="16"/>
                            </w:rPr>
                          </w:pPr>
                          <w:r w:rsidRPr="0085199C">
                            <w:rPr>
                              <w:rFonts w:ascii="Arial" w:hAnsi="Arial"/>
                              <w:b/>
                              <w:sz w:val="16"/>
                            </w:rPr>
                            <w:t>Fax-On-Demand 202 / 418-2830</w:t>
                          </w:r>
                        </w:p>
                        <w:p w:rsidR="00152849" w:rsidP="00152849" w14:textId="77777777">
                          <w:pPr>
                            <w:jc w:val="right"/>
                            <w:rPr>
                              <w:rFonts w:ascii="Arial" w:hAnsi="Arial"/>
                              <w:b/>
                              <w:sz w:val="16"/>
                            </w:rPr>
                          </w:pPr>
                          <w:r w:rsidRPr="0085199C">
                            <w:rPr>
                              <w:rFonts w:ascii="Arial" w:hAnsi="Arial"/>
                              <w:b/>
                              <w:sz w:val="16"/>
                            </w:rPr>
                            <w:tab/>
                          </w:r>
                          <w:r>
                            <w:rPr>
                              <w:rFonts w:ascii="Arial" w:hAnsi="Arial"/>
                              <w:b/>
                              <w:sz w:val="16"/>
                            </w:rPr>
                            <w:t>TTY: 1-888-835-5322</w:t>
                          </w:r>
                        </w:p>
                        <w:p w:rsidR="0085199C" w:rsidRPr="0085199C" w:rsidP="0085199C" w14:textId="77777777">
                          <w:pPr>
                            <w:jc w:val="right"/>
                            <w:rPr>
                              <w:rFonts w:ascii="Arial" w:hAnsi="Arial"/>
                              <w:b/>
                              <w:sz w:val="16"/>
                            </w:rPr>
                          </w:pPr>
                          <w:r w:rsidRPr="0085199C">
                            <w:rPr>
                              <w:rFonts w:ascii="Arial" w:hAnsi="Arial"/>
                              <w:b/>
                              <w:sz w:val="16"/>
                            </w:rPr>
                            <w:t>Internet: http://www.fcc.gov</w:t>
                          </w:r>
                        </w:p>
                        <w:p w:rsidR="0095395F" w:rsidRPr="00152849" w:rsidP="00152849" w14:textId="77777777">
                          <w:pPr>
                            <w:jc w:val="right"/>
                            <w:rPr>
                              <w:rFonts w:ascii="Arial" w:hAnsi="Arial"/>
                              <w:b/>
                              <w:sz w:val="16"/>
                            </w:rPr>
                          </w:pPr>
                          <w:r w:rsidRPr="0085199C">
                            <w:rPr>
                              <w:rFonts w:ascii="Arial" w:hAnsi="Arial"/>
                              <w:b/>
                              <w:sz w:val="16"/>
                            </w:rPr>
                            <w:tab/>
                            <w:t>ftp.fcc.gov</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183.5pt;height:50.4pt;margin-top:0.2pt;margin-left:293.7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95395F" w14:paraId="2669D149" w14:textId="77777777">
                    <w:pPr>
                      <w:spacing w:before="40"/>
                      <w:jc w:val="right"/>
                      <w:rPr>
                        <w:rFonts w:ascii="Arial" w:hAnsi="Arial"/>
                        <w:b/>
                        <w:sz w:val="16"/>
                      </w:rPr>
                    </w:pPr>
                    <w:r>
                      <w:rPr>
                        <w:rFonts w:ascii="Arial" w:hAnsi="Arial"/>
                        <w:b/>
                        <w:sz w:val="16"/>
                      </w:rPr>
                      <w:t>News Media Information 202 / 418-0500</w:t>
                    </w:r>
                  </w:p>
                  <w:p w:rsidR="0085199C" w:rsidRPr="0085199C" w:rsidP="0085199C" w14:paraId="448E9B43" w14:textId="77777777">
                    <w:pPr>
                      <w:jc w:val="right"/>
                      <w:rPr>
                        <w:rFonts w:ascii="Arial" w:hAnsi="Arial"/>
                        <w:b/>
                        <w:sz w:val="16"/>
                      </w:rPr>
                    </w:pPr>
                    <w:r w:rsidRPr="0085199C">
                      <w:rPr>
                        <w:rFonts w:ascii="Arial" w:hAnsi="Arial"/>
                        <w:b/>
                        <w:sz w:val="16"/>
                      </w:rPr>
                      <w:t>Fax-On-Demand 202 / 418-2830</w:t>
                    </w:r>
                  </w:p>
                  <w:p w:rsidR="00152849" w:rsidP="00152849" w14:paraId="2DE72698" w14:textId="77777777">
                    <w:pPr>
                      <w:jc w:val="right"/>
                      <w:rPr>
                        <w:rFonts w:ascii="Arial" w:hAnsi="Arial"/>
                        <w:b/>
                        <w:sz w:val="16"/>
                      </w:rPr>
                    </w:pPr>
                    <w:r w:rsidRPr="0085199C">
                      <w:rPr>
                        <w:rFonts w:ascii="Arial" w:hAnsi="Arial"/>
                        <w:b/>
                        <w:sz w:val="16"/>
                      </w:rPr>
                      <w:tab/>
                    </w:r>
                    <w:r>
                      <w:rPr>
                        <w:rFonts w:ascii="Arial" w:hAnsi="Arial"/>
                        <w:b/>
                        <w:sz w:val="16"/>
                      </w:rPr>
                      <w:t>TTY: 1-888-835-5322</w:t>
                    </w:r>
                  </w:p>
                  <w:p w:rsidR="0085199C" w:rsidRPr="0085199C" w:rsidP="0085199C" w14:paraId="17C0531D" w14:textId="77777777">
                    <w:pPr>
                      <w:jc w:val="right"/>
                      <w:rPr>
                        <w:rFonts w:ascii="Arial" w:hAnsi="Arial"/>
                        <w:b/>
                        <w:sz w:val="16"/>
                      </w:rPr>
                    </w:pPr>
                    <w:r w:rsidRPr="0085199C">
                      <w:rPr>
                        <w:rFonts w:ascii="Arial" w:hAnsi="Arial"/>
                        <w:b/>
                        <w:sz w:val="16"/>
                      </w:rPr>
                      <w:t>Internet: http://www.fcc.gov</w:t>
                    </w:r>
                  </w:p>
                  <w:p w:rsidR="0095395F" w:rsidRPr="00152849" w:rsidP="00152849" w14:paraId="4841345C" w14:textId="77777777">
                    <w:pPr>
                      <w:jc w:val="right"/>
                      <w:rPr>
                        <w:rFonts w:ascii="Arial" w:hAnsi="Arial"/>
                        <w:b/>
                        <w:sz w:val="16"/>
                      </w:rPr>
                    </w:pPr>
                    <w:r w:rsidRPr="0085199C">
                      <w:rPr>
                        <w:rFonts w:ascii="Arial" w:hAnsi="Arial"/>
                        <w:b/>
                        <w:sz w:val="16"/>
                      </w:rPr>
                      <w:tab/>
                      <w:t>ftp.fcc.gov</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32368</wp:posOffset>
              </wp:positionH>
              <wp:positionV relativeFrom="paragraph">
                <wp:posOffset>701337</wp:posOffset>
              </wp:positionV>
              <wp:extent cx="5923370" cy="2540"/>
              <wp:effectExtent l="0" t="0" r="20320" b="3556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2337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0" style="mso-height-percent:0;mso-height-relative:page;mso-width-percent:0;mso-width-relative:page;mso-wrap-distance-bottom:0;mso-wrap-distance-left:9pt;mso-wrap-distance-right:9pt;mso-wrap-distance-top:0;mso-wrap-style:square;position:absolute;visibility:visible;z-index:251661312" from="2.55pt,55.2pt" to="468.95pt,55.4pt" o:allowincell="f"/>
          </w:pict>
        </mc:Fallback>
      </mc:AlternateContent>
    </w:r>
    <w:r w:rsidR="00FE518C">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762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5395F" w14:textId="77777777">
                          <w:pPr>
                            <w:jc w:val="both"/>
                            <w:rPr>
                              <w:rFonts w:ascii="Arial" w:hAnsi="Arial"/>
                              <w:b/>
                            </w:rPr>
                          </w:pPr>
                          <w:r>
                            <w:rPr>
                              <w:rFonts w:ascii="Arial" w:hAnsi="Arial"/>
                              <w:b/>
                            </w:rPr>
                            <w:t>Federal Communications Commission</w:t>
                          </w:r>
                        </w:p>
                        <w:p w:rsidR="0095395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5395F"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 o:spid="_x0000_s2051"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95395F" w14:paraId="12DF4344" w14:textId="77777777">
                    <w:pPr>
                      <w:jc w:val="both"/>
                      <w:rPr>
                        <w:rFonts w:ascii="Arial" w:hAnsi="Arial"/>
                        <w:b/>
                      </w:rPr>
                    </w:pPr>
                    <w:r>
                      <w:rPr>
                        <w:rFonts w:ascii="Arial" w:hAnsi="Arial"/>
                        <w:b/>
                      </w:rPr>
                      <w:t>Federal Communications Commission</w:t>
                    </w:r>
                  </w:p>
                  <w:p w:rsidR="0095395F" w14:paraId="1A243650"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95395F" w14:paraId="7A444DC9" w14:textId="77777777">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PostalCod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lace">
                        <w:r>
                          <w:rPr>
                            <w:rFonts w:ascii="Arial" w:hAnsi="Arial"/>
                            <w:b/>
                          </w:rPr>
                          <w:t>20554</w:t>
                        </w:r>
                      </w:smartTag>
                    </w:smartTag>
                  </w:p>
                </w:txbxContent>
              </v:textbox>
            </v:shape>
          </w:pict>
        </mc:Fallback>
      </mc:AlternateContent>
    </w:r>
    <w:r w:rsidR="00262390">
      <w:rPr>
        <w:rFonts w:ascii="Arial" w:hAnsi="Arial"/>
        <w:b/>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05357658"/>
    <w:multiLevelType w:val="hybridMultilevel"/>
    <w:tmpl w:val="A59E262C"/>
    <w:lvl w:ilvl="0">
      <w:start w:val="1"/>
      <w:numFmt w:val="bullet"/>
      <w:lvlText w:val=""/>
      <w:lvlJc w:val="left"/>
      <w:pPr>
        <w:tabs>
          <w:tab w:val="num" w:pos="1020"/>
        </w:tabs>
        <w:ind w:left="1020" w:hanging="360"/>
      </w:pPr>
      <w:rPr>
        <w:rFonts w:ascii="Wingdings" w:hAnsi="Wingdings" w:hint="default"/>
      </w:rPr>
    </w:lvl>
    <w:lvl w:ilvl="1">
      <w:start w:val="1"/>
      <w:numFmt w:val="decimal"/>
      <w:lvlText w:val="(%2)"/>
      <w:lvlJc w:val="left"/>
      <w:pPr>
        <w:tabs>
          <w:tab w:val="num" w:pos="1740"/>
        </w:tabs>
        <w:ind w:left="1740" w:hanging="360"/>
      </w:pPr>
      <w:rPr>
        <w:rFonts w:cs="Times New Roman"/>
      </w:rPr>
    </w:lvl>
    <w:lvl w:ilvl="2">
      <w:start w:val="1"/>
      <w:numFmt w:val="lowerRoman"/>
      <w:lvlText w:val="%3."/>
      <w:lvlJc w:val="right"/>
      <w:pPr>
        <w:tabs>
          <w:tab w:val="num" w:pos="2460"/>
        </w:tabs>
        <w:ind w:left="2460" w:hanging="180"/>
      </w:pPr>
      <w:rPr>
        <w:rFonts w:cs="Times New Roman"/>
      </w:rPr>
    </w:lvl>
    <w:lvl w:ilvl="3">
      <w:start w:val="1"/>
      <w:numFmt w:val="decimal"/>
      <w:lvlText w:val="%4."/>
      <w:lvlJc w:val="left"/>
      <w:pPr>
        <w:tabs>
          <w:tab w:val="num" w:pos="3180"/>
        </w:tabs>
        <w:ind w:left="3180" w:hanging="360"/>
      </w:pPr>
      <w:rPr>
        <w:rFonts w:cs="Times New Roman"/>
      </w:rPr>
    </w:lvl>
    <w:lvl w:ilvl="4">
      <w:start w:val="1"/>
      <w:numFmt w:val="lowerLetter"/>
      <w:lvlText w:val="%5."/>
      <w:lvlJc w:val="left"/>
      <w:pPr>
        <w:tabs>
          <w:tab w:val="num" w:pos="3900"/>
        </w:tabs>
        <w:ind w:left="3900" w:hanging="360"/>
      </w:pPr>
      <w:rPr>
        <w:rFonts w:cs="Times New Roman"/>
      </w:rPr>
    </w:lvl>
    <w:lvl w:ilvl="5">
      <w:start w:val="1"/>
      <w:numFmt w:val="lowerRoman"/>
      <w:lvlText w:val="%6."/>
      <w:lvlJc w:val="right"/>
      <w:pPr>
        <w:tabs>
          <w:tab w:val="num" w:pos="4620"/>
        </w:tabs>
        <w:ind w:left="4620" w:hanging="180"/>
      </w:pPr>
      <w:rPr>
        <w:rFonts w:cs="Times New Roman"/>
      </w:rPr>
    </w:lvl>
    <w:lvl w:ilvl="6">
      <w:start w:val="1"/>
      <w:numFmt w:val="decimal"/>
      <w:lvlText w:val="%7."/>
      <w:lvlJc w:val="left"/>
      <w:pPr>
        <w:tabs>
          <w:tab w:val="num" w:pos="5340"/>
        </w:tabs>
        <w:ind w:left="5340" w:hanging="360"/>
      </w:pPr>
      <w:rPr>
        <w:rFonts w:cs="Times New Roman"/>
      </w:rPr>
    </w:lvl>
    <w:lvl w:ilvl="7">
      <w:start w:val="1"/>
      <w:numFmt w:val="lowerLetter"/>
      <w:lvlText w:val="%8."/>
      <w:lvlJc w:val="left"/>
      <w:pPr>
        <w:tabs>
          <w:tab w:val="num" w:pos="6060"/>
        </w:tabs>
        <w:ind w:left="6060" w:hanging="360"/>
      </w:pPr>
      <w:rPr>
        <w:rFonts w:cs="Times New Roman"/>
      </w:rPr>
    </w:lvl>
    <w:lvl w:ilvl="8">
      <w:start w:val="1"/>
      <w:numFmt w:val="lowerRoman"/>
      <w:lvlText w:val="%9."/>
      <w:lvlJc w:val="right"/>
      <w:pPr>
        <w:tabs>
          <w:tab w:val="num" w:pos="6780"/>
        </w:tabs>
        <w:ind w:left="6780" w:hanging="180"/>
      </w:pPr>
      <w:rPr>
        <w:rFonts w:cs="Times New Roman"/>
      </w:rPr>
    </w:lvl>
  </w:abstractNum>
  <w:abstractNum w:abstractNumId="2">
    <w:nsid w:val="18F10CC6"/>
    <w:multiLevelType w:val="hybridMultilevel"/>
    <w:tmpl w:val="6E52997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4737A09"/>
    <w:multiLevelType w:val="hybridMultilevel"/>
    <w:tmpl w:val="C9E6157E"/>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5">
    <w:nsid w:val="2C5450F7"/>
    <w:multiLevelType w:val="hybridMultilevel"/>
    <w:tmpl w:val="D098FBB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6">
    <w:nsid w:val="2D3E5F0D"/>
    <w:multiLevelType w:val="hybridMultilevel"/>
    <w:tmpl w:val="844A9E4E"/>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7">
    <w:nsid w:val="38333CB5"/>
    <w:multiLevelType w:val="hybridMultilevel"/>
    <w:tmpl w:val="7B9A5D02"/>
    <w:lvl w:ilvl="0">
      <w:start w:val="1"/>
      <w:numFmt w:val="bullet"/>
      <w:lvlText w:val=""/>
      <w:lvlJc w:val="left"/>
      <w:pPr>
        <w:tabs>
          <w:tab w:val="num" w:pos="1020"/>
        </w:tabs>
        <w:ind w:left="1020" w:hanging="360"/>
      </w:pPr>
      <w:rPr>
        <w:rFonts w:ascii="Wingdings" w:hAnsi="Wingdings" w:hint="default"/>
      </w:rPr>
    </w:lvl>
    <w:lvl w:ilvl="1">
      <w:start w:val="1"/>
      <w:numFmt w:val="bullet"/>
      <w:lvlText w:val="o"/>
      <w:lvlJc w:val="left"/>
      <w:pPr>
        <w:tabs>
          <w:tab w:val="num" w:pos="1740"/>
        </w:tabs>
        <w:ind w:left="1740" w:hanging="360"/>
      </w:pPr>
      <w:rPr>
        <w:rFonts w:ascii="Courier New" w:hAnsi="Courier New" w:hint="default"/>
      </w:rPr>
    </w:lvl>
    <w:lvl w:ilvl="2">
      <w:start w:val="1"/>
      <w:numFmt w:val="bullet"/>
      <w:lvlText w:val=""/>
      <w:lvlJc w:val="left"/>
      <w:pPr>
        <w:tabs>
          <w:tab w:val="num" w:pos="2460"/>
        </w:tabs>
        <w:ind w:left="2460" w:hanging="360"/>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hint="default"/>
      </w:rPr>
    </w:lvl>
    <w:lvl w:ilvl="8">
      <w:start w:val="1"/>
      <w:numFmt w:val="bullet"/>
      <w:lvlText w:val=""/>
      <w:lvlJc w:val="left"/>
      <w:pPr>
        <w:tabs>
          <w:tab w:val="num" w:pos="6780"/>
        </w:tabs>
        <w:ind w:left="6780" w:hanging="360"/>
      </w:pPr>
      <w:rPr>
        <w:rFonts w:ascii="Wingdings" w:hAnsi="Wingdings" w:hint="default"/>
      </w:rPr>
    </w:lvl>
  </w:abstractNum>
  <w:abstractNum w:abstractNumId="8">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9">
    <w:nsid w:val="3D983F01"/>
    <w:multiLevelType w:val="hybridMultilevel"/>
    <w:tmpl w:val="A920B072"/>
    <w:lvl w:ilvl="0">
      <w:start w:val="1"/>
      <w:numFmt w:val="upperRoman"/>
      <w:lvlText w:val="%1."/>
      <w:lvlJc w:val="left"/>
      <w:pPr>
        <w:ind w:left="1440" w:hanging="720"/>
      </w:pPr>
      <w:rPr>
        <w:rFonts w:cs="Times New Roman" w:hint="default"/>
        <w:b/>
        <w:i w:val="0"/>
        <w:u w:val="none"/>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10">
    <w:nsid w:val="44B80867"/>
    <w:multiLevelType w:val="hybridMultilevel"/>
    <w:tmpl w:val="81365CF6"/>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
    <w:nsid w:val="46EB5A2E"/>
    <w:multiLevelType w:val="hybridMultilevel"/>
    <w:tmpl w:val="B9020C5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17">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9">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7A45CAF"/>
    <w:multiLevelType w:val="hybridMultilevel"/>
    <w:tmpl w:val="A58674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6D646BAC"/>
    <w:multiLevelType w:val="hybridMultilevel"/>
    <w:tmpl w:val="FD6CE29C"/>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Wingdings" w:hAnsi="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71813A18"/>
    <w:multiLevelType w:val="hybridMultilevel"/>
    <w:tmpl w:val="684A55FA"/>
    <w:lvl w:ilvl="0">
      <w:start w:val="1"/>
      <w:numFmt w:val="upperLetter"/>
      <w:lvlText w:val="%1."/>
      <w:lvlJc w:val="left"/>
      <w:pPr>
        <w:ind w:left="1800" w:hanging="360"/>
      </w:pPr>
      <w:rPr>
        <w:rFonts w:cs="Times New Roman" w:hint="default"/>
      </w:rPr>
    </w:lvl>
    <w:lvl w:ilvl="1" w:tentative="1">
      <w:start w:val="1"/>
      <w:numFmt w:val="lowerLetter"/>
      <w:lvlText w:val="%2."/>
      <w:lvlJc w:val="left"/>
      <w:pPr>
        <w:ind w:left="2520" w:hanging="360"/>
      </w:pPr>
      <w:rPr>
        <w:rFonts w:cs="Times New Roman"/>
      </w:rPr>
    </w:lvl>
    <w:lvl w:ilvl="2" w:tentative="1">
      <w:start w:val="1"/>
      <w:numFmt w:val="lowerRoman"/>
      <w:lvlText w:val="%3."/>
      <w:lvlJc w:val="right"/>
      <w:pPr>
        <w:ind w:left="3240" w:hanging="180"/>
      </w:pPr>
      <w:rPr>
        <w:rFonts w:cs="Times New Roman"/>
      </w:rPr>
    </w:lvl>
    <w:lvl w:ilvl="3" w:tentative="1">
      <w:start w:val="1"/>
      <w:numFmt w:val="decimal"/>
      <w:lvlText w:val="%4."/>
      <w:lvlJc w:val="left"/>
      <w:pPr>
        <w:ind w:left="3960" w:hanging="360"/>
      </w:pPr>
      <w:rPr>
        <w:rFonts w:cs="Times New Roman"/>
      </w:rPr>
    </w:lvl>
    <w:lvl w:ilvl="4" w:tentative="1">
      <w:start w:val="1"/>
      <w:numFmt w:val="lowerLetter"/>
      <w:lvlText w:val="%5."/>
      <w:lvlJc w:val="left"/>
      <w:pPr>
        <w:ind w:left="4680" w:hanging="360"/>
      </w:pPr>
      <w:rPr>
        <w:rFonts w:cs="Times New Roman"/>
      </w:rPr>
    </w:lvl>
    <w:lvl w:ilvl="5" w:tentative="1">
      <w:start w:val="1"/>
      <w:numFmt w:val="lowerRoman"/>
      <w:lvlText w:val="%6."/>
      <w:lvlJc w:val="right"/>
      <w:pPr>
        <w:ind w:left="5400" w:hanging="180"/>
      </w:pPr>
      <w:rPr>
        <w:rFonts w:cs="Times New Roman"/>
      </w:rPr>
    </w:lvl>
    <w:lvl w:ilvl="6" w:tentative="1">
      <w:start w:val="1"/>
      <w:numFmt w:val="decimal"/>
      <w:lvlText w:val="%7."/>
      <w:lvlJc w:val="left"/>
      <w:pPr>
        <w:ind w:left="6120" w:hanging="360"/>
      </w:pPr>
      <w:rPr>
        <w:rFonts w:cs="Times New Roman"/>
      </w:rPr>
    </w:lvl>
    <w:lvl w:ilvl="7" w:tentative="1">
      <w:start w:val="1"/>
      <w:numFmt w:val="lowerLetter"/>
      <w:lvlText w:val="%8."/>
      <w:lvlJc w:val="left"/>
      <w:pPr>
        <w:ind w:left="6840" w:hanging="360"/>
      </w:pPr>
      <w:rPr>
        <w:rFonts w:cs="Times New Roman"/>
      </w:rPr>
    </w:lvl>
    <w:lvl w:ilvl="8" w:tentative="1">
      <w:start w:val="1"/>
      <w:numFmt w:val="lowerRoman"/>
      <w:lvlText w:val="%9."/>
      <w:lvlJc w:val="right"/>
      <w:pPr>
        <w:ind w:left="7560" w:hanging="180"/>
      </w:pPr>
      <w:rPr>
        <w:rFonts w:cs="Times New Roman"/>
      </w:rPr>
    </w:lvl>
  </w:abstractNum>
  <w:abstractNum w:abstractNumId="25">
    <w:nsid w:val="75EB7AEA"/>
    <w:multiLevelType w:val="hybridMultilevel"/>
    <w:tmpl w:val="C73E4C4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7CEB1387"/>
    <w:multiLevelType w:val="hybridMultilevel"/>
    <w:tmpl w:val="C9E6157E"/>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num w:numId="1">
    <w:abstractNumId w:val="16"/>
  </w:num>
  <w:num w:numId="2">
    <w:abstractNumId w:val="15"/>
  </w:num>
  <w:num w:numId="3">
    <w:abstractNumId w:val="18"/>
  </w:num>
  <w:num w:numId="4">
    <w:abstractNumId w:val="4"/>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4"/>
  </w:num>
  <w:num w:numId="12">
    <w:abstractNumId w:val="8"/>
  </w:num>
  <w:num w:numId="13">
    <w:abstractNumId w:val="19"/>
  </w:num>
  <w:num w:numId="14">
    <w:abstractNumId w:val="20"/>
  </w:num>
  <w:num w:numId="15">
    <w:abstractNumId w:val="0"/>
  </w:num>
  <w:num w:numId="16">
    <w:abstractNumId w:val="12"/>
  </w:num>
  <w:num w:numId="17">
    <w:abstractNumId w:val="13"/>
  </w:num>
  <w:num w:numId="18">
    <w:abstractNumId w:val="22"/>
  </w:num>
  <w:num w:numId="19">
    <w:abstractNumId w:val="17"/>
  </w:num>
  <w:num w:numId="20">
    <w:abstractNumId w:val="5"/>
  </w:num>
  <w:num w:numId="21">
    <w:abstractNumId w:val="24"/>
  </w:num>
  <w:num w:numId="22">
    <w:abstractNumId w:val="9"/>
  </w:num>
  <w:num w:numId="23">
    <w:abstractNumId w:val="7"/>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7"/>
  </w:num>
  <w:num w:numId="30">
    <w:abstractNumId w:val="7"/>
  </w:num>
  <w:num w:numId="31">
    <w:abstractNumId w:val="26"/>
  </w:num>
  <w:num w:numId="32">
    <w:abstractNumId w:val="3"/>
  </w:num>
  <w:num w:numId="33">
    <w:abstractNumId w:val="10"/>
  </w:num>
  <w:num w:numId="34">
    <w:abstractNumId w:val="25"/>
  </w:num>
  <w:num w:numId="35">
    <w:abstractNumId w:val="2"/>
  </w:num>
  <w:num w:numId="36">
    <w:abstractNumId w:val="23"/>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E51"/>
    <w:rsid w:val="00001F91"/>
    <w:rsid w:val="0000368B"/>
    <w:rsid w:val="00005A00"/>
    <w:rsid w:val="00021DBB"/>
    <w:rsid w:val="000244B4"/>
    <w:rsid w:val="00025081"/>
    <w:rsid w:val="00025F7F"/>
    <w:rsid w:val="000340CA"/>
    <w:rsid w:val="00035021"/>
    <w:rsid w:val="00035F79"/>
    <w:rsid w:val="00041315"/>
    <w:rsid w:val="00043B34"/>
    <w:rsid w:val="00051264"/>
    <w:rsid w:val="00052CA5"/>
    <w:rsid w:val="00057F6B"/>
    <w:rsid w:val="00062E69"/>
    <w:rsid w:val="00065866"/>
    <w:rsid w:val="00065ED8"/>
    <w:rsid w:val="00070C1F"/>
    <w:rsid w:val="00075413"/>
    <w:rsid w:val="0007702A"/>
    <w:rsid w:val="00081040"/>
    <w:rsid w:val="00084262"/>
    <w:rsid w:val="0008439E"/>
    <w:rsid w:val="00086033"/>
    <w:rsid w:val="00087E74"/>
    <w:rsid w:val="00093943"/>
    <w:rsid w:val="000A09F2"/>
    <w:rsid w:val="000A3CEC"/>
    <w:rsid w:val="000B11EC"/>
    <w:rsid w:val="000B76F9"/>
    <w:rsid w:val="000C0840"/>
    <w:rsid w:val="000C61DC"/>
    <w:rsid w:val="000D32B4"/>
    <w:rsid w:val="000D4B71"/>
    <w:rsid w:val="000E3727"/>
    <w:rsid w:val="000E557F"/>
    <w:rsid w:val="000F0688"/>
    <w:rsid w:val="001058BC"/>
    <w:rsid w:val="001066F9"/>
    <w:rsid w:val="00107BF9"/>
    <w:rsid w:val="00114355"/>
    <w:rsid w:val="00115372"/>
    <w:rsid w:val="00127549"/>
    <w:rsid w:val="001322D1"/>
    <w:rsid w:val="00133F6A"/>
    <w:rsid w:val="001366C5"/>
    <w:rsid w:val="001377FD"/>
    <w:rsid w:val="00137C39"/>
    <w:rsid w:val="001456C6"/>
    <w:rsid w:val="00146942"/>
    <w:rsid w:val="00150429"/>
    <w:rsid w:val="001507A8"/>
    <w:rsid w:val="00152849"/>
    <w:rsid w:val="00157D78"/>
    <w:rsid w:val="00161494"/>
    <w:rsid w:val="00164E8E"/>
    <w:rsid w:val="00165C44"/>
    <w:rsid w:val="001764F2"/>
    <w:rsid w:val="00186F36"/>
    <w:rsid w:val="001907F3"/>
    <w:rsid w:val="00191928"/>
    <w:rsid w:val="001A02CA"/>
    <w:rsid w:val="001A37DF"/>
    <w:rsid w:val="001A5A26"/>
    <w:rsid w:val="001B128F"/>
    <w:rsid w:val="001B2382"/>
    <w:rsid w:val="001B343C"/>
    <w:rsid w:val="001B3E12"/>
    <w:rsid w:val="001B4352"/>
    <w:rsid w:val="001B44C6"/>
    <w:rsid w:val="001B60C6"/>
    <w:rsid w:val="001C4965"/>
    <w:rsid w:val="001C6CDE"/>
    <w:rsid w:val="001D0C7A"/>
    <w:rsid w:val="001D31A9"/>
    <w:rsid w:val="001D3F78"/>
    <w:rsid w:val="001D6F4C"/>
    <w:rsid w:val="001E2226"/>
    <w:rsid w:val="001E5116"/>
    <w:rsid w:val="001E5592"/>
    <w:rsid w:val="001E5C31"/>
    <w:rsid w:val="001F0669"/>
    <w:rsid w:val="001F2D65"/>
    <w:rsid w:val="0020136F"/>
    <w:rsid w:val="00202F3A"/>
    <w:rsid w:val="002031E7"/>
    <w:rsid w:val="00230B4B"/>
    <w:rsid w:val="00231168"/>
    <w:rsid w:val="00233641"/>
    <w:rsid w:val="00251612"/>
    <w:rsid w:val="0025214B"/>
    <w:rsid w:val="002524AA"/>
    <w:rsid w:val="00255CE2"/>
    <w:rsid w:val="002563E6"/>
    <w:rsid w:val="00262390"/>
    <w:rsid w:val="00271AC0"/>
    <w:rsid w:val="00271D04"/>
    <w:rsid w:val="002729D3"/>
    <w:rsid w:val="002751F2"/>
    <w:rsid w:val="002821C4"/>
    <w:rsid w:val="002822E3"/>
    <w:rsid w:val="002830A3"/>
    <w:rsid w:val="00283BE6"/>
    <w:rsid w:val="002875B9"/>
    <w:rsid w:val="00290B79"/>
    <w:rsid w:val="00292FB9"/>
    <w:rsid w:val="0029356C"/>
    <w:rsid w:val="00294FC3"/>
    <w:rsid w:val="002A659D"/>
    <w:rsid w:val="002A76F5"/>
    <w:rsid w:val="002B1170"/>
    <w:rsid w:val="002B2237"/>
    <w:rsid w:val="002B4253"/>
    <w:rsid w:val="002B510B"/>
    <w:rsid w:val="002C20F5"/>
    <w:rsid w:val="002D3C5A"/>
    <w:rsid w:val="002E0C31"/>
    <w:rsid w:val="002F037A"/>
    <w:rsid w:val="002F14F1"/>
    <w:rsid w:val="002F24BB"/>
    <w:rsid w:val="002F661C"/>
    <w:rsid w:val="002F7748"/>
    <w:rsid w:val="003002B2"/>
    <w:rsid w:val="003017AD"/>
    <w:rsid w:val="00307359"/>
    <w:rsid w:val="003074CE"/>
    <w:rsid w:val="0031449C"/>
    <w:rsid w:val="003145CB"/>
    <w:rsid w:val="00316024"/>
    <w:rsid w:val="0031641D"/>
    <w:rsid w:val="00321CC2"/>
    <w:rsid w:val="0032223D"/>
    <w:rsid w:val="00324B46"/>
    <w:rsid w:val="00326527"/>
    <w:rsid w:val="00336182"/>
    <w:rsid w:val="00336E40"/>
    <w:rsid w:val="00357E1D"/>
    <w:rsid w:val="003613E7"/>
    <w:rsid w:val="00366386"/>
    <w:rsid w:val="00366FEB"/>
    <w:rsid w:val="00375A88"/>
    <w:rsid w:val="00383115"/>
    <w:rsid w:val="0038452B"/>
    <w:rsid w:val="00384BD3"/>
    <w:rsid w:val="00385FDC"/>
    <w:rsid w:val="0039335C"/>
    <w:rsid w:val="00394C33"/>
    <w:rsid w:val="00395436"/>
    <w:rsid w:val="00396873"/>
    <w:rsid w:val="00397F1A"/>
    <w:rsid w:val="003A2252"/>
    <w:rsid w:val="003A5AE9"/>
    <w:rsid w:val="003A5FA5"/>
    <w:rsid w:val="003A71B8"/>
    <w:rsid w:val="003A73B6"/>
    <w:rsid w:val="003B2C85"/>
    <w:rsid w:val="003B436E"/>
    <w:rsid w:val="003C0F5A"/>
    <w:rsid w:val="003C1048"/>
    <w:rsid w:val="003C3B73"/>
    <w:rsid w:val="003C3B79"/>
    <w:rsid w:val="003C46E2"/>
    <w:rsid w:val="003C53C3"/>
    <w:rsid w:val="003C6401"/>
    <w:rsid w:val="003C6916"/>
    <w:rsid w:val="003C6A40"/>
    <w:rsid w:val="003C7B33"/>
    <w:rsid w:val="003C7C04"/>
    <w:rsid w:val="003D038A"/>
    <w:rsid w:val="003D03C1"/>
    <w:rsid w:val="003D0FAE"/>
    <w:rsid w:val="003D1F84"/>
    <w:rsid w:val="003D40AB"/>
    <w:rsid w:val="003D784D"/>
    <w:rsid w:val="003E3D56"/>
    <w:rsid w:val="003E5269"/>
    <w:rsid w:val="003E6438"/>
    <w:rsid w:val="003E64CA"/>
    <w:rsid w:val="003F5CE6"/>
    <w:rsid w:val="00400F54"/>
    <w:rsid w:val="004031F6"/>
    <w:rsid w:val="00405135"/>
    <w:rsid w:val="004051C8"/>
    <w:rsid w:val="00406571"/>
    <w:rsid w:val="00414039"/>
    <w:rsid w:val="004204BD"/>
    <w:rsid w:val="00424D30"/>
    <w:rsid w:val="00430746"/>
    <w:rsid w:val="00432089"/>
    <w:rsid w:val="0043223A"/>
    <w:rsid w:val="00437EB0"/>
    <w:rsid w:val="00440533"/>
    <w:rsid w:val="00440CA0"/>
    <w:rsid w:val="0044109C"/>
    <w:rsid w:val="0045299C"/>
    <w:rsid w:val="0045645B"/>
    <w:rsid w:val="00462F29"/>
    <w:rsid w:val="00465B76"/>
    <w:rsid w:val="004729D8"/>
    <w:rsid w:val="00472B15"/>
    <w:rsid w:val="0047393F"/>
    <w:rsid w:val="00477C30"/>
    <w:rsid w:val="00482269"/>
    <w:rsid w:val="00495C1D"/>
    <w:rsid w:val="004B0F28"/>
    <w:rsid w:val="004B59DC"/>
    <w:rsid w:val="004C1B11"/>
    <w:rsid w:val="004C6571"/>
    <w:rsid w:val="004C7C02"/>
    <w:rsid w:val="004D2910"/>
    <w:rsid w:val="004D347B"/>
    <w:rsid w:val="004D40E5"/>
    <w:rsid w:val="004E5101"/>
    <w:rsid w:val="004E5FE7"/>
    <w:rsid w:val="004E6CE2"/>
    <w:rsid w:val="004E73AE"/>
    <w:rsid w:val="004E79EA"/>
    <w:rsid w:val="004F3153"/>
    <w:rsid w:val="004F65F6"/>
    <w:rsid w:val="004F791B"/>
    <w:rsid w:val="004F79D9"/>
    <w:rsid w:val="00504B01"/>
    <w:rsid w:val="00505111"/>
    <w:rsid w:val="0051155D"/>
    <w:rsid w:val="00514324"/>
    <w:rsid w:val="005146F5"/>
    <w:rsid w:val="00523D65"/>
    <w:rsid w:val="005262A6"/>
    <w:rsid w:val="0053580B"/>
    <w:rsid w:val="0053654C"/>
    <w:rsid w:val="005518E9"/>
    <w:rsid w:val="00553979"/>
    <w:rsid w:val="0055525F"/>
    <w:rsid w:val="005552BA"/>
    <w:rsid w:val="005554F9"/>
    <w:rsid w:val="0055656D"/>
    <w:rsid w:val="00560A35"/>
    <w:rsid w:val="005649BC"/>
    <w:rsid w:val="00575C75"/>
    <w:rsid w:val="00575C7C"/>
    <w:rsid w:val="005851C1"/>
    <w:rsid w:val="00592FF0"/>
    <w:rsid w:val="00593B91"/>
    <w:rsid w:val="00595926"/>
    <w:rsid w:val="00597E81"/>
    <w:rsid w:val="005A3C2E"/>
    <w:rsid w:val="005B4BEF"/>
    <w:rsid w:val="005B5FD5"/>
    <w:rsid w:val="005D004D"/>
    <w:rsid w:val="005D381D"/>
    <w:rsid w:val="005D6467"/>
    <w:rsid w:val="005E116C"/>
    <w:rsid w:val="005F0DDE"/>
    <w:rsid w:val="005F66A1"/>
    <w:rsid w:val="005F6D4A"/>
    <w:rsid w:val="00603657"/>
    <w:rsid w:val="006058C8"/>
    <w:rsid w:val="0061559A"/>
    <w:rsid w:val="006160CC"/>
    <w:rsid w:val="00631BB2"/>
    <w:rsid w:val="00634398"/>
    <w:rsid w:val="00636D49"/>
    <w:rsid w:val="0066511D"/>
    <w:rsid w:val="0067499B"/>
    <w:rsid w:val="00677EF7"/>
    <w:rsid w:val="00686C4E"/>
    <w:rsid w:val="00695A05"/>
    <w:rsid w:val="006966CF"/>
    <w:rsid w:val="006A26D4"/>
    <w:rsid w:val="006A4549"/>
    <w:rsid w:val="006A5007"/>
    <w:rsid w:val="006A5D23"/>
    <w:rsid w:val="006A6C2C"/>
    <w:rsid w:val="006B1E62"/>
    <w:rsid w:val="006B574E"/>
    <w:rsid w:val="006B7A6F"/>
    <w:rsid w:val="006B7E75"/>
    <w:rsid w:val="006C5C40"/>
    <w:rsid w:val="006D2A39"/>
    <w:rsid w:val="006D40DE"/>
    <w:rsid w:val="006E27C4"/>
    <w:rsid w:val="006E5C0A"/>
    <w:rsid w:val="006F63F4"/>
    <w:rsid w:val="006F7CC8"/>
    <w:rsid w:val="0070362B"/>
    <w:rsid w:val="00705741"/>
    <w:rsid w:val="00711070"/>
    <w:rsid w:val="00723439"/>
    <w:rsid w:val="00724F63"/>
    <w:rsid w:val="0073225E"/>
    <w:rsid w:val="007407AF"/>
    <w:rsid w:val="007443A8"/>
    <w:rsid w:val="00744F92"/>
    <w:rsid w:val="00745510"/>
    <w:rsid w:val="00754760"/>
    <w:rsid w:val="00757761"/>
    <w:rsid w:val="00767806"/>
    <w:rsid w:val="007823CC"/>
    <w:rsid w:val="007836CB"/>
    <w:rsid w:val="00784362"/>
    <w:rsid w:val="00785F2E"/>
    <w:rsid w:val="00786DD4"/>
    <w:rsid w:val="00796241"/>
    <w:rsid w:val="007A3E38"/>
    <w:rsid w:val="007A7397"/>
    <w:rsid w:val="007B20C9"/>
    <w:rsid w:val="007B2879"/>
    <w:rsid w:val="007C1C2D"/>
    <w:rsid w:val="007C683B"/>
    <w:rsid w:val="007D1279"/>
    <w:rsid w:val="007D4734"/>
    <w:rsid w:val="007E09E5"/>
    <w:rsid w:val="007F355B"/>
    <w:rsid w:val="007F4425"/>
    <w:rsid w:val="00804F06"/>
    <w:rsid w:val="00814219"/>
    <w:rsid w:val="00817F45"/>
    <w:rsid w:val="008221D3"/>
    <w:rsid w:val="00833B59"/>
    <w:rsid w:val="008405D6"/>
    <w:rsid w:val="008456EB"/>
    <w:rsid w:val="00845CE1"/>
    <w:rsid w:val="00845E58"/>
    <w:rsid w:val="00847F8F"/>
    <w:rsid w:val="00850146"/>
    <w:rsid w:val="0085199C"/>
    <w:rsid w:val="00857B75"/>
    <w:rsid w:val="00857BD9"/>
    <w:rsid w:val="008635ED"/>
    <w:rsid w:val="00867913"/>
    <w:rsid w:val="00870343"/>
    <w:rsid w:val="00872DF5"/>
    <w:rsid w:val="008804C2"/>
    <w:rsid w:val="008817A1"/>
    <w:rsid w:val="0088216C"/>
    <w:rsid w:val="00883A33"/>
    <w:rsid w:val="00886AB2"/>
    <w:rsid w:val="00890AC3"/>
    <w:rsid w:val="0089185E"/>
    <w:rsid w:val="00891FC1"/>
    <w:rsid w:val="008922CB"/>
    <w:rsid w:val="0089384E"/>
    <w:rsid w:val="00895237"/>
    <w:rsid w:val="00896476"/>
    <w:rsid w:val="008A42C8"/>
    <w:rsid w:val="008A5500"/>
    <w:rsid w:val="008B0DF6"/>
    <w:rsid w:val="008B1825"/>
    <w:rsid w:val="008B40B5"/>
    <w:rsid w:val="008B446C"/>
    <w:rsid w:val="008B56BC"/>
    <w:rsid w:val="008B70BA"/>
    <w:rsid w:val="008C009D"/>
    <w:rsid w:val="008C4F72"/>
    <w:rsid w:val="008C6F9D"/>
    <w:rsid w:val="008D200E"/>
    <w:rsid w:val="008D50D3"/>
    <w:rsid w:val="008D5559"/>
    <w:rsid w:val="008E0A58"/>
    <w:rsid w:val="008E19AB"/>
    <w:rsid w:val="008E59FA"/>
    <w:rsid w:val="008E6855"/>
    <w:rsid w:val="008E722B"/>
    <w:rsid w:val="008F1CEA"/>
    <w:rsid w:val="008F2916"/>
    <w:rsid w:val="008F5D13"/>
    <w:rsid w:val="009078FA"/>
    <w:rsid w:val="009100CF"/>
    <w:rsid w:val="00912B86"/>
    <w:rsid w:val="00913CE7"/>
    <w:rsid w:val="00916F48"/>
    <w:rsid w:val="00921FEA"/>
    <w:rsid w:val="00922192"/>
    <w:rsid w:val="00927637"/>
    <w:rsid w:val="0094317D"/>
    <w:rsid w:val="0094390F"/>
    <w:rsid w:val="00946E6D"/>
    <w:rsid w:val="0095395F"/>
    <w:rsid w:val="009551EB"/>
    <w:rsid w:val="00956346"/>
    <w:rsid w:val="0096463E"/>
    <w:rsid w:val="00967A7A"/>
    <w:rsid w:val="00970349"/>
    <w:rsid w:val="009738F0"/>
    <w:rsid w:val="00977B60"/>
    <w:rsid w:val="00980D00"/>
    <w:rsid w:val="00984939"/>
    <w:rsid w:val="009861FA"/>
    <w:rsid w:val="009934E0"/>
    <w:rsid w:val="009954E5"/>
    <w:rsid w:val="00997D40"/>
    <w:rsid w:val="009A63A0"/>
    <w:rsid w:val="009B134B"/>
    <w:rsid w:val="009B48C9"/>
    <w:rsid w:val="009B4EF2"/>
    <w:rsid w:val="009B587A"/>
    <w:rsid w:val="009B6860"/>
    <w:rsid w:val="009B6D29"/>
    <w:rsid w:val="009B7B27"/>
    <w:rsid w:val="009C298F"/>
    <w:rsid w:val="009C38BF"/>
    <w:rsid w:val="009C796C"/>
    <w:rsid w:val="009D3E42"/>
    <w:rsid w:val="009E0CA7"/>
    <w:rsid w:val="009E2EAE"/>
    <w:rsid w:val="009E655E"/>
    <w:rsid w:val="00A00821"/>
    <w:rsid w:val="00A03173"/>
    <w:rsid w:val="00A04B91"/>
    <w:rsid w:val="00A12E6A"/>
    <w:rsid w:val="00A17D1E"/>
    <w:rsid w:val="00A21E5B"/>
    <w:rsid w:val="00A233FD"/>
    <w:rsid w:val="00A36485"/>
    <w:rsid w:val="00A37552"/>
    <w:rsid w:val="00A4051A"/>
    <w:rsid w:val="00A443FC"/>
    <w:rsid w:val="00A45A2D"/>
    <w:rsid w:val="00A470A8"/>
    <w:rsid w:val="00A77A87"/>
    <w:rsid w:val="00A80ACC"/>
    <w:rsid w:val="00A84D12"/>
    <w:rsid w:val="00A84F62"/>
    <w:rsid w:val="00A87803"/>
    <w:rsid w:val="00A91905"/>
    <w:rsid w:val="00A92AB0"/>
    <w:rsid w:val="00AA0569"/>
    <w:rsid w:val="00AA0952"/>
    <w:rsid w:val="00AA22B9"/>
    <w:rsid w:val="00AB00BC"/>
    <w:rsid w:val="00AB5519"/>
    <w:rsid w:val="00AC3626"/>
    <w:rsid w:val="00AC479D"/>
    <w:rsid w:val="00AD2748"/>
    <w:rsid w:val="00AD2E2D"/>
    <w:rsid w:val="00AD60E1"/>
    <w:rsid w:val="00AE4C17"/>
    <w:rsid w:val="00AF11BE"/>
    <w:rsid w:val="00AF510D"/>
    <w:rsid w:val="00AF5179"/>
    <w:rsid w:val="00B00C50"/>
    <w:rsid w:val="00B02B6B"/>
    <w:rsid w:val="00B06996"/>
    <w:rsid w:val="00B11A5A"/>
    <w:rsid w:val="00B14A6D"/>
    <w:rsid w:val="00B15ED1"/>
    <w:rsid w:val="00B213DD"/>
    <w:rsid w:val="00B2739E"/>
    <w:rsid w:val="00B27CB1"/>
    <w:rsid w:val="00B35224"/>
    <w:rsid w:val="00B359C8"/>
    <w:rsid w:val="00B35B49"/>
    <w:rsid w:val="00B4175E"/>
    <w:rsid w:val="00B44090"/>
    <w:rsid w:val="00B44E9A"/>
    <w:rsid w:val="00B47418"/>
    <w:rsid w:val="00B510C0"/>
    <w:rsid w:val="00B5542A"/>
    <w:rsid w:val="00B6651A"/>
    <w:rsid w:val="00B7779F"/>
    <w:rsid w:val="00B816F5"/>
    <w:rsid w:val="00B86802"/>
    <w:rsid w:val="00B95511"/>
    <w:rsid w:val="00BA02BF"/>
    <w:rsid w:val="00BA0D4E"/>
    <w:rsid w:val="00BA2239"/>
    <w:rsid w:val="00BA77ED"/>
    <w:rsid w:val="00BB078A"/>
    <w:rsid w:val="00BB140C"/>
    <w:rsid w:val="00BB39C9"/>
    <w:rsid w:val="00BC04E1"/>
    <w:rsid w:val="00BC15D7"/>
    <w:rsid w:val="00BC5C3D"/>
    <w:rsid w:val="00BC7790"/>
    <w:rsid w:val="00BD1E3C"/>
    <w:rsid w:val="00BD573C"/>
    <w:rsid w:val="00BD6399"/>
    <w:rsid w:val="00BD7411"/>
    <w:rsid w:val="00BE47D1"/>
    <w:rsid w:val="00BE538E"/>
    <w:rsid w:val="00BF1AD3"/>
    <w:rsid w:val="00BF50D0"/>
    <w:rsid w:val="00BF5E51"/>
    <w:rsid w:val="00BF6E06"/>
    <w:rsid w:val="00C021CF"/>
    <w:rsid w:val="00C04224"/>
    <w:rsid w:val="00C04EEC"/>
    <w:rsid w:val="00C063D4"/>
    <w:rsid w:val="00C07AD3"/>
    <w:rsid w:val="00C14926"/>
    <w:rsid w:val="00C14E0E"/>
    <w:rsid w:val="00C15108"/>
    <w:rsid w:val="00C25707"/>
    <w:rsid w:val="00C33FE6"/>
    <w:rsid w:val="00C35846"/>
    <w:rsid w:val="00C36CF1"/>
    <w:rsid w:val="00C43F5C"/>
    <w:rsid w:val="00C451B9"/>
    <w:rsid w:val="00C51320"/>
    <w:rsid w:val="00C56A22"/>
    <w:rsid w:val="00C63A32"/>
    <w:rsid w:val="00C63FA6"/>
    <w:rsid w:val="00C643B3"/>
    <w:rsid w:val="00C649F2"/>
    <w:rsid w:val="00C64B2D"/>
    <w:rsid w:val="00C72E6A"/>
    <w:rsid w:val="00C74A25"/>
    <w:rsid w:val="00C7718F"/>
    <w:rsid w:val="00C7783A"/>
    <w:rsid w:val="00C81B8C"/>
    <w:rsid w:val="00C86280"/>
    <w:rsid w:val="00C869DC"/>
    <w:rsid w:val="00C94F75"/>
    <w:rsid w:val="00C9539B"/>
    <w:rsid w:val="00C95481"/>
    <w:rsid w:val="00C961D1"/>
    <w:rsid w:val="00CA3F04"/>
    <w:rsid w:val="00CA4504"/>
    <w:rsid w:val="00CB02C4"/>
    <w:rsid w:val="00CB37EC"/>
    <w:rsid w:val="00CB692A"/>
    <w:rsid w:val="00CC406E"/>
    <w:rsid w:val="00CC76AF"/>
    <w:rsid w:val="00CD0DF0"/>
    <w:rsid w:val="00CD356C"/>
    <w:rsid w:val="00CD38FD"/>
    <w:rsid w:val="00CD6FCF"/>
    <w:rsid w:val="00CE5E7B"/>
    <w:rsid w:val="00CF437F"/>
    <w:rsid w:val="00D00580"/>
    <w:rsid w:val="00D01159"/>
    <w:rsid w:val="00D06C70"/>
    <w:rsid w:val="00D10997"/>
    <w:rsid w:val="00D12903"/>
    <w:rsid w:val="00D14038"/>
    <w:rsid w:val="00D23BE0"/>
    <w:rsid w:val="00D23F9C"/>
    <w:rsid w:val="00D24574"/>
    <w:rsid w:val="00D2511F"/>
    <w:rsid w:val="00D2743B"/>
    <w:rsid w:val="00D27EF8"/>
    <w:rsid w:val="00D30941"/>
    <w:rsid w:val="00D32738"/>
    <w:rsid w:val="00D33A21"/>
    <w:rsid w:val="00D3558F"/>
    <w:rsid w:val="00D4302A"/>
    <w:rsid w:val="00D46177"/>
    <w:rsid w:val="00D501C1"/>
    <w:rsid w:val="00D5055D"/>
    <w:rsid w:val="00D5157D"/>
    <w:rsid w:val="00D52A20"/>
    <w:rsid w:val="00D53EFD"/>
    <w:rsid w:val="00D601E4"/>
    <w:rsid w:val="00D66527"/>
    <w:rsid w:val="00D76048"/>
    <w:rsid w:val="00D773E4"/>
    <w:rsid w:val="00D813E7"/>
    <w:rsid w:val="00D82A5D"/>
    <w:rsid w:val="00D84EB9"/>
    <w:rsid w:val="00D85C0D"/>
    <w:rsid w:val="00D9739B"/>
    <w:rsid w:val="00DA5B11"/>
    <w:rsid w:val="00DB0CF1"/>
    <w:rsid w:val="00DB147E"/>
    <w:rsid w:val="00DB2D9A"/>
    <w:rsid w:val="00DC3349"/>
    <w:rsid w:val="00DC436E"/>
    <w:rsid w:val="00DC4FD6"/>
    <w:rsid w:val="00DD0BBC"/>
    <w:rsid w:val="00DD23BC"/>
    <w:rsid w:val="00DD35BD"/>
    <w:rsid w:val="00DD40DC"/>
    <w:rsid w:val="00DD5130"/>
    <w:rsid w:val="00DD791F"/>
    <w:rsid w:val="00DE1383"/>
    <w:rsid w:val="00DE2690"/>
    <w:rsid w:val="00DF14D7"/>
    <w:rsid w:val="00DF5DF3"/>
    <w:rsid w:val="00DF6779"/>
    <w:rsid w:val="00DF7C9B"/>
    <w:rsid w:val="00E01B50"/>
    <w:rsid w:val="00E0690D"/>
    <w:rsid w:val="00E11478"/>
    <w:rsid w:val="00E117B2"/>
    <w:rsid w:val="00E11912"/>
    <w:rsid w:val="00E12F77"/>
    <w:rsid w:val="00E14BB7"/>
    <w:rsid w:val="00E154DA"/>
    <w:rsid w:val="00E232EA"/>
    <w:rsid w:val="00E25292"/>
    <w:rsid w:val="00E25721"/>
    <w:rsid w:val="00E27418"/>
    <w:rsid w:val="00E27F22"/>
    <w:rsid w:val="00E315A4"/>
    <w:rsid w:val="00E34000"/>
    <w:rsid w:val="00E37B0C"/>
    <w:rsid w:val="00E412CC"/>
    <w:rsid w:val="00E618D1"/>
    <w:rsid w:val="00E759EC"/>
    <w:rsid w:val="00E76FA9"/>
    <w:rsid w:val="00E77542"/>
    <w:rsid w:val="00E87C1C"/>
    <w:rsid w:val="00E924C3"/>
    <w:rsid w:val="00EA2784"/>
    <w:rsid w:val="00EA2D0A"/>
    <w:rsid w:val="00EA3A98"/>
    <w:rsid w:val="00EA3B6B"/>
    <w:rsid w:val="00EA617D"/>
    <w:rsid w:val="00EA7C7C"/>
    <w:rsid w:val="00EB570D"/>
    <w:rsid w:val="00EB6BA1"/>
    <w:rsid w:val="00EB72E1"/>
    <w:rsid w:val="00EC175D"/>
    <w:rsid w:val="00ED1E46"/>
    <w:rsid w:val="00ED2239"/>
    <w:rsid w:val="00ED5402"/>
    <w:rsid w:val="00EE3621"/>
    <w:rsid w:val="00EE37A9"/>
    <w:rsid w:val="00EE58CD"/>
    <w:rsid w:val="00EE5C3F"/>
    <w:rsid w:val="00EF2E22"/>
    <w:rsid w:val="00EF703F"/>
    <w:rsid w:val="00F047C6"/>
    <w:rsid w:val="00F05807"/>
    <w:rsid w:val="00F10DB6"/>
    <w:rsid w:val="00F1173D"/>
    <w:rsid w:val="00F14770"/>
    <w:rsid w:val="00F1577E"/>
    <w:rsid w:val="00F21F44"/>
    <w:rsid w:val="00F23F83"/>
    <w:rsid w:val="00F31190"/>
    <w:rsid w:val="00F32692"/>
    <w:rsid w:val="00F33780"/>
    <w:rsid w:val="00F34725"/>
    <w:rsid w:val="00F34770"/>
    <w:rsid w:val="00F3520B"/>
    <w:rsid w:val="00F41809"/>
    <w:rsid w:val="00F45EAC"/>
    <w:rsid w:val="00F53108"/>
    <w:rsid w:val="00F54BD1"/>
    <w:rsid w:val="00F5563C"/>
    <w:rsid w:val="00F55EF8"/>
    <w:rsid w:val="00F66C87"/>
    <w:rsid w:val="00F7271D"/>
    <w:rsid w:val="00F751EE"/>
    <w:rsid w:val="00F7625A"/>
    <w:rsid w:val="00F77A21"/>
    <w:rsid w:val="00F828F1"/>
    <w:rsid w:val="00F930E6"/>
    <w:rsid w:val="00FB15B2"/>
    <w:rsid w:val="00FC0B61"/>
    <w:rsid w:val="00FD1AF7"/>
    <w:rsid w:val="00FD1B61"/>
    <w:rsid w:val="00FD3F6C"/>
    <w:rsid w:val="00FD7F2B"/>
    <w:rsid w:val="00FE518C"/>
    <w:rsid w:val="00FF22BA"/>
    <w:rsid w:val="00FF36F0"/>
    <w:rsid w:val="00FF5A7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A20"/>
    <w:rPr>
      <w:sz w:val="20"/>
      <w:szCs w:val="20"/>
    </w:rPr>
  </w:style>
  <w:style w:type="paragraph" w:styleId="Heading1">
    <w:name w:val="heading 1"/>
    <w:basedOn w:val="Normal"/>
    <w:next w:val="Normal"/>
    <w:link w:val="Heading1Char"/>
    <w:uiPriority w:val="99"/>
    <w:qFormat/>
    <w:rsid w:val="00477C30"/>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477C30"/>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477C30"/>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477C30"/>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477C30"/>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477C30"/>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477C30"/>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477C30"/>
    <w:pPr>
      <w:widowControl w:val="0"/>
      <w:numPr>
        <w:ilvl w:val="7"/>
        <w:numId w:val="9"/>
      </w:numPr>
      <w:spacing w:after="220"/>
      <w:ind w:left="5760" w:hanging="720"/>
      <w:jc w:val="both"/>
      <w:outlineLvl w:val="7"/>
    </w:pPr>
    <w:rPr>
      <w:b/>
    </w:rPr>
  </w:style>
  <w:style w:type="paragraph" w:styleId="Heading9">
    <w:name w:val="heading 9"/>
    <w:basedOn w:val="Normal"/>
    <w:next w:val="Normal"/>
    <w:link w:val="Heading9Char"/>
    <w:uiPriority w:val="99"/>
    <w:qFormat/>
    <w:rsid w:val="00477C30"/>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88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0388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0388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0388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0388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0388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0388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0388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0388F"/>
    <w:rPr>
      <w:rFonts w:asciiTheme="majorHAnsi" w:eastAsiaTheme="majorEastAsia" w:hAnsiTheme="majorHAnsi" w:cstheme="majorBidi"/>
    </w:rPr>
  </w:style>
  <w:style w:type="paragraph" w:styleId="Header">
    <w:name w:val="header"/>
    <w:basedOn w:val="Normal"/>
    <w:link w:val="HeaderChar"/>
    <w:uiPriority w:val="99"/>
    <w:rsid w:val="00477C30"/>
    <w:pPr>
      <w:tabs>
        <w:tab w:val="center" w:pos="4320"/>
        <w:tab w:val="right" w:pos="8640"/>
      </w:tabs>
    </w:pPr>
  </w:style>
  <w:style w:type="character" w:customStyle="1" w:styleId="HeaderChar">
    <w:name w:val="Header Char"/>
    <w:basedOn w:val="DefaultParagraphFont"/>
    <w:link w:val="Header"/>
    <w:uiPriority w:val="99"/>
    <w:semiHidden/>
    <w:rsid w:val="0020388F"/>
    <w:rPr>
      <w:sz w:val="20"/>
      <w:szCs w:val="20"/>
    </w:rPr>
  </w:style>
  <w:style w:type="paragraph" w:styleId="Footer">
    <w:name w:val="footer"/>
    <w:basedOn w:val="Normal"/>
    <w:link w:val="FooterChar"/>
    <w:uiPriority w:val="99"/>
    <w:rsid w:val="00477C30"/>
    <w:pPr>
      <w:tabs>
        <w:tab w:val="center" w:pos="4320"/>
        <w:tab w:val="right" w:pos="8640"/>
      </w:tabs>
    </w:pPr>
    <w:rPr>
      <w:sz w:val="22"/>
    </w:rPr>
  </w:style>
  <w:style w:type="character" w:customStyle="1" w:styleId="FooterChar">
    <w:name w:val="Footer Char"/>
    <w:basedOn w:val="DefaultParagraphFont"/>
    <w:link w:val="Footer"/>
    <w:uiPriority w:val="99"/>
    <w:locked/>
    <w:rsid w:val="00477C30"/>
    <w:rPr>
      <w:sz w:val="22"/>
    </w:rPr>
  </w:style>
  <w:style w:type="character" w:styleId="Hyperlink">
    <w:name w:val="Hyperlink"/>
    <w:basedOn w:val="DefaultParagraphFont"/>
    <w:uiPriority w:val="99"/>
    <w:rsid w:val="00477C30"/>
    <w:rPr>
      <w:rFonts w:cs="Times New Roman"/>
      <w:color w:val="0000FF"/>
      <w:u w:val="single"/>
    </w:rPr>
  </w:style>
  <w:style w:type="paragraph" w:styleId="BlockText">
    <w:name w:val="Block Text"/>
    <w:basedOn w:val="Normal"/>
    <w:uiPriority w:val="99"/>
    <w:rsid w:val="00477C30"/>
    <w:pPr>
      <w:widowControl w:val="0"/>
      <w:spacing w:after="220"/>
      <w:ind w:left="1440" w:right="1440"/>
      <w:jc w:val="both"/>
    </w:pPr>
  </w:style>
  <w:style w:type="paragraph" w:customStyle="1" w:styleId="Bullet">
    <w:name w:val="Bullet"/>
    <w:basedOn w:val="Normal"/>
    <w:uiPriority w:val="99"/>
    <w:rsid w:val="00477C30"/>
    <w:pPr>
      <w:widowControl w:val="0"/>
      <w:numPr>
        <w:numId w:val="1"/>
      </w:numPr>
      <w:spacing w:after="220"/>
      <w:ind w:left="2160" w:hanging="720"/>
      <w:jc w:val="both"/>
    </w:pPr>
  </w:style>
  <w:style w:type="paragraph" w:styleId="Caption">
    <w:name w:val="caption"/>
    <w:basedOn w:val="Normal"/>
    <w:next w:val="Normal"/>
    <w:uiPriority w:val="99"/>
    <w:qFormat/>
    <w:rsid w:val="00477C30"/>
    <w:pPr>
      <w:spacing w:before="120" w:after="120"/>
    </w:pPr>
    <w:rPr>
      <w:b/>
    </w:rPr>
  </w:style>
  <w:style w:type="character" w:styleId="FootnoteReference">
    <w:name w:val="footnote reference"/>
    <w:aliases w:val="(NECG) Footnote Reference,Appel note de bas de p,FR,Footnote Reference/,Style 12,Style 124,Style 13,Style 17,Style 3,Style 4,Style 6,Style 7,fr,o"/>
    <w:basedOn w:val="DefaultParagraphFont"/>
    <w:rsid w:val="00477C30"/>
    <w:rPr>
      <w:rFonts w:cs="Times New Roman"/>
      <w:vertAlign w:val="superscript"/>
    </w:rPr>
  </w:style>
  <w:style w:type="paragraph" w:styleId="FootnoteText">
    <w:name w:val="footnote text"/>
    <w:aliases w:val="Char Char Char,Footnote Text Char Char Char Char,Footnote Text Char1 Char,Footnote Text Char1 Char Char,Footnote Text Char1 Char1 Char Char Char Char,Footnote Text Char2,Footnote Text Char2 Char,Footnote Text Char2 Char Char Char Char,f,fn"/>
    <w:basedOn w:val="Normal"/>
    <w:link w:val="FootnoteTextChar"/>
    <w:rsid w:val="00477C30"/>
    <w:pPr>
      <w:tabs>
        <w:tab w:val="left" w:pos="720"/>
      </w:tabs>
      <w:spacing w:after="200"/>
    </w:pPr>
    <w:rPr>
      <w:sz w:val="22"/>
    </w:rPr>
  </w:style>
  <w:style w:type="character" w:customStyle="1" w:styleId="FootnoteTextChar">
    <w:name w:val="Footnote Text Char"/>
    <w:aliases w:val="Footnote Text Char Char Char Char Char,Footnote Text Char1 Char Char Char,Footnote Text Char1 Char1 Char Char Char Char Char,Footnote Text Char2 Char Char,Footnote Text Char2 Char Char Char Char Char,Footnote Text Char2 Char1,fn Char"/>
    <w:basedOn w:val="DefaultParagraphFont"/>
    <w:link w:val="FootnoteText"/>
    <w:locked/>
    <w:rsid w:val="00477C30"/>
    <w:rPr>
      <w:sz w:val="22"/>
    </w:rPr>
  </w:style>
  <w:style w:type="paragraph" w:customStyle="1" w:styleId="NumberedList">
    <w:name w:val="Numbered List"/>
    <w:basedOn w:val="Normal"/>
    <w:uiPriority w:val="99"/>
    <w:rsid w:val="00477C30"/>
    <w:pPr>
      <w:numPr>
        <w:numId w:val="11"/>
      </w:numPr>
      <w:spacing w:after="220"/>
    </w:pPr>
  </w:style>
  <w:style w:type="paragraph" w:customStyle="1" w:styleId="Paranum">
    <w:name w:val="Paranum"/>
    <w:basedOn w:val="Normal"/>
    <w:uiPriority w:val="99"/>
    <w:rsid w:val="00477C30"/>
    <w:pPr>
      <w:widowControl w:val="0"/>
      <w:numPr>
        <w:numId w:val="12"/>
      </w:numPr>
      <w:spacing w:after="220"/>
      <w:jc w:val="both"/>
    </w:pPr>
  </w:style>
  <w:style w:type="paragraph" w:customStyle="1" w:styleId="TableFormat">
    <w:name w:val="Table Format"/>
    <w:basedOn w:val="Normal"/>
    <w:uiPriority w:val="99"/>
    <w:rsid w:val="00477C30"/>
    <w:pPr>
      <w:widowControl w:val="0"/>
      <w:tabs>
        <w:tab w:val="left" w:pos="5040"/>
      </w:tabs>
      <w:spacing w:after="220"/>
      <w:ind w:left="5040" w:hanging="3600"/>
      <w:jc w:val="both"/>
    </w:pPr>
  </w:style>
  <w:style w:type="paragraph" w:styleId="TOC1">
    <w:name w:val="toc 1"/>
    <w:basedOn w:val="Normal"/>
    <w:next w:val="Normal"/>
    <w:autoRedefine/>
    <w:uiPriority w:val="99"/>
    <w:semiHidden/>
    <w:rsid w:val="00477C30"/>
    <w:rPr>
      <w:caps/>
    </w:rPr>
  </w:style>
  <w:style w:type="character" w:styleId="FollowedHyperlink">
    <w:name w:val="FollowedHyperlink"/>
    <w:basedOn w:val="DefaultParagraphFont"/>
    <w:uiPriority w:val="99"/>
    <w:rsid w:val="00477C30"/>
    <w:rPr>
      <w:rFonts w:cs="Times New Roman"/>
      <w:color w:val="800080"/>
      <w:u w:val="single"/>
    </w:rPr>
  </w:style>
  <w:style w:type="paragraph" w:styleId="BalloonText">
    <w:name w:val="Balloon Text"/>
    <w:basedOn w:val="Normal"/>
    <w:link w:val="BalloonTextChar"/>
    <w:uiPriority w:val="99"/>
    <w:rsid w:val="00477C30"/>
    <w:rPr>
      <w:rFonts w:ascii="Tahoma" w:hAnsi="Tahoma"/>
      <w:sz w:val="16"/>
      <w:szCs w:val="16"/>
    </w:rPr>
  </w:style>
  <w:style w:type="character" w:customStyle="1" w:styleId="BalloonTextChar">
    <w:name w:val="Balloon Text Char"/>
    <w:basedOn w:val="DefaultParagraphFont"/>
    <w:link w:val="BalloonText"/>
    <w:uiPriority w:val="99"/>
    <w:locked/>
    <w:rsid w:val="00477C30"/>
    <w:rPr>
      <w:rFonts w:ascii="Tahoma" w:hAnsi="Tahoma"/>
      <w:sz w:val="16"/>
    </w:rPr>
  </w:style>
  <w:style w:type="character" w:styleId="CommentReference">
    <w:name w:val="annotation reference"/>
    <w:basedOn w:val="DefaultParagraphFont"/>
    <w:uiPriority w:val="99"/>
    <w:rsid w:val="00477C30"/>
    <w:rPr>
      <w:rFonts w:cs="Times New Roman"/>
      <w:sz w:val="16"/>
    </w:rPr>
  </w:style>
  <w:style w:type="paragraph" w:styleId="CommentText">
    <w:name w:val="annotation text"/>
    <w:basedOn w:val="Normal"/>
    <w:link w:val="CommentTextChar"/>
    <w:uiPriority w:val="99"/>
    <w:rsid w:val="00477C30"/>
  </w:style>
  <w:style w:type="character" w:customStyle="1" w:styleId="CommentTextChar">
    <w:name w:val="Comment Text Char"/>
    <w:basedOn w:val="DefaultParagraphFont"/>
    <w:link w:val="CommentText"/>
    <w:uiPriority w:val="99"/>
    <w:locked/>
    <w:rsid w:val="00477C30"/>
  </w:style>
  <w:style w:type="paragraph" w:styleId="CommentSubject">
    <w:name w:val="annotation subject"/>
    <w:basedOn w:val="CommentText"/>
    <w:next w:val="CommentText"/>
    <w:link w:val="CommentSubjectChar"/>
    <w:uiPriority w:val="99"/>
    <w:rsid w:val="00477C30"/>
    <w:rPr>
      <w:b/>
      <w:bCs/>
    </w:rPr>
  </w:style>
  <w:style w:type="character" w:customStyle="1" w:styleId="CommentSubjectChar">
    <w:name w:val="Comment Subject Char"/>
    <w:basedOn w:val="CommentTextChar"/>
    <w:link w:val="CommentSubject"/>
    <w:uiPriority w:val="99"/>
    <w:locked/>
    <w:rsid w:val="00477C30"/>
    <w:rPr>
      <w:b/>
    </w:rPr>
  </w:style>
  <w:style w:type="paragraph" w:styleId="BodyText">
    <w:name w:val="Body Text"/>
    <w:aliases w:val="b"/>
    <w:basedOn w:val="Normal"/>
    <w:link w:val="BodyTextChar"/>
    <w:uiPriority w:val="99"/>
    <w:rsid w:val="00477C30"/>
    <w:pPr>
      <w:spacing w:after="240"/>
    </w:pPr>
    <w:rPr>
      <w:sz w:val="24"/>
      <w:szCs w:val="24"/>
    </w:rPr>
  </w:style>
  <w:style w:type="character" w:customStyle="1" w:styleId="BodyTextChar">
    <w:name w:val="Body Text Char"/>
    <w:aliases w:val="b Char"/>
    <w:basedOn w:val="DefaultParagraphFont"/>
    <w:link w:val="BodyText"/>
    <w:uiPriority w:val="99"/>
    <w:semiHidden/>
    <w:rsid w:val="0020388F"/>
    <w:rPr>
      <w:sz w:val="20"/>
      <w:szCs w:val="20"/>
    </w:rPr>
  </w:style>
  <w:style w:type="character" w:customStyle="1" w:styleId="apple-converted-space">
    <w:name w:val="apple-converted-space"/>
    <w:basedOn w:val="DefaultParagraphFont"/>
    <w:uiPriority w:val="99"/>
    <w:rsid w:val="00477C30"/>
    <w:rPr>
      <w:rFonts w:cs="Times New Roman"/>
    </w:rPr>
  </w:style>
  <w:style w:type="paragraph" w:styleId="BodyText2">
    <w:name w:val="Body Text 2"/>
    <w:basedOn w:val="Normal"/>
    <w:link w:val="BodyText2Char"/>
    <w:uiPriority w:val="99"/>
    <w:rsid w:val="00477C30"/>
    <w:pPr>
      <w:spacing w:after="120" w:line="480" w:lineRule="auto"/>
    </w:pPr>
    <w:rPr>
      <w:sz w:val="22"/>
    </w:rPr>
  </w:style>
  <w:style w:type="character" w:customStyle="1" w:styleId="BodyText2Char">
    <w:name w:val="Body Text 2 Char"/>
    <w:basedOn w:val="DefaultParagraphFont"/>
    <w:link w:val="BodyText2"/>
    <w:uiPriority w:val="99"/>
    <w:locked/>
    <w:rsid w:val="00477C30"/>
    <w:rPr>
      <w:sz w:val="22"/>
    </w:rPr>
  </w:style>
  <w:style w:type="paragraph" w:styleId="ListParagraph">
    <w:name w:val="List Paragraph"/>
    <w:basedOn w:val="Normal"/>
    <w:uiPriority w:val="99"/>
    <w:qFormat/>
    <w:rsid w:val="00477C30"/>
    <w:pPr>
      <w:ind w:left="720"/>
    </w:pPr>
  </w:style>
  <w:style w:type="paragraph" w:styleId="Revision">
    <w:name w:val="Revision"/>
    <w:hidden/>
    <w:uiPriority w:val="99"/>
    <w:semiHidden/>
    <w:rsid w:val="00477C30"/>
    <w:rPr>
      <w:szCs w:val="20"/>
    </w:rPr>
  </w:style>
  <w:style w:type="character" w:customStyle="1" w:styleId="FootnoteTextChar1">
    <w:name w:val="Footnote Text Char1"/>
    <w:aliases w:val="Footnote Text Char Char Char Char Char1,Footnote Text Char1 Char Char Char1,Footnote Text Char1 Char1 Char Char Char Char Char1,Footnote Text Char2 Char Char Char Char Char1,Footnote Text Char2 Char Char1,Footnote Text Char2 Char2"/>
    <w:uiPriority w:val="99"/>
    <w:semiHidden/>
    <w:locked/>
    <w:rsid w:val="00E27418"/>
    <w:rPr>
      <w:sz w:val="22"/>
    </w:rPr>
  </w:style>
  <w:style w:type="paragraph" w:styleId="EndnoteText">
    <w:name w:val="endnote text"/>
    <w:basedOn w:val="Normal"/>
    <w:link w:val="EndnoteTextChar"/>
    <w:uiPriority w:val="99"/>
    <w:rsid w:val="000340CA"/>
  </w:style>
  <w:style w:type="character" w:customStyle="1" w:styleId="EndnoteTextChar">
    <w:name w:val="Endnote Text Char"/>
    <w:basedOn w:val="DefaultParagraphFont"/>
    <w:link w:val="EndnoteText"/>
    <w:uiPriority w:val="99"/>
    <w:locked/>
    <w:rsid w:val="000340CA"/>
    <w:rPr>
      <w:rFonts w:cs="Times New Roman"/>
    </w:rPr>
  </w:style>
  <w:style w:type="character" w:styleId="EndnoteReference">
    <w:name w:val="endnote reference"/>
    <w:basedOn w:val="DefaultParagraphFont"/>
    <w:uiPriority w:val="99"/>
    <w:rsid w:val="000340CA"/>
    <w:rPr>
      <w:rFonts w:cs="Times New Roman"/>
      <w:vertAlign w:val="superscript"/>
    </w:rPr>
  </w:style>
  <w:style w:type="character" w:customStyle="1" w:styleId="documentbody">
    <w:name w:val="documentbody"/>
    <w:basedOn w:val="DefaultParagraphFont"/>
    <w:uiPriority w:val="99"/>
    <w:rsid w:val="003C6401"/>
    <w:rPr>
      <w:rFonts w:cs="Times New Roman"/>
    </w:rPr>
  </w:style>
  <w:style w:type="table" w:styleId="TableGrid">
    <w:name w:val="Table Grid"/>
    <w:basedOn w:val="TableNormal"/>
    <w:uiPriority w:val="59"/>
    <w:rsid w:val="00307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B07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3DB82-A63A-4A06-83A5-8E8E0B75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2018-04-06T19:29:50Z</dcterms:created>
  <dcterms:modified xsi:type="dcterms:W3CDTF">2018-04-06T19:29:50Z</dcterms:modified>
</cp:coreProperties>
</file>