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DE1D63" w:rsidRPr="0038051F" w:rsidP="000542A7">
      <w:pPr>
        <w:widowControl/>
        <w:jc w:val="right"/>
        <w:rPr>
          <w:color w:val="000000" w:themeColor="text1"/>
          <w:szCs w:val="22"/>
        </w:rPr>
      </w:pPr>
      <w:bookmarkStart w:id="0" w:name="_GoBack"/>
      <w:bookmarkEnd w:id="0"/>
    </w:p>
    <w:p w:rsidR="0069341C" w:rsidRPr="0038051F" w:rsidP="004C1772">
      <w:pPr>
        <w:widowControl/>
        <w:tabs>
          <w:tab w:val="left" w:pos="6120"/>
        </w:tabs>
        <w:jc w:val="right"/>
        <w:rPr>
          <w:b/>
          <w:color w:val="000000" w:themeColor="text1"/>
          <w:szCs w:val="22"/>
        </w:rPr>
      </w:pPr>
      <w:r w:rsidRPr="0038051F">
        <w:rPr>
          <w:b/>
          <w:color w:val="000000" w:themeColor="text1"/>
          <w:szCs w:val="22"/>
        </w:rPr>
        <w:t xml:space="preserve">                              </w:t>
      </w:r>
      <w:r w:rsidRPr="0038051F" w:rsidR="00663138">
        <w:rPr>
          <w:b/>
          <w:color w:val="000000" w:themeColor="text1"/>
          <w:szCs w:val="22"/>
        </w:rPr>
        <w:t xml:space="preserve">                               </w:t>
      </w:r>
      <w:r w:rsidRPr="0038051F" w:rsidR="007B3175">
        <w:rPr>
          <w:b/>
          <w:color w:val="000000" w:themeColor="text1"/>
          <w:szCs w:val="22"/>
        </w:rPr>
        <w:t xml:space="preserve">  </w:t>
      </w:r>
      <w:r w:rsidRPr="0038051F" w:rsidR="009F5F48">
        <w:rPr>
          <w:b/>
          <w:color w:val="000000" w:themeColor="text1"/>
          <w:szCs w:val="22"/>
        </w:rPr>
        <w:t xml:space="preserve"> </w:t>
      </w:r>
      <w:r w:rsidRPr="0038051F" w:rsidR="009149E3">
        <w:rPr>
          <w:b/>
          <w:color w:val="000000" w:themeColor="text1"/>
          <w:szCs w:val="22"/>
        </w:rPr>
        <w:t xml:space="preserve"> </w:t>
      </w:r>
      <w:r w:rsidRPr="0038051F" w:rsidR="00613D0B">
        <w:rPr>
          <w:b/>
          <w:color w:val="000000" w:themeColor="text1"/>
          <w:szCs w:val="22"/>
        </w:rPr>
        <w:t xml:space="preserve">DA </w:t>
      </w:r>
      <w:r w:rsidRPr="0038051F" w:rsidR="009F5F48">
        <w:rPr>
          <w:b/>
          <w:color w:val="000000" w:themeColor="text1"/>
          <w:szCs w:val="22"/>
        </w:rPr>
        <w:t>18</w:t>
      </w:r>
      <w:r w:rsidRPr="0038051F">
        <w:rPr>
          <w:b/>
          <w:color w:val="000000" w:themeColor="text1"/>
          <w:szCs w:val="22"/>
        </w:rPr>
        <w:t>-</w:t>
      </w:r>
      <w:r w:rsidR="00544353">
        <w:rPr>
          <w:b/>
          <w:color w:val="000000" w:themeColor="text1"/>
          <w:szCs w:val="22"/>
        </w:rPr>
        <w:t>35</w:t>
      </w:r>
      <w:r w:rsidRPr="0038051F">
        <w:rPr>
          <w:b/>
          <w:color w:val="000000" w:themeColor="text1"/>
          <w:szCs w:val="22"/>
        </w:rPr>
        <w:tab/>
      </w:r>
    </w:p>
    <w:p w:rsidR="00DE1D63" w:rsidRPr="0038051F" w:rsidP="004C1772">
      <w:pPr>
        <w:widowControl/>
        <w:tabs>
          <w:tab w:val="left" w:pos="6120"/>
        </w:tabs>
        <w:jc w:val="right"/>
        <w:rPr>
          <w:b/>
          <w:color w:val="000000" w:themeColor="text1"/>
          <w:szCs w:val="22"/>
        </w:rPr>
      </w:pPr>
      <w:r w:rsidRPr="0038051F">
        <w:rPr>
          <w:b/>
          <w:color w:val="000000" w:themeColor="text1"/>
          <w:szCs w:val="22"/>
        </w:rPr>
        <w:t xml:space="preserve">Released: </w:t>
      </w:r>
      <w:r w:rsidRPr="0038051F" w:rsidR="009F5F48">
        <w:rPr>
          <w:b/>
          <w:color w:val="000000" w:themeColor="text1"/>
          <w:szCs w:val="22"/>
        </w:rPr>
        <w:t xml:space="preserve">January </w:t>
      </w:r>
      <w:r w:rsidRPr="0038051F" w:rsidR="007B3175">
        <w:rPr>
          <w:b/>
          <w:color w:val="000000" w:themeColor="text1"/>
          <w:szCs w:val="22"/>
        </w:rPr>
        <w:t>1</w:t>
      </w:r>
      <w:r w:rsidR="00CF3536">
        <w:rPr>
          <w:b/>
          <w:color w:val="000000" w:themeColor="text1"/>
          <w:szCs w:val="22"/>
        </w:rPr>
        <w:t>1</w:t>
      </w:r>
      <w:r w:rsidRPr="0038051F" w:rsidR="009F5F48">
        <w:rPr>
          <w:b/>
          <w:color w:val="000000" w:themeColor="text1"/>
          <w:szCs w:val="22"/>
        </w:rPr>
        <w:t>, 2018</w:t>
      </w:r>
    </w:p>
    <w:p w:rsidR="00F83F84" w:rsidRPr="0038051F" w:rsidP="006A0B39">
      <w:pPr>
        <w:jc w:val="right"/>
        <w:rPr>
          <w:b/>
          <w:szCs w:val="22"/>
        </w:rPr>
      </w:pPr>
    </w:p>
    <w:p w:rsidR="005115AC" w:rsidRPr="0038051F" w:rsidP="006A0B39">
      <w:pPr>
        <w:jc w:val="center"/>
        <w:rPr>
          <w:b/>
          <w:szCs w:val="22"/>
        </w:rPr>
      </w:pPr>
      <w:r>
        <w:rPr>
          <w:b/>
          <w:szCs w:val="22"/>
        </w:rPr>
        <w:t xml:space="preserve">INCENTIVE AUCTION TASK FORCE AND </w:t>
      </w:r>
      <w:r w:rsidRPr="0038051F" w:rsidR="006A0B39">
        <w:rPr>
          <w:b/>
          <w:szCs w:val="22"/>
        </w:rPr>
        <w:t xml:space="preserve">MEDIA BUREAU </w:t>
      </w:r>
      <w:r w:rsidRPr="0038051F">
        <w:rPr>
          <w:b/>
          <w:szCs w:val="22"/>
        </w:rPr>
        <w:t>GRANT WAIVER OF THE POST-AUCTION TRANSITION SCHEDULE AND MODIF</w:t>
      </w:r>
      <w:r>
        <w:rPr>
          <w:b/>
          <w:szCs w:val="22"/>
        </w:rPr>
        <w:t>Y</w:t>
      </w:r>
      <w:r w:rsidRPr="0038051F">
        <w:rPr>
          <w:b/>
          <w:szCs w:val="22"/>
        </w:rPr>
        <w:t xml:space="preserve"> </w:t>
      </w:r>
      <w:r w:rsidRPr="0038051F" w:rsidR="006A0B39">
        <w:rPr>
          <w:b/>
          <w:szCs w:val="22"/>
        </w:rPr>
        <w:t>THE</w:t>
      </w:r>
      <w:r w:rsidRPr="0038051F">
        <w:rPr>
          <w:b/>
          <w:szCs w:val="22"/>
        </w:rPr>
        <w:t xml:space="preserve"> TRANSITION</w:t>
      </w:r>
      <w:r w:rsidRPr="0038051F" w:rsidR="006A0B39">
        <w:rPr>
          <w:b/>
          <w:szCs w:val="22"/>
        </w:rPr>
        <w:t xml:space="preserve"> </w:t>
      </w:r>
      <w:r w:rsidRPr="0038051F">
        <w:rPr>
          <w:b/>
          <w:szCs w:val="22"/>
        </w:rPr>
        <w:t xml:space="preserve">PHASE ASSIGNMENTS OF REPACKED STATIONS IN PUERTO RICO AND THE </w:t>
      </w:r>
      <w:r w:rsidRPr="0038051F" w:rsidR="00C86568">
        <w:rPr>
          <w:b/>
          <w:szCs w:val="22"/>
        </w:rPr>
        <w:t xml:space="preserve">U.S. </w:t>
      </w:r>
      <w:r w:rsidRPr="0038051F">
        <w:rPr>
          <w:b/>
          <w:szCs w:val="22"/>
        </w:rPr>
        <w:t>VIRGIN ISLANDS</w:t>
      </w:r>
    </w:p>
    <w:p w:rsidR="006A0B39" w:rsidRPr="0038051F" w:rsidP="006A0B39">
      <w:pPr>
        <w:jc w:val="center"/>
        <w:rPr>
          <w:b/>
          <w:szCs w:val="22"/>
        </w:rPr>
      </w:pPr>
      <w:r w:rsidRPr="0038051F">
        <w:rPr>
          <w:b/>
          <w:szCs w:val="22"/>
        </w:rPr>
        <w:t xml:space="preserve"> </w:t>
      </w:r>
    </w:p>
    <w:p w:rsidR="00E65E83" w:rsidRPr="0038051F" w:rsidP="000542A7">
      <w:pPr>
        <w:widowControl/>
        <w:jc w:val="center"/>
        <w:rPr>
          <w:b/>
          <w:szCs w:val="22"/>
        </w:rPr>
      </w:pPr>
      <w:r w:rsidRPr="0038051F">
        <w:rPr>
          <w:b/>
          <w:szCs w:val="22"/>
        </w:rPr>
        <w:t>MB Docket No. 16-306</w:t>
      </w:r>
    </w:p>
    <w:p w:rsidR="00E65E83" w:rsidRPr="0038051F" w:rsidP="00D17E70">
      <w:pPr>
        <w:widowControl/>
        <w:spacing w:after="240"/>
        <w:jc w:val="center"/>
        <w:rPr>
          <w:b/>
          <w:szCs w:val="22"/>
        </w:rPr>
      </w:pPr>
      <w:r w:rsidRPr="0038051F">
        <w:rPr>
          <w:b/>
          <w:szCs w:val="22"/>
        </w:rPr>
        <w:t>GN Docket No. 12-268</w:t>
      </w:r>
    </w:p>
    <w:p w:rsidR="00A83BA2" w:rsidRPr="003D74CB" w:rsidP="00D96452">
      <w:pPr>
        <w:widowControl/>
        <w:numPr>
          <w:ilvl w:val="0"/>
          <w:numId w:val="13"/>
        </w:numPr>
        <w:spacing w:before="120" w:after="120"/>
        <w:ind w:left="0" w:firstLine="810"/>
        <w:rPr>
          <w:szCs w:val="22"/>
        </w:rPr>
      </w:pPr>
      <w:r>
        <w:rPr>
          <w:snapToGrid/>
          <w:kern w:val="0"/>
          <w:szCs w:val="22"/>
        </w:rPr>
        <w:t xml:space="preserve">The Incentive Auction Task Force and </w:t>
      </w:r>
      <w:r w:rsidRPr="003D74CB" w:rsidR="00D96452">
        <w:rPr>
          <w:snapToGrid/>
          <w:kern w:val="0"/>
          <w:szCs w:val="22"/>
        </w:rPr>
        <w:t>the Media Bureau</w:t>
      </w:r>
      <w:r w:rsidRPr="003D74CB" w:rsidR="00F14931">
        <w:rPr>
          <w:snapToGrid/>
          <w:kern w:val="0"/>
          <w:szCs w:val="22"/>
        </w:rPr>
        <w:t xml:space="preserve"> (Bureau)</w:t>
      </w:r>
      <w:r w:rsidRPr="003D74CB" w:rsidR="00D96452">
        <w:rPr>
          <w:snapToGrid/>
          <w:kern w:val="0"/>
          <w:szCs w:val="22"/>
        </w:rPr>
        <w:t xml:space="preserve"> </w:t>
      </w:r>
      <w:r>
        <w:rPr>
          <w:snapToGrid/>
          <w:kern w:val="0"/>
          <w:szCs w:val="22"/>
        </w:rPr>
        <w:t xml:space="preserve">hereby </w:t>
      </w:r>
      <w:r w:rsidRPr="003D74CB" w:rsidR="00D96452">
        <w:rPr>
          <w:snapToGrid/>
          <w:kern w:val="0"/>
          <w:szCs w:val="22"/>
        </w:rPr>
        <w:t xml:space="preserve">grant the requests filed by </w:t>
      </w:r>
      <w:r>
        <w:rPr>
          <w:snapToGrid/>
          <w:kern w:val="0"/>
          <w:szCs w:val="22"/>
        </w:rPr>
        <w:t xml:space="preserve">the </w:t>
      </w:r>
      <w:r w:rsidRPr="003D74CB" w:rsidR="00D96452">
        <w:rPr>
          <w:snapToGrid/>
          <w:kern w:val="0"/>
          <w:szCs w:val="22"/>
        </w:rPr>
        <w:t>repacked stations in</w:t>
      </w:r>
      <w:r w:rsidRPr="003D74CB" w:rsidR="00D96452">
        <w:rPr>
          <w:szCs w:val="22"/>
        </w:rPr>
        <w:t xml:space="preserve"> Puerto Rico and the </w:t>
      </w:r>
      <w:r w:rsidRPr="003D74CB" w:rsidR="00F14931">
        <w:rPr>
          <w:szCs w:val="22"/>
        </w:rPr>
        <w:t xml:space="preserve">U.S. </w:t>
      </w:r>
      <w:r w:rsidRPr="003D74CB" w:rsidR="00D96452">
        <w:rPr>
          <w:szCs w:val="22"/>
        </w:rPr>
        <w:t>Virgin Islands listed in the attached Appendix (collectively</w:t>
      </w:r>
      <w:r w:rsidR="003D74CB">
        <w:rPr>
          <w:szCs w:val="22"/>
        </w:rPr>
        <w:t>,</w:t>
      </w:r>
      <w:r w:rsidRPr="003D74CB" w:rsidR="00D96452">
        <w:rPr>
          <w:szCs w:val="22"/>
        </w:rPr>
        <w:t xml:space="preserve"> Stations) </w:t>
      </w:r>
      <w:r w:rsidRPr="003D74CB" w:rsidR="00285A00">
        <w:rPr>
          <w:szCs w:val="22"/>
        </w:rPr>
        <w:t>to</w:t>
      </w:r>
      <w:r w:rsidRPr="003D74CB" w:rsidR="00D96452">
        <w:rPr>
          <w:szCs w:val="22"/>
        </w:rPr>
        <w:t xml:space="preserve"> modify the </w:t>
      </w:r>
      <w:r w:rsidRPr="003D74CB" w:rsidR="000A1F7A">
        <w:rPr>
          <w:szCs w:val="22"/>
        </w:rPr>
        <w:t>post</w:t>
      </w:r>
      <w:r w:rsidRPr="003D74CB" w:rsidR="00D96452">
        <w:rPr>
          <w:szCs w:val="22"/>
        </w:rPr>
        <w:t xml:space="preserve">-incentive auction transition phase assigned to the Stations in the </w:t>
      </w:r>
      <w:r w:rsidRPr="003D74CB" w:rsidR="00D96452">
        <w:rPr>
          <w:i/>
          <w:szCs w:val="22"/>
        </w:rPr>
        <w:t>Closing and Channel Reassignment Public Notice</w:t>
      </w:r>
      <w:r w:rsidRPr="003D74CB" w:rsidR="00D96452">
        <w:rPr>
          <w:szCs w:val="22"/>
        </w:rPr>
        <w:t xml:space="preserve"> </w:t>
      </w:r>
      <w:r w:rsidR="006D5CFC">
        <w:rPr>
          <w:szCs w:val="22"/>
        </w:rPr>
        <w:t xml:space="preserve">to </w:t>
      </w:r>
      <w:r w:rsidRPr="003D74CB" w:rsidR="00D96452">
        <w:rPr>
          <w:szCs w:val="22"/>
        </w:rPr>
        <w:t>permit the</w:t>
      </w:r>
      <w:r>
        <w:rPr>
          <w:szCs w:val="22"/>
        </w:rPr>
        <w:t xml:space="preserve"> Stations</w:t>
      </w:r>
      <w:r w:rsidRPr="003D74CB" w:rsidR="00D96452">
        <w:rPr>
          <w:szCs w:val="22"/>
        </w:rPr>
        <w:t xml:space="preserve"> to transition to their post-auction channels prior to the start of Phase 1.</w:t>
      </w:r>
      <w:r>
        <w:rPr>
          <w:rStyle w:val="FootnoteReference"/>
          <w:szCs w:val="22"/>
        </w:rPr>
        <w:footnoteReference w:id="3"/>
      </w:r>
      <w:r w:rsidRPr="003D74CB" w:rsidR="00D96452">
        <w:rPr>
          <w:szCs w:val="22"/>
        </w:rPr>
        <w:t xml:space="preserve">  </w:t>
      </w:r>
      <w:r w:rsidR="006D5CFC">
        <w:rPr>
          <w:szCs w:val="22"/>
        </w:rPr>
        <w:t>W</w:t>
      </w:r>
      <w:r w:rsidRPr="003D74CB" w:rsidR="00D96452">
        <w:rPr>
          <w:szCs w:val="22"/>
        </w:rPr>
        <w:t xml:space="preserve">e find that accelerating the </w:t>
      </w:r>
      <w:r w:rsidR="003D74CB">
        <w:rPr>
          <w:szCs w:val="22"/>
        </w:rPr>
        <w:t>S</w:t>
      </w:r>
      <w:r w:rsidRPr="003D74CB" w:rsidR="00D96452">
        <w:rPr>
          <w:szCs w:val="22"/>
        </w:rPr>
        <w:t>tations</w:t>
      </w:r>
      <w:r w:rsidR="003D74CB">
        <w:rPr>
          <w:szCs w:val="22"/>
        </w:rPr>
        <w:t>’</w:t>
      </w:r>
      <w:r w:rsidRPr="003D74CB" w:rsidR="00D96452">
        <w:rPr>
          <w:szCs w:val="22"/>
        </w:rPr>
        <w:t xml:space="preserve"> post-auction transition</w:t>
      </w:r>
      <w:r w:rsidRPr="003D74CB" w:rsidR="00F14931">
        <w:rPr>
          <w:szCs w:val="22"/>
        </w:rPr>
        <w:t xml:space="preserve"> </w:t>
      </w:r>
      <w:r w:rsidRPr="003D74CB" w:rsidR="00D96452">
        <w:rPr>
          <w:szCs w:val="22"/>
        </w:rPr>
        <w:t>is in the public interest</w:t>
      </w:r>
      <w:r w:rsidRPr="006D5CFC" w:rsidR="006D5CFC">
        <w:rPr>
          <w:szCs w:val="22"/>
        </w:rPr>
        <w:t xml:space="preserve"> </w:t>
      </w:r>
      <w:r w:rsidR="006D5CFC">
        <w:rPr>
          <w:szCs w:val="22"/>
        </w:rPr>
        <w:t>i</w:t>
      </w:r>
      <w:r w:rsidRPr="003D74CB" w:rsidR="006D5CFC">
        <w:rPr>
          <w:szCs w:val="22"/>
        </w:rPr>
        <w:t>n light of the widespread devastation caused by Hurricanes Irma and Maria</w:t>
      </w:r>
      <w:r w:rsidR="006D5CFC">
        <w:rPr>
          <w:szCs w:val="22"/>
        </w:rPr>
        <w:t>,</w:t>
      </w:r>
      <w:r w:rsidRPr="003D74CB" w:rsidR="00D96452">
        <w:rPr>
          <w:szCs w:val="22"/>
        </w:rPr>
        <w:t xml:space="preserve"> and </w:t>
      </w:r>
      <w:r w:rsidR="006D5CFC">
        <w:rPr>
          <w:szCs w:val="22"/>
        </w:rPr>
        <w:t xml:space="preserve">that it </w:t>
      </w:r>
      <w:r w:rsidRPr="003D74CB" w:rsidR="00D96452">
        <w:rPr>
          <w:szCs w:val="22"/>
        </w:rPr>
        <w:t>will not adversely impact the overall post-auction transition schedule.  For the reasons discussed below</w:t>
      </w:r>
      <w:r w:rsidRPr="003D74CB" w:rsidR="000A1F7A">
        <w:rPr>
          <w:szCs w:val="22"/>
        </w:rPr>
        <w:t>,</w:t>
      </w:r>
      <w:r w:rsidRPr="003D74CB" w:rsidR="00D96452">
        <w:rPr>
          <w:szCs w:val="22"/>
        </w:rPr>
        <w:t xml:space="preserve"> </w:t>
      </w:r>
      <w:r w:rsidRPr="003D74CB" w:rsidR="00053C25">
        <w:rPr>
          <w:szCs w:val="22"/>
        </w:rPr>
        <w:t xml:space="preserve">the Stations are permitted to commence testing on their post-auction channels </w:t>
      </w:r>
      <w:r w:rsidRPr="003D74CB" w:rsidR="000A1F7A">
        <w:rPr>
          <w:szCs w:val="22"/>
        </w:rPr>
        <w:t xml:space="preserve">at </w:t>
      </w:r>
      <w:r w:rsidRPr="003D74CB" w:rsidR="00053C25">
        <w:rPr>
          <w:szCs w:val="22"/>
        </w:rPr>
        <w:t>12:01</w:t>
      </w:r>
      <w:r>
        <w:rPr>
          <w:szCs w:val="22"/>
        </w:rPr>
        <w:t xml:space="preserve"> AM</w:t>
      </w:r>
      <w:r w:rsidRPr="003D74CB" w:rsidR="00053C25">
        <w:rPr>
          <w:szCs w:val="22"/>
        </w:rPr>
        <w:t xml:space="preserve"> on July 1, 2018</w:t>
      </w:r>
      <w:r w:rsidRPr="003D74CB" w:rsidR="00696CDC">
        <w:rPr>
          <w:szCs w:val="22"/>
        </w:rPr>
        <w:t>,</w:t>
      </w:r>
      <w:r w:rsidRPr="003D74CB" w:rsidR="00053C25">
        <w:rPr>
          <w:szCs w:val="22"/>
        </w:rPr>
        <w:t xml:space="preserve"> and must discontinue operation on their pre-auction channels no late</w:t>
      </w:r>
      <w:r w:rsidRPr="003D74CB" w:rsidR="00F14931">
        <w:rPr>
          <w:szCs w:val="22"/>
        </w:rPr>
        <w:t>r than 11:59</w:t>
      </w:r>
      <w:r>
        <w:rPr>
          <w:szCs w:val="22"/>
        </w:rPr>
        <w:t xml:space="preserve"> PM</w:t>
      </w:r>
      <w:r w:rsidRPr="003D74CB" w:rsidR="00F14931">
        <w:rPr>
          <w:szCs w:val="22"/>
        </w:rPr>
        <w:t xml:space="preserve"> on August 1, 2018</w:t>
      </w:r>
      <w:r w:rsidRPr="003D74CB" w:rsidR="00696CDC">
        <w:rPr>
          <w:szCs w:val="22"/>
        </w:rPr>
        <w:t xml:space="preserve">.  </w:t>
      </w:r>
    </w:p>
    <w:p w:rsidR="00C00C4B" w:rsidRPr="0038051F" w:rsidP="00C00C4B">
      <w:pPr>
        <w:widowControl/>
        <w:numPr>
          <w:ilvl w:val="0"/>
          <w:numId w:val="13"/>
        </w:numPr>
        <w:spacing w:before="120" w:after="120"/>
        <w:ind w:left="0" w:firstLine="810"/>
        <w:rPr>
          <w:szCs w:val="22"/>
        </w:rPr>
      </w:pPr>
      <w:r w:rsidRPr="003D74CB">
        <w:rPr>
          <w:snapToGrid/>
          <w:kern w:val="0"/>
          <w:szCs w:val="22"/>
        </w:rPr>
        <w:t xml:space="preserve">Pursuant to the </w:t>
      </w:r>
      <w:r w:rsidRPr="003D74CB">
        <w:rPr>
          <w:i/>
          <w:snapToGrid/>
          <w:kern w:val="0"/>
          <w:szCs w:val="22"/>
        </w:rPr>
        <w:t>Transition Scheduling Adoption Public Notice,</w:t>
      </w:r>
      <w:r w:rsidRPr="003D74CB">
        <w:rPr>
          <w:snapToGrid/>
          <w:kern w:val="0"/>
          <w:szCs w:val="22"/>
        </w:rPr>
        <w:t xml:space="preserve"> individual stations may request waiver and modification of their phase assignment.</w:t>
      </w:r>
      <w:r>
        <w:rPr>
          <w:snapToGrid/>
          <w:kern w:val="0"/>
          <w:szCs w:val="22"/>
          <w:vertAlign w:val="superscript"/>
        </w:rPr>
        <w:footnoteReference w:id="4"/>
      </w:r>
      <w:r w:rsidRPr="0038051F">
        <w:rPr>
          <w:snapToGrid/>
          <w:kern w:val="0"/>
          <w:szCs w:val="22"/>
        </w:rPr>
        <w:t xml:space="preserve">  </w:t>
      </w:r>
      <w:r w:rsidRPr="0038051F">
        <w:rPr>
          <w:iCs/>
          <w:snapToGrid/>
          <w:kern w:val="0"/>
          <w:szCs w:val="22"/>
        </w:rPr>
        <w:t>A waiver is appropriate where the particular facts would make strict compliance inconsistent with the public interest</w:t>
      </w:r>
      <w:r w:rsidR="003D74CB">
        <w:rPr>
          <w:iCs/>
          <w:snapToGrid/>
          <w:kern w:val="0"/>
          <w:szCs w:val="22"/>
        </w:rPr>
        <w:t>,</w:t>
      </w:r>
      <w:r w:rsidRPr="0038051F">
        <w:rPr>
          <w:iCs/>
          <w:snapToGrid/>
          <w:kern w:val="0"/>
          <w:szCs w:val="22"/>
        </w:rPr>
        <w:t xml:space="preserve"> and deviation from the general rule would relieve hardship, promote equity, or produce a more effective implementation of overall policy on an individual basis.</w:t>
      </w:r>
      <w:r>
        <w:rPr>
          <w:iCs/>
          <w:snapToGrid/>
          <w:kern w:val="0"/>
          <w:szCs w:val="22"/>
          <w:vertAlign w:val="superscript"/>
        </w:rPr>
        <w:footnoteReference w:id="5"/>
      </w:r>
      <w:r w:rsidRPr="0038051F">
        <w:rPr>
          <w:iCs/>
          <w:snapToGrid/>
          <w:kern w:val="0"/>
          <w:szCs w:val="22"/>
        </w:rPr>
        <w:t xml:space="preserve">  </w:t>
      </w:r>
      <w:r w:rsidRPr="0038051F">
        <w:rPr>
          <w:snapToGrid/>
          <w:kern w:val="0"/>
          <w:szCs w:val="22"/>
        </w:rPr>
        <w:t>The Bureau has stated</w:t>
      </w:r>
      <w:r w:rsidR="003D74CB">
        <w:rPr>
          <w:snapToGrid/>
          <w:kern w:val="0"/>
          <w:szCs w:val="22"/>
        </w:rPr>
        <w:t xml:space="preserve"> that </w:t>
      </w:r>
      <w:r w:rsidRPr="0038051F">
        <w:rPr>
          <w:snapToGrid/>
          <w:kern w:val="0"/>
          <w:szCs w:val="22"/>
        </w:rPr>
        <w:t xml:space="preserve">it will evaluate such requests on a case-by-case basis to assess the impact on the transition schedule, including the impact on other broadcasters </w:t>
      </w:r>
      <w:r w:rsidR="003D74CB">
        <w:rPr>
          <w:snapToGrid/>
          <w:kern w:val="0"/>
          <w:szCs w:val="22"/>
        </w:rPr>
        <w:t>and</w:t>
      </w:r>
      <w:r w:rsidRPr="0038051F">
        <w:rPr>
          <w:snapToGrid/>
          <w:kern w:val="0"/>
          <w:szCs w:val="22"/>
        </w:rPr>
        <w:t xml:space="preserve"> viewers, in </w:t>
      </w:r>
      <w:r w:rsidRPr="0038051F">
        <w:rPr>
          <w:snapToGrid/>
          <w:kern w:val="0"/>
          <w:szCs w:val="22"/>
        </w:rPr>
        <w:t>order to facilitate a timely and orderly transition.</w:t>
      </w:r>
      <w:r>
        <w:rPr>
          <w:snapToGrid/>
          <w:kern w:val="0"/>
          <w:szCs w:val="22"/>
          <w:vertAlign w:val="superscript"/>
        </w:rPr>
        <w:footnoteReference w:id="6"/>
      </w:r>
      <w:r w:rsidRPr="0038051F">
        <w:rPr>
          <w:snapToGrid/>
          <w:kern w:val="0"/>
          <w:szCs w:val="22"/>
        </w:rPr>
        <w:t xml:space="preserve">  T</w:t>
      </w:r>
      <w:r w:rsidRPr="0038051F">
        <w:rPr>
          <w:bCs/>
          <w:snapToGrid/>
          <w:kern w:val="0"/>
          <w:szCs w:val="22"/>
        </w:rPr>
        <w:t>he Bureau determined that it would view favorably requests that are compliant with the Commission’s rules and have little or no impact on the transition schedule.</w:t>
      </w:r>
      <w:r>
        <w:rPr>
          <w:bCs/>
          <w:snapToGrid/>
          <w:kern w:val="0"/>
          <w:szCs w:val="22"/>
          <w:vertAlign w:val="superscript"/>
        </w:rPr>
        <w:footnoteReference w:id="7"/>
      </w:r>
      <w:r w:rsidRPr="0038051F">
        <w:rPr>
          <w:bCs/>
          <w:snapToGrid/>
          <w:kern w:val="0"/>
          <w:szCs w:val="22"/>
        </w:rPr>
        <w:t xml:space="preserve">  Requests that the staff determines would be likely to delay or disrupt the transition schedule will be viewed unfavorably.</w:t>
      </w:r>
      <w:r>
        <w:rPr>
          <w:bCs/>
          <w:snapToGrid/>
          <w:kern w:val="0"/>
          <w:szCs w:val="22"/>
          <w:vertAlign w:val="superscript"/>
        </w:rPr>
        <w:footnoteReference w:id="8"/>
      </w:r>
      <w:r w:rsidRPr="0038051F">
        <w:rPr>
          <w:bCs/>
          <w:snapToGrid/>
          <w:kern w:val="0"/>
          <w:szCs w:val="22"/>
        </w:rPr>
        <w:t xml:space="preserve"> </w:t>
      </w:r>
    </w:p>
    <w:p w:rsidR="007B4D8A" w:rsidP="007B4D8A">
      <w:pPr>
        <w:widowControl/>
        <w:numPr>
          <w:ilvl w:val="0"/>
          <w:numId w:val="13"/>
        </w:numPr>
        <w:spacing w:before="120" w:after="120"/>
        <w:ind w:left="0" w:firstLine="810"/>
        <w:rPr>
          <w:szCs w:val="22"/>
        </w:rPr>
      </w:pPr>
      <w:r w:rsidRPr="0038051F">
        <w:rPr>
          <w:szCs w:val="22"/>
        </w:rPr>
        <w:t xml:space="preserve">In </w:t>
      </w:r>
      <w:r w:rsidRPr="0038051F" w:rsidR="00263C73">
        <w:rPr>
          <w:szCs w:val="22"/>
        </w:rPr>
        <w:t xml:space="preserve">August and </w:t>
      </w:r>
      <w:r w:rsidRPr="0038051F">
        <w:rPr>
          <w:szCs w:val="22"/>
        </w:rPr>
        <w:t>September</w:t>
      </w:r>
      <w:r w:rsidRPr="0038051F" w:rsidR="00263C73">
        <w:rPr>
          <w:szCs w:val="22"/>
        </w:rPr>
        <w:t xml:space="preserve"> of</w:t>
      </w:r>
      <w:r w:rsidRPr="0038051F">
        <w:rPr>
          <w:szCs w:val="22"/>
        </w:rPr>
        <w:t xml:space="preserve"> 2017</w:t>
      </w:r>
      <w:r w:rsidR="003D74CB">
        <w:rPr>
          <w:szCs w:val="22"/>
        </w:rPr>
        <w:t>,</w:t>
      </w:r>
      <w:r w:rsidRPr="0038051F">
        <w:rPr>
          <w:szCs w:val="22"/>
        </w:rPr>
        <w:t xml:space="preserve"> </w:t>
      </w:r>
      <w:r w:rsidRPr="0038051F" w:rsidR="00A83BA2">
        <w:rPr>
          <w:szCs w:val="22"/>
        </w:rPr>
        <w:t xml:space="preserve">Hurricanes </w:t>
      </w:r>
      <w:r w:rsidRPr="0038051F">
        <w:rPr>
          <w:szCs w:val="22"/>
        </w:rPr>
        <w:t>Irma</w:t>
      </w:r>
      <w:r w:rsidRPr="0038051F" w:rsidR="00A83BA2">
        <w:rPr>
          <w:szCs w:val="22"/>
        </w:rPr>
        <w:t xml:space="preserve"> and </w:t>
      </w:r>
      <w:r w:rsidRPr="0038051F">
        <w:rPr>
          <w:szCs w:val="22"/>
        </w:rPr>
        <w:t>Maria</w:t>
      </w:r>
      <w:r w:rsidRPr="0038051F" w:rsidR="00932F38">
        <w:rPr>
          <w:szCs w:val="22"/>
        </w:rPr>
        <w:t xml:space="preserve"> </w:t>
      </w:r>
      <w:r w:rsidRPr="0038051F">
        <w:rPr>
          <w:szCs w:val="22"/>
        </w:rPr>
        <w:t xml:space="preserve">devastated </w:t>
      </w:r>
      <w:r w:rsidRPr="0038051F" w:rsidR="003F4D8D">
        <w:rPr>
          <w:szCs w:val="22"/>
        </w:rPr>
        <w:t>Puerto R</w:t>
      </w:r>
      <w:r w:rsidRPr="0038051F" w:rsidR="00932F38">
        <w:rPr>
          <w:szCs w:val="22"/>
        </w:rPr>
        <w:t xml:space="preserve">ico and the </w:t>
      </w:r>
      <w:r w:rsidRPr="0038051F" w:rsidR="008D44F2">
        <w:rPr>
          <w:szCs w:val="22"/>
        </w:rPr>
        <w:t xml:space="preserve">U.S. </w:t>
      </w:r>
      <w:r w:rsidRPr="0038051F" w:rsidR="003F4D8D">
        <w:rPr>
          <w:szCs w:val="22"/>
        </w:rPr>
        <w:t>Virgin Islands</w:t>
      </w:r>
      <w:r w:rsidR="003D74CB">
        <w:rPr>
          <w:szCs w:val="22"/>
        </w:rPr>
        <w:t>,</w:t>
      </w:r>
      <w:r w:rsidRPr="0038051F">
        <w:rPr>
          <w:szCs w:val="22"/>
        </w:rPr>
        <w:t xml:space="preserve"> </w:t>
      </w:r>
      <w:r w:rsidRPr="0038051F" w:rsidR="00C00C4B">
        <w:rPr>
          <w:szCs w:val="22"/>
        </w:rPr>
        <w:t>result</w:t>
      </w:r>
      <w:r w:rsidRPr="0038051F">
        <w:rPr>
          <w:szCs w:val="22"/>
        </w:rPr>
        <w:t>ing</w:t>
      </w:r>
      <w:r w:rsidRPr="0038051F" w:rsidR="00C00C4B">
        <w:rPr>
          <w:szCs w:val="22"/>
        </w:rPr>
        <w:t xml:space="preserve"> in </w:t>
      </w:r>
      <w:r w:rsidRPr="0038051F" w:rsidR="00263C73">
        <w:rPr>
          <w:szCs w:val="22"/>
        </w:rPr>
        <w:t>widespread</w:t>
      </w:r>
      <w:r w:rsidRPr="0038051F">
        <w:rPr>
          <w:szCs w:val="22"/>
        </w:rPr>
        <w:t xml:space="preserve"> </w:t>
      </w:r>
      <w:r w:rsidRPr="0038051F" w:rsidR="00263C73">
        <w:rPr>
          <w:szCs w:val="22"/>
        </w:rPr>
        <w:t xml:space="preserve">damage </w:t>
      </w:r>
      <w:r w:rsidRPr="0038051F" w:rsidR="00C00C4B">
        <w:rPr>
          <w:szCs w:val="22"/>
        </w:rPr>
        <w:t xml:space="preserve">to </w:t>
      </w:r>
      <w:r w:rsidR="004117FF">
        <w:rPr>
          <w:szCs w:val="22"/>
        </w:rPr>
        <w:t xml:space="preserve">infrastructure, including to </w:t>
      </w:r>
      <w:r w:rsidRPr="0038051F" w:rsidR="00D11129">
        <w:rPr>
          <w:szCs w:val="22"/>
        </w:rPr>
        <w:t>the</w:t>
      </w:r>
      <w:r w:rsidRPr="0038051F" w:rsidR="00263C73">
        <w:rPr>
          <w:szCs w:val="22"/>
        </w:rPr>
        <w:t xml:space="preserve"> </w:t>
      </w:r>
      <w:r w:rsidRPr="0038051F" w:rsidR="00D11129">
        <w:rPr>
          <w:szCs w:val="22"/>
        </w:rPr>
        <w:t>Stations’ facilities</w:t>
      </w:r>
      <w:r w:rsidRPr="0038051F" w:rsidR="003F4D8D">
        <w:rPr>
          <w:szCs w:val="22"/>
        </w:rPr>
        <w:t>.  In a series of letters filed with the</w:t>
      </w:r>
      <w:r w:rsidRPr="0038051F">
        <w:rPr>
          <w:szCs w:val="22"/>
        </w:rPr>
        <w:t xml:space="preserve"> </w:t>
      </w:r>
      <w:r w:rsidR="00F14931">
        <w:rPr>
          <w:szCs w:val="22"/>
        </w:rPr>
        <w:t>Commission</w:t>
      </w:r>
      <w:r w:rsidRPr="0038051F" w:rsidR="00E42360">
        <w:rPr>
          <w:szCs w:val="22"/>
        </w:rPr>
        <w:t xml:space="preserve"> (collectively</w:t>
      </w:r>
      <w:r w:rsidR="003D74CB">
        <w:rPr>
          <w:szCs w:val="22"/>
        </w:rPr>
        <w:t>,</w:t>
      </w:r>
      <w:r w:rsidRPr="0038051F" w:rsidR="00E42360">
        <w:rPr>
          <w:szCs w:val="22"/>
        </w:rPr>
        <w:t xml:space="preserve"> Waiver Requests)</w:t>
      </w:r>
      <w:r w:rsidRPr="0038051F">
        <w:rPr>
          <w:szCs w:val="22"/>
        </w:rPr>
        <w:t>,</w:t>
      </w:r>
      <w:r>
        <w:rPr>
          <w:rStyle w:val="FootnoteReference"/>
          <w:szCs w:val="22"/>
        </w:rPr>
        <w:footnoteReference w:id="9"/>
      </w:r>
      <w:r w:rsidRPr="0038051F" w:rsidR="00E42360">
        <w:rPr>
          <w:szCs w:val="22"/>
        </w:rPr>
        <w:t xml:space="preserve"> </w:t>
      </w:r>
      <w:r w:rsidRPr="0038051F" w:rsidR="003F4D8D">
        <w:rPr>
          <w:szCs w:val="22"/>
        </w:rPr>
        <w:t>the</w:t>
      </w:r>
      <w:r w:rsidRPr="0038051F" w:rsidR="00A83BA2">
        <w:rPr>
          <w:szCs w:val="22"/>
        </w:rPr>
        <w:t xml:space="preserve"> Stations </w:t>
      </w:r>
      <w:r w:rsidRPr="0038051F" w:rsidR="003F4D8D">
        <w:rPr>
          <w:szCs w:val="22"/>
        </w:rPr>
        <w:t xml:space="preserve">requested </w:t>
      </w:r>
      <w:r w:rsidRPr="0038051F" w:rsidR="00D11129">
        <w:rPr>
          <w:szCs w:val="22"/>
        </w:rPr>
        <w:t>to have</w:t>
      </w:r>
      <w:r w:rsidRPr="0038051F" w:rsidR="003F4D8D">
        <w:rPr>
          <w:szCs w:val="22"/>
        </w:rPr>
        <w:t xml:space="preserve"> their assigned </w:t>
      </w:r>
      <w:r w:rsidRPr="0038051F" w:rsidR="00D11129">
        <w:rPr>
          <w:szCs w:val="22"/>
        </w:rPr>
        <w:t xml:space="preserve">post-auction </w:t>
      </w:r>
      <w:r w:rsidRPr="0038051F" w:rsidR="00A83BA2">
        <w:rPr>
          <w:szCs w:val="22"/>
        </w:rPr>
        <w:t>transition phase</w:t>
      </w:r>
      <w:r w:rsidRPr="0038051F" w:rsidR="003F4D8D">
        <w:rPr>
          <w:szCs w:val="22"/>
        </w:rPr>
        <w:t>s</w:t>
      </w:r>
      <w:r w:rsidRPr="0038051F">
        <w:rPr>
          <w:szCs w:val="22"/>
        </w:rPr>
        <w:t xml:space="preserve"> </w:t>
      </w:r>
      <w:r w:rsidRPr="0038051F" w:rsidR="00A83BA2">
        <w:rPr>
          <w:szCs w:val="22"/>
        </w:rPr>
        <w:t xml:space="preserve">modified </w:t>
      </w:r>
      <w:r w:rsidRPr="0038051F" w:rsidR="003F4D8D">
        <w:rPr>
          <w:szCs w:val="22"/>
        </w:rPr>
        <w:t xml:space="preserve">to permit </w:t>
      </w:r>
      <w:r w:rsidRPr="0038051F">
        <w:rPr>
          <w:szCs w:val="22"/>
        </w:rPr>
        <w:t>them to</w:t>
      </w:r>
      <w:r w:rsidRPr="0038051F" w:rsidR="003F4D8D">
        <w:rPr>
          <w:szCs w:val="22"/>
        </w:rPr>
        <w:t xml:space="preserve"> transition to their post-auction channels prior to the start of Phase</w:t>
      </w:r>
      <w:r w:rsidRPr="0038051F">
        <w:rPr>
          <w:szCs w:val="22"/>
        </w:rPr>
        <w:t xml:space="preserve"> 1</w:t>
      </w:r>
      <w:r w:rsidRPr="0038051F" w:rsidR="003F4D8D">
        <w:rPr>
          <w:szCs w:val="22"/>
        </w:rPr>
        <w:t>.</w:t>
      </w:r>
      <w:r>
        <w:rPr>
          <w:rStyle w:val="FootnoteReference"/>
          <w:szCs w:val="22"/>
        </w:rPr>
        <w:footnoteReference w:id="10"/>
      </w:r>
      <w:r w:rsidRPr="0038051F" w:rsidR="003F4D8D">
        <w:rPr>
          <w:szCs w:val="22"/>
        </w:rPr>
        <w:t xml:space="preserve"> </w:t>
      </w:r>
      <w:r w:rsidRPr="0038051F" w:rsidR="00E42360">
        <w:rPr>
          <w:szCs w:val="22"/>
        </w:rPr>
        <w:t xml:space="preserve"> </w:t>
      </w:r>
      <w:r w:rsidRPr="0038051F" w:rsidR="009F5F48">
        <w:rPr>
          <w:szCs w:val="22"/>
        </w:rPr>
        <w:t xml:space="preserve">The Stations </w:t>
      </w:r>
      <w:r w:rsidR="0006707D">
        <w:rPr>
          <w:szCs w:val="22"/>
        </w:rPr>
        <w:t xml:space="preserve">assert </w:t>
      </w:r>
      <w:r w:rsidRPr="0038051F" w:rsidR="009F5F48">
        <w:rPr>
          <w:szCs w:val="22"/>
        </w:rPr>
        <w:t xml:space="preserve">that grant of their </w:t>
      </w:r>
      <w:r w:rsidRPr="0038051F">
        <w:rPr>
          <w:szCs w:val="22"/>
        </w:rPr>
        <w:t xml:space="preserve">Waiver Requests </w:t>
      </w:r>
      <w:r w:rsidRPr="0038051F" w:rsidR="009F5F48">
        <w:rPr>
          <w:szCs w:val="22"/>
        </w:rPr>
        <w:t xml:space="preserve">will </w:t>
      </w:r>
      <w:r w:rsidRPr="0038051F" w:rsidR="00E42360">
        <w:rPr>
          <w:szCs w:val="22"/>
        </w:rPr>
        <w:t>“avoid wasteful duplicative construction”</w:t>
      </w:r>
      <w:r>
        <w:rPr>
          <w:rStyle w:val="FootnoteReference"/>
          <w:szCs w:val="22"/>
        </w:rPr>
        <w:footnoteReference w:id="11"/>
      </w:r>
      <w:r w:rsidRPr="0038051F" w:rsidR="00E42360">
        <w:rPr>
          <w:szCs w:val="22"/>
        </w:rPr>
        <w:t xml:space="preserve"> and </w:t>
      </w:r>
      <w:r w:rsidRPr="0038051F" w:rsidR="009F5F48">
        <w:rPr>
          <w:szCs w:val="22"/>
        </w:rPr>
        <w:t xml:space="preserve">allow </w:t>
      </w:r>
      <w:r w:rsidRPr="0038051F">
        <w:rPr>
          <w:szCs w:val="22"/>
        </w:rPr>
        <w:t>the Stations</w:t>
      </w:r>
      <w:r w:rsidRPr="0038051F" w:rsidR="009F5F48">
        <w:rPr>
          <w:szCs w:val="22"/>
        </w:rPr>
        <w:t xml:space="preserve"> to coordinate the</w:t>
      </w:r>
      <w:r w:rsidR="00F14931">
        <w:rPr>
          <w:szCs w:val="22"/>
        </w:rPr>
        <w:t xml:space="preserve">ir </w:t>
      </w:r>
      <w:r w:rsidR="0006707D">
        <w:rPr>
          <w:szCs w:val="22"/>
        </w:rPr>
        <w:t xml:space="preserve">channel reassignments </w:t>
      </w:r>
      <w:r w:rsidRPr="0038051F" w:rsidR="009F5F48">
        <w:rPr>
          <w:szCs w:val="22"/>
        </w:rPr>
        <w:t xml:space="preserve">with </w:t>
      </w:r>
      <w:r w:rsidR="0006707D">
        <w:rPr>
          <w:szCs w:val="22"/>
        </w:rPr>
        <w:t xml:space="preserve">their </w:t>
      </w:r>
      <w:r w:rsidRPr="0038051F" w:rsidR="009F5F48">
        <w:rPr>
          <w:szCs w:val="22"/>
        </w:rPr>
        <w:t>post-hurricane recovery efforts.</w:t>
      </w:r>
      <w:r>
        <w:rPr>
          <w:rStyle w:val="FootnoteReference"/>
          <w:szCs w:val="22"/>
        </w:rPr>
        <w:footnoteReference w:id="12"/>
      </w:r>
      <w:r w:rsidRPr="0038051F" w:rsidR="009F5F48">
        <w:rPr>
          <w:szCs w:val="22"/>
        </w:rPr>
        <w:t xml:space="preserve">  </w:t>
      </w:r>
      <w:r w:rsidR="000A1F7A">
        <w:rPr>
          <w:szCs w:val="22"/>
        </w:rPr>
        <w:t>All but two of the Stations were assigned to transition Phase 3</w:t>
      </w:r>
      <w:r w:rsidR="00686880">
        <w:rPr>
          <w:szCs w:val="22"/>
        </w:rPr>
        <w:t xml:space="preserve"> in the </w:t>
      </w:r>
      <w:r w:rsidR="00686880">
        <w:rPr>
          <w:i/>
          <w:szCs w:val="22"/>
        </w:rPr>
        <w:t>Closing and Channel Reassignment Public Notice</w:t>
      </w:r>
      <w:r w:rsidR="000A1F7A">
        <w:rPr>
          <w:szCs w:val="22"/>
        </w:rPr>
        <w:t xml:space="preserve">, which has a phase completion date of June 21, 2019.  </w:t>
      </w:r>
      <w:r w:rsidR="00686880">
        <w:rPr>
          <w:szCs w:val="22"/>
        </w:rPr>
        <w:t xml:space="preserve">The other two Stations were assigned to transition Phase </w:t>
      </w:r>
      <w:r w:rsidR="006F32D4">
        <w:rPr>
          <w:szCs w:val="22"/>
        </w:rPr>
        <w:t>10</w:t>
      </w:r>
      <w:r w:rsidR="00686880">
        <w:rPr>
          <w:szCs w:val="22"/>
        </w:rPr>
        <w:t xml:space="preserve">, which has a phase completion date of </w:t>
      </w:r>
      <w:r w:rsidR="006F32D4">
        <w:rPr>
          <w:szCs w:val="22"/>
        </w:rPr>
        <w:t>July 3, 2020</w:t>
      </w:r>
      <w:r w:rsidR="00686880">
        <w:rPr>
          <w:szCs w:val="22"/>
        </w:rPr>
        <w:t xml:space="preserve">.  </w:t>
      </w:r>
      <w:r w:rsidRPr="0038051F" w:rsidR="009F5F48">
        <w:rPr>
          <w:szCs w:val="22"/>
        </w:rPr>
        <w:t xml:space="preserve">Given the extent of </w:t>
      </w:r>
      <w:r w:rsidR="00686880">
        <w:rPr>
          <w:szCs w:val="22"/>
        </w:rPr>
        <w:t xml:space="preserve">the hurricane </w:t>
      </w:r>
      <w:r w:rsidRPr="0038051F" w:rsidR="009F5F48">
        <w:rPr>
          <w:szCs w:val="22"/>
        </w:rPr>
        <w:t xml:space="preserve">damage not only to the </w:t>
      </w:r>
      <w:r w:rsidRPr="0038051F">
        <w:rPr>
          <w:szCs w:val="22"/>
        </w:rPr>
        <w:t>S</w:t>
      </w:r>
      <w:r w:rsidRPr="0038051F" w:rsidR="009F5F48">
        <w:rPr>
          <w:szCs w:val="22"/>
        </w:rPr>
        <w:t>tations but</w:t>
      </w:r>
      <w:r w:rsidR="00686880">
        <w:rPr>
          <w:szCs w:val="22"/>
        </w:rPr>
        <w:t xml:space="preserve"> also</w:t>
      </w:r>
      <w:r w:rsidRPr="0038051F" w:rsidR="009F5F48">
        <w:rPr>
          <w:szCs w:val="22"/>
        </w:rPr>
        <w:t xml:space="preserve"> to </w:t>
      </w:r>
      <w:r w:rsidR="0006707D">
        <w:rPr>
          <w:szCs w:val="22"/>
        </w:rPr>
        <w:t xml:space="preserve">other </w:t>
      </w:r>
      <w:r w:rsidRPr="0038051F" w:rsidR="009F5F48">
        <w:rPr>
          <w:szCs w:val="22"/>
        </w:rPr>
        <w:t xml:space="preserve">infrastructure throughout Puerto Rico and the </w:t>
      </w:r>
      <w:r w:rsidRPr="0038051F" w:rsidR="008D44F2">
        <w:rPr>
          <w:szCs w:val="22"/>
        </w:rPr>
        <w:t xml:space="preserve">U.S. </w:t>
      </w:r>
      <w:r w:rsidRPr="0038051F" w:rsidR="009F5F48">
        <w:rPr>
          <w:szCs w:val="22"/>
        </w:rPr>
        <w:t>Virgin Islands</w:t>
      </w:r>
      <w:r w:rsidRPr="0038051F" w:rsidR="00386759">
        <w:rPr>
          <w:szCs w:val="22"/>
        </w:rPr>
        <w:t>,</w:t>
      </w:r>
      <w:r w:rsidRPr="0038051F" w:rsidR="009F5F48">
        <w:rPr>
          <w:szCs w:val="22"/>
        </w:rPr>
        <w:t xml:space="preserve"> the Stations </w:t>
      </w:r>
      <w:r w:rsidRPr="0038051F" w:rsidR="00386759">
        <w:rPr>
          <w:szCs w:val="22"/>
        </w:rPr>
        <w:t>maintain</w:t>
      </w:r>
      <w:r w:rsidRPr="0038051F" w:rsidR="009F5F48">
        <w:rPr>
          <w:szCs w:val="22"/>
        </w:rPr>
        <w:t xml:space="preserve"> that “there are simply not enough resources for broadcasters to contemplate building duplicate broadcast facilities over the course of the next 20-30 months.”</w:t>
      </w:r>
      <w:r>
        <w:rPr>
          <w:rStyle w:val="FootnoteReference"/>
          <w:szCs w:val="22"/>
        </w:rPr>
        <w:footnoteReference w:id="13"/>
      </w:r>
      <w:r w:rsidRPr="0038051F" w:rsidR="009F5F48">
        <w:rPr>
          <w:szCs w:val="22"/>
        </w:rPr>
        <w:t xml:space="preserve">  </w:t>
      </w:r>
      <w:r w:rsidRPr="0038051F" w:rsidR="003F4D8D">
        <w:rPr>
          <w:szCs w:val="22"/>
        </w:rPr>
        <w:t xml:space="preserve"> </w:t>
      </w:r>
    </w:p>
    <w:p w:rsidR="00E43C9C" w:rsidP="007B4D8A">
      <w:pPr>
        <w:widowControl/>
        <w:numPr>
          <w:ilvl w:val="0"/>
          <w:numId w:val="13"/>
        </w:numPr>
        <w:spacing w:before="120" w:after="120"/>
        <w:ind w:left="0" w:firstLine="810"/>
        <w:rPr>
          <w:szCs w:val="22"/>
        </w:rPr>
      </w:pPr>
      <w:r w:rsidRPr="007B4D8A">
        <w:rPr>
          <w:szCs w:val="22"/>
        </w:rPr>
        <w:t>The Stations</w:t>
      </w:r>
      <w:r w:rsidRPr="007B4D8A" w:rsidR="007B4D8A">
        <w:rPr>
          <w:szCs w:val="22"/>
        </w:rPr>
        <w:t xml:space="preserve"> </w:t>
      </w:r>
      <w:r w:rsidR="0006707D">
        <w:rPr>
          <w:szCs w:val="22"/>
        </w:rPr>
        <w:t xml:space="preserve">state </w:t>
      </w:r>
      <w:r w:rsidRPr="007B4D8A" w:rsidR="007B4D8A">
        <w:rPr>
          <w:szCs w:val="22"/>
        </w:rPr>
        <w:t xml:space="preserve">that grant of the Waiver Requests will not adversely impact the overall transition schedule or have any negative impact on other stations or viewers.  In particular, they </w:t>
      </w:r>
      <w:r w:rsidRPr="007B4D8A" w:rsidR="000A1F7A">
        <w:rPr>
          <w:szCs w:val="22"/>
        </w:rPr>
        <w:t xml:space="preserve">have </w:t>
      </w:r>
      <w:r w:rsidRPr="007B4D8A">
        <w:rPr>
          <w:szCs w:val="22"/>
        </w:rPr>
        <w:t>agree</w:t>
      </w:r>
      <w:r w:rsidRPr="007B4D8A" w:rsidR="000A1F7A">
        <w:rPr>
          <w:szCs w:val="22"/>
        </w:rPr>
        <w:t>d</w:t>
      </w:r>
      <w:r w:rsidRPr="007B4D8A">
        <w:rPr>
          <w:szCs w:val="22"/>
        </w:rPr>
        <w:t xml:space="preserve"> to</w:t>
      </w:r>
      <w:r w:rsidRPr="007B4D8A" w:rsidR="00932F38">
        <w:rPr>
          <w:szCs w:val="22"/>
        </w:rPr>
        <w:t xml:space="preserve"> coordinate </w:t>
      </w:r>
      <w:r w:rsidRPr="007B4D8A">
        <w:rPr>
          <w:szCs w:val="22"/>
        </w:rPr>
        <w:t xml:space="preserve">their early </w:t>
      </w:r>
      <w:r w:rsidRPr="007B4D8A" w:rsidR="00932F38">
        <w:rPr>
          <w:szCs w:val="22"/>
        </w:rPr>
        <w:t xml:space="preserve">transition </w:t>
      </w:r>
      <w:r w:rsidRPr="007B4D8A" w:rsidR="000A1F7A">
        <w:rPr>
          <w:szCs w:val="22"/>
        </w:rPr>
        <w:t xml:space="preserve">with one another in order </w:t>
      </w:r>
      <w:r w:rsidRPr="007B4D8A">
        <w:rPr>
          <w:szCs w:val="22"/>
        </w:rPr>
        <w:t>t</w:t>
      </w:r>
      <w:r w:rsidRPr="007B4D8A" w:rsidR="0050174D">
        <w:rPr>
          <w:szCs w:val="22"/>
        </w:rPr>
        <w:t xml:space="preserve">o prevent interference </w:t>
      </w:r>
      <w:r w:rsidRPr="007B4D8A" w:rsidR="007B4D8A">
        <w:rPr>
          <w:szCs w:val="22"/>
        </w:rPr>
        <w:t>beyond</w:t>
      </w:r>
      <w:r w:rsidRPr="007B4D8A" w:rsidR="000A1F7A">
        <w:rPr>
          <w:szCs w:val="22"/>
        </w:rPr>
        <w:t xml:space="preserve"> </w:t>
      </w:r>
      <w:r w:rsidR="006D61AA">
        <w:rPr>
          <w:szCs w:val="22"/>
        </w:rPr>
        <w:t>the temporary two</w:t>
      </w:r>
      <w:r w:rsidR="0006707D">
        <w:rPr>
          <w:szCs w:val="22"/>
        </w:rPr>
        <w:t xml:space="preserve"> </w:t>
      </w:r>
      <w:r w:rsidR="006D61AA">
        <w:rPr>
          <w:szCs w:val="22"/>
        </w:rPr>
        <w:t xml:space="preserve">percent pairwise interference </w:t>
      </w:r>
      <w:r w:rsidRPr="007B4D8A" w:rsidR="000A1F7A">
        <w:rPr>
          <w:szCs w:val="22"/>
        </w:rPr>
        <w:t>permitted during the transition period</w:t>
      </w:r>
      <w:r w:rsidRPr="007B4D8A" w:rsidR="007B4D8A">
        <w:rPr>
          <w:szCs w:val="22"/>
        </w:rPr>
        <w:t>.</w:t>
      </w:r>
      <w:r>
        <w:rPr>
          <w:rStyle w:val="FootnoteReference"/>
          <w:szCs w:val="22"/>
        </w:rPr>
        <w:footnoteReference w:id="14"/>
      </w:r>
      <w:r w:rsidRPr="007B4D8A" w:rsidR="007B4D8A">
        <w:rPr>
          <w:szCs w:val="22"/>
        </w:rPr>
        <w:t xml:space="preserve">  The </w:t>
      </w:r>
      <w:r w:rsidRPr="007B4D8A" w:rsidR="00C00C4B">
        <w:rPr>
          <w:szCs w:val="22"/>
        </w:rPr>
        <w:t>Stations</w:t>
      </w:r>
      <w:r w:rsidRPr="007B4D8A" w:rsidR="007B4D8A">
        <w:rPr>
          <w:szCs w:val="22"/>
        </w:rPr>
        <w:t xml:space="preserve"> </w:t>
      </w:r>
      <w:r w:rsidR="0006707D">
        <w:rPr>
          <w:szCs w:val="22"/>
        </w:rPr>
        <w:t>also assert</w:t>
      </w:r>
      <w:r w:rsidRPr="007B4D8A" w:rsidR="00386759">
        <w:rPr>
          <w:szCs w:val="22"/>
        </w:rPr>
        <w:t xml:space="preserve"> </w:t>
      </w:r>
      <w:r w:rsidRPr="007B4D8A" w:rsidR="00C00C4B">
        <w:rPr>
          <w:szCs w:val="22"/>
        </w:rPr>
        <w:t>that the “geographic isolation of Puerto Rico and the U.S. Virgin Islands allows for accomplishment of an early transition without impact to any other television station transitions</w:t>
      </w:r>
      <w:r w:rsidRPr="007B4D8A" w:rsidR="007B4D8A">
        <w:rPr>
          <w:szCs w:val="22"/>
        </w:rPr>
        <w:t>.</w:t>
      </w:r>
      <w:r w:rsidRPr="007B4D8A" w:rsidR="00C00C4B">
        <w:rPr>
          <w:szCs w:val="22"/>
        </w:rPr>
        <w:t>”</w:t>
      </w:r>
      <w:r>
        <w:rPr>
          <w:rStyle w:val="FootnoteReference"/>
          <w:szCs w:val="22"/>
        </w:rPr>
        <w:footnoteReference w:id="15"/>
      </w:r>
      <w:r w:rsidRPr="007B4D8A" w:rsidR="007B4D8A">
        <w:rPr>
          <w:szCs w:val="22"/>
        </w:rPr>
        <w:t xml:space="preserve">  According to the Stations, their early transition </w:t>
      </w:r>
      <w:r w:rsidRPr="007B4D8A" w:rsidR="00C00C4B">
        <w:rPr>
          <w:szCs w:val="22"/>
        </w:rPr>
        <w:t xml:space="preserve">will not divert resources from other </w:t>
      </w:r>
      <w:r w:rsidRPr="007B4D8A" w:rsidR="0050174D">
        <w:rPr>
          <w:szCs w:val="22"/>
        </w:rPr>
        <w:t xml:space="preserve">transitioning </w:t>
      </w:r>
      <w:r w:rsidRPr="007B4D8A" w:rsidR="00C00C4B">
        <w:rPr>
          <w:szCs w:val="22"/>
        </w:rPr>
        <w:t>station</w:t>
      </w:r>
      <w:r w:rsidR="004117FF">
        <w:rPr>
          <w:szCs w:val="22"/>
        </w:rPr>
        <w:t>s</w:t>
      </w:r>
      <w:r w:rsidRPr="007B4D8A" w:rsidR="00C00C4B">
        <w:rPr>
          <w:szCs w:val="22"/>
        </w:rPr>
        <w:t xml:space="preserve"> because </w:t>
      </w:r>
      <w:r w:rsidRPr="007B4D8A" w:rsidR="0050174D">
        <w:rPr>
          <w:szCs w:val="22"/>
        </w:rPr>
        <w:t>they</w:t>
      </w:r>
      <w:r w:rsidRPr="007B4D8A" w:rsidR="00125F5E">
        <w:rPr>
          <w:szCs w:val="22"/>
        </w:rPr>
        <w:t xml:space="preserve"> will </w:t>
      </w:r>
      <w:r w:rsidRPr="007B4D8A" w:rsidR="00C00C4B">
        <w:rPr>
          <w:szCs w:val="22"/>
        </w:rPr>
        <w:t>“</w:t>
      </w:r>
      <w:r w:rsidRPr="007B4D8A" w:rsidR="006B73D9">
        <w:rPr>
          <w:szCs w:val="22"/>
        </w:rPr>
        <w:t xml:space="preserve">leverage </w:t>
      </w:r>
      <w:r w:rsidRPr="007B4D8A" w:rsidR="00C00C4B">
        <w:rPr>
          <w:szCs w:val="22"/>
        </w:rPr>
        <w:t>rebuilding efforts already underway on the islands</w:t>
      </w:r>
      <w:r w:rsidRPr="007B4D8A" w:rsidR="00DF2BE9">
        <w:rPr>
          <w:szCs w:val="22"/>
        </w:rPr>
        <w:t>”</w:t>
      </w:r>
      <w:r>
        <w:rPr>
          <w:rStyle w:val="FootnoteReference"/>
          <w:szCs w:val="22"/>
        </w:rPr>
        <w:footnoteReference w:id="16"/>
      </w:r>
      <w:r w:rsidRPr="007B4D8A" w:rsidR="00DF2BE9">
        <w:rPr>
          <w:szCs w:val="22"/>
        </w:rPr>
        <w:t xml:space="preserve"> </w:t>
      </w:r>
      <w:r w:rsidRPr="007B4D8A" w:rsidR="007B4D8A">
        <w:rPr>
          <w:szCs w:val="22"/>
        </w:rPr>
        <w:t>and take advantage of</w:t>
      </w:r>
      <w:r w:rsidR="004117FF">
        <w:rPr>
          <w:szCs w:val="22"/>
        </w:rPr>
        <w:t xml:space="preserve"> </w:t>
      </w:r>
      <w:r w:rsidRPr="007B4D8A" w:rsidR="00DF2BE9">
        <w:rPr>
          <w:szCs w:val="22"/>
        </w:rPr>
        <w:t>“</w:t>
      </w:r>
      <w:r w:rsidRPr="007B4D8A" w:rsidR="00C00C4B">
        <w:rPr>
          <w:szCs w:val="22"/>
        </w:rPr>
        <w:t>excess capacity of vendors</w:t>
      </w:r>
      <w:r w:rsidRPr="007B4D8A" w:rsidR="007B4D8A">
        <w:rPr>
          <w:szCs w:val="22"/>
        </w:rPr>
        <w:t>” available prior to Phase 1.</w:t>
      </w:r>
      <w:r>
        <w:rPr>
          <w:rStyle w:val="FootnoteReference"/>
          <w:szCs w:val="22"/>
        </w:rPr>
        <w:footnoteReference w:id="17"/>
      </w:r>
      <w:r w:rsidRPr="007B4D8A" w:rsidR="00386759">
        <w:rPr>
          <w:szCs w:val="22"/>
        </w:rPr>
        <w:t xml:space="preserve">  </w:t>
      </w:r>
      <w:r w:rsidR="003278B4">
        <w:rPr>
          <w:szCs w:val="22"/>
        </w:rPr>
        <w:t xml:space="preserve">For example, </w:t>
      </w:r>
      <w:r w:rsidR="007B4D8A">
        <w:rPr>
          <w:szCs w:val="22"/>
        </w:rPr>
        <w:t>Electronics Research, Inc.</w:t>
      </w:r>
      <w:r w:rsidR="003278B4">
        <w:rPr>
          <w:szCs w:val="22"/>
        </w:rPr>
        <w:t xml:space="preserve"> (ERI)</w:t>
      </w:r>
      <w:r w:rsidR="007B4D8A">
        <w:rPr>
          <w:szCs w:val="22"/>
        </w:rPr>
        <w:t xml:space="preserve">, </w:t>
      </w:r>
      <w:r w:rsidRPr="007B4D8A" w:rsidR="007B4D8A">
        <w:rPr>
          <w:szCs w:val="22"/>
        </w:rPr>
        <w:t xml:space="preserve">which designs, fabricates and installs broadcast television antennas, </w:t>
      </w:r>
      <w:r w:rsidRPr="007B4D8A" w:rsidR="0050174D">
        <w:rPr>
          <w:szCs w:val="22"/>
        </w:rPr>
        <w:t>has</w:t>
      </w:r>
      <w:r w:rsidR="003278B4">
        <w:rPr>
          <w:szCs w:val="22"/>
        </w:rPr>
        <w:t xml:space="preserve"> </w:t>
      </w:r>
      <w:r w:rsidR="006D61AA">
        <w:rPr>
          <w:szCs w:val="22"/>
        </w:rPr>
        <w:t>filed</w:t>
      </w:r>
      <w:r w:rsidR="003278B4">
        <w:rPr>
          <w:szCs w:val="22"/>
        </w:rPr>
        <w:t xml:space="preserve"> a letter of support confirming that </w:t>
      </w:r>
      <w:r w:rsidR="003D74CB">
        <w:rPr>
          <w:szCs w:val="22"/>
        </w:rPr>
        <w:t>it</w:t>
      </w:r>
      <w:r w:rsidR="003278B4">
        <w:rPr>
          <w:szCs w:val="22"/>
        </w:rPr>
        <w:t xml:space="preserve"> will be able to support the Stations</w:t>
      </w:r>
      <w:r w:rsidR="0006707D">
        <w:rPr>
          <w:szCs w:val="22"/>
        </w:rPr>
        <w:t>’</w:t>
      </w:r>
      <w:r w:rsidR="003278B4">
        <w:rPr>
          <w:szCs w:val="22"/>
        </w:rPr>
        <w:t xml:space="preserve"> early transition without impacting its ab</w:t>
      </w:r>
      <w:r w:rsidR="00F14931">
        <w:rPr>
          <w:szCs w:val="22"/>
        </w:rPr>
        <w:t xml:space="preserve">ility to support </w:t>
      </w:r>
      <w:r w:rsidR="0006707D">
        <w:rPr>
          <w:szCs w:val="22"/>
        </w:rPr>
        <w:t xml:space="preserve">the transition efforts of </w:t>
      </w:r>
      <w:r w:rsidR="00F14931">
        <w:rPr>
          <w:szCs w:val="22"/>
        </w:rPr>
        <w:t>other stations</w:t>
      </w:r>
      <w:r w:rsidR="003278B4">
        <w:rPr>
          <w:szCs w:val="22"/>
        </w:rPr>
        <w:t>.</w:t>
      </w:r>
      <w:r>
        <w:rPr>
          <w:rStyle w:val="FootnoteReference"/>
          <w:szCs w:val="22"/>
        </w:rPr>
        <w:footnoteReference w:id="18"/>
      </w:r>
      <w:r w:rsidR="003278B4">
        <w:rPr>
          <w:szCs w:val="22"/>
        </w:rPr>
        <w:t xml:space="preserve">  </w:t>
      </w:r>
    </w:p>
    <w:p w:rsidR="00386759" w:rsidRPr="007B4D8A" w:rsidP="007B4D8A">
      <w:pPr>
        <w:widowControl/>
        <w:numPr>
          <w:ilvl w:val="0"/>
          <w:numId w:val="13"/>
        </w:numPr>
        <w:spacing w:before="120" w:after="120"/>
        <w:ind w:left="0" w:firstLine="810"/>
        <w:rPr>
          <w:szCs w:val="22"/>
        </w:rPr>
      </w:pPr>
      <w:r w:rsidRPr="007B4D8A">
        <w:rPr>
          <w:szCs w:val="22"/>
        </w:rPr>
        <w:t>T</w:t>
      </w:r>
      <w:r w:rsidRPr="007B4D8A" w:rsidR="00DF2BE9">
        <w:rPr>
          <w:szCs w:val="22"/>
        </w:rPr>
        <w:t>he Stations</w:t>
      </w:r>
      <w:r w:rsidRPr="007B4D8A">
        <w:rPr>
          <w:szCs w:val="22"/>
        </w:rPr>
        <w:t xml:space="preserve"> also</w:t>
      </w:r>
      <w:r w:rsidRPr="007B4D8A" w:rsidR="00DF2BE9">
        <w:rPr>
          <w:szCs w:val="22"/>
        </w:rPr>
        <w:t xml:space="preserve"> </w:t>
      </w:r>
      <w:r w:rsidR="003278B4">
        <w:rPr>
          <w:szCs w:val="22"/>
        </w:rPr>
        <w:t xml:space="preserve">note that permitting them to undertake an early transition will </w:t>
      </w:r>
      <w:r w:rsidRPr="007B4D8A" w:rsidR="00DF2BE9">
        <w:rPr>
          <w:szCs w:val="22"/>
        </w:rPr>
        <w:t xml:space="preserve">have the added advantage of </w:t>
      </w:r>
      <w:r w:rsidR="003278B4">
        <w:rPr>
          <w:szCs w:val="22"/>
        </w:rPr>
        <w:t xml:space="preserve">“swiftly </w:t>
      </w:r>
      <w:r w:rsidRPr="007B4D8A" w:rsidR="00DF2BE9">
        <w:rPr>
          <w:szCs w:val="22"/>
        </w:rPr>
        <w:t>clearing</w:t>
      </w:r>
      <w:r w:rsidR="003278B4">
        <w:rPr>
          <w:szCs w:val="22"/>
        </w:rPr>
        <w:t>” the</w:t>
      </w:r>
      <w:r w:rsidRPr="007B4D8A" w:rsidR="00DF2BE9">
        <w:rPr>
          <w:szCs w:val="22"/>
        </w:rPr>
        <w:t xml:space="preserve"> </w:t>
      </w:r>
      <w:r w:rsidRPr="007B4D8A" w:rsidR="00C00C4B">
        <w:rPr>
          <w:szCs w:val="22"/>
        </w:rPr>
        <w:t xml:space="preserve">600 MHz </w:t>
      </w:r>
      <w:r w:rsidRPr="007B4D8A" w:rsidR="00DF2BE9">
        <w:rPr>
          <w:szCs w:val="22"/>
        </w:rPr>
        <w:t>wireless</w:t>
      </w:r>
      <w:r w:rsidRPr="007B4D8A" w:rsidR="00C00C4B">
        <w:rPr>
          <w:szCs w:val="22"/>
        </w:rPr>
        <w:t xml:space="preserve"> band</w:t>
      </w:r>
      <w:r w:rsidR="003D74CB">
        <w:rPr>
          <w:szCs w:val="22"/>
        </w:rPr>
        <w:t>,</w:t>
      </w:r>
      <w:r w:rsidRPr="007B4D8A" w:rsidR="00C00C4B">
        <w:rPr>
          <w:szCs w:val="22"/>
        </w:rPr>
        <w:t xml:space="preserve"> </w:t>
      </w:r>
      <w:r w:rsidRPr="007B4D8A">
        <w:rPr>
          <w:szCs w:val="22"/>
        </w:rPr>
        <w:t>and thereby</w:t>
      </w:r>
      <w:r w:rsidRPr="007B4D8A" w:rsidR="00C00C4B">
        <w:rPr>
          <w:szCs w:val="22"/>
        </w:rPr>
        <w:t xml:space="preserve"> enabl</w:t>
      </w:r>
      <w:r w:rsidR="003278B4">
        <w:rPr>
          <w:szCs w:val="22"/>
        </w:rPr>
        <w:t xml:space="preserve">ing the deployment of </w:t>
      </w:r>
      <w:r w:rsidRPr="007B4D8A" w:rsidR="00C00C4B">
        <w:rPr>
          <w:szCs w:val="22"/>
        </w:rPr>
        <w:t xml:space="preserve">new wireless broadband services, </w:t>
      </w:r>
      <w:r w:rsidRPr="007B4D8A" w:rsidR="00DF2BE9">
        <w:rPr>
          <w:szCs w:val="22"/>
        </w:rPr>
        <w:t>something</w:t>
      </w:r>
      <w:r w:rsidR="003278B4">
        <w:rPr>
          <w:szCs w:val="22"/>
        </w:rPr>
        <w:t xml:space="preserve"> that</w:t>
      </w:r>
      <w:r w:rsidR="0006707D">
        <w:rPr>
          <w:szCs w:val="22"/>
        </w:rPr>
        <w:t>,</w:t>
      </w:r>
      <w:r w:rsidR="003278B4">
        <w:rPr>
          <w:szCs w:val="22"/>
        </w:rPr>
        <w:t xml:space="preserve"> according to the S</w:t>
      </w:r>
      <w:r w:rsidRPr="007B4D8A" w:rsidR="00C00C4B">
        <w:rPr>
          <w:szCs w:val="22"/>
        </w:rPr>
        <w:t>tations</w:t>
      </w:r>
      <w:r w:rsidR="0006707D">
        <w:rPr>
          <w:szCs w:val="22"/>
        </w:rPr>
        <w:t>,</w:t>
      </w:r>
      <w:r w:rsidRPr="007B4D8A" w:rsidR="00C00C4B">
        <w:rPr>
          <w:szCs w:val="22"/>
        </w:rPr>
        <w:t xml:space="preserve"> is “</w:t>
      </w:r>
      <w:r w:rsidRPr="007B4D8A" w:rsidR="00B64ABA">
        <w:rPr>
          <w:szCs w:val="22"/>
        </w:rPr>
        <w:t>desperately</w:t>
      </w:r>
      <w:r w:rsidRPr="007B4D8A" w:rsidR="00C00C4B">
        <w:rPr>
          <w:szCs w:val="22"/>
        </w:rPr>
        <w:t xml:space="preserve"> needed in the islands.”</w:t>
      </w:r>
      <w:r>
        <w:rPr>
          <w:rStyle w:val="FootnoteReference"/>
          <w:szCs w:val="22"/>
        </w:rPr>
        <w:footnoteReference w:id="19"/>
      </w:r>
      <w:r w:rsidRPr="007B4D8A" w:rsidR="00125F5E">
        <w:rPr>
          <w:szCs w:val="22"/>
        </w:rPr>
        <w:t xml:space="preserve">  T-Mobile has filed a letter of support agreeing that grant of the Waiver Requests would</w:t>
      </w:r>
      <w:r w:rsidR="003278B4">
        <w:rPr>
          <w:szCs w:val="22"/>
        </w:rPr>
        <w:t xml:space="preserve"> help</w:t>
      </w:r>
      <w:r w:rsidRPr="007B4D8A" w:rsidR="00125F5E">
        <w:rPr>
          <w:szCs w:val="22"/>
        </w:rPr>
        <w:t xml:space="preserve"> facilitate </w:t>
      </w:r>
      <w:r w:rsidR="00D05B28">
        <w:rPr>
          <w:szCs w:val="22"/>
        </w:rPr>
        <w:t>the “rapid deployment” of</w:t>
      </w:r>
      <w:r w:rsidRPr="007B4D8A" w:rsidR="00125F5E">
        <w:rPr>
          <w:szCs w:val="22"/>
        </w:rPr>
        <w:t xml:space="preserve"> new wireless broadband services in the 600 MHz band in both Puerto Rico and the U.S. Virgin Islands.</w:t>
      </w:r>
      <w:r>
        <w:rPr>
          <w:rStyle w:val="FootnoteReference"/>
          <w:szCs w:val="22"/>
        </w:rPr>
        <w:footnoteReference w:id="20"/>
      </w:r>
      <w:r w:rsidR="003278B4">
        <w:rPr>
          <w:szCs w:val="22"/>
        </w:rPr>
        <w:t xml:space="preserve">  </w:t>
      </w:r>
      <w:r w:rsidR="00D05B28">
        <w:rPr>
          <w:szCs w:val="22"/>
        </w:rPr>
        <w:t>Furthermore, l</w:t>
      </w:r>
      <w:r w:rsidR="003278B4">
        <w:rPr>
          <w:szCs w:val="22"/>
        </w:rPr>
        <w:t>ike many of the Stations, T-Mobile’s facilities were also heavily damaged by the hurricanes</w:t>
      </w:r>
      <w:r w:rsidR="003D74CB">
        <w:rPr>
          <w:szCs w:val="22"/>
        </w:rPr>
        <w:t>,</w:t>
      </w:r>
      <w:r w:rsidR="003278B4">
        <w:rPr>
          <w:szCs w:val="22"/>
        </w:rPr>
        <w:t xml:space="preserve"> and </w:t>
      </w:r>
      <w:r w:rsidR="00943ED7">
        <w:rPr>
          <w:szCs w:val="22"/>
        </w:rPr>
        <w:t>the Stations’</w:t>
      </w:r>
      <w:r w:rsidR="003278B4">
        <w:rPr>
          <w:szCs w:val="22"/>
        </w:rPr>
        <w:t xml:space="preserve"> early transition</w:t>
      </w:r>
      <w:r w:rsidR="00D05B28">
        <w:rPr>
          <w:szCs w:val="22"/>
        </w:rPr>
        <w:t xml:space="preserve"> </w:t>
      </w:r>
      <w:r w:rsidR="003278B4">
        <w:rPr>
          <w:szCs w:val="22"/>
        </w:rPr>
        <w:t>will</w:t>
      </w:r>
      <w:r w:rsidR="00D05B28">
        <w:rPr>
          <w:szCs w:val="22"/>
        </w:rPr>
        <w:t xml:space="preserve"> support </w:t>
      </w:r>
      <w:r w:rsidR="003278B4">
        <w:rPr>
          <w:szCs w:val="22"/>
        </w:rPr>
        <w:t>T-Mobile</w:t>
      </w:r>
      <w:r w:rsidR="00D05B28">
        <w:rPr>
          <w:szCs w:val="22"/>
        </w:rPr>
        <w:t xml:space="preserve">’s </w:t>
      </w:r>
      <w:r w:rsidR="00F14931">
        <w:rPr>
          <w:szCs w:val="22"/>
        </w:rPr>
        <w:t xml:space="preserve">post-hurricane </w:t>
      </w:r>
      <w:r w:rsidR="00D05B28">
        <w:rPr>
          <w:szCs w:val="22"/>
        </w:rPr>
        <w:t>rebuilding efforts by facilitating its inclusion of new 600 MHz equipment in its</w:t>
      </w:r>
      <w:r w:rsidR="00F14931">
        <w:rPr>
          <w:szCs w:val="22"/>
        </w:rPr>
        <w:t xml:space="preserve"> </w:t>
      </w:r>
      <w:r w:rsidR="00D05B28">
        <w:rPr>
          <w:szCs w:val="22"/>
        </w:rPr>
        <w:t>plans.</w:t>
      </w:r>
      <w:r>
        <w:rPr>
          <w:rStyle w:val="FootnoteReference"/>
          <w:szCs w:val="22"/>
        </w:rPr>
        <w:footnoteReference w:id="21"/>
      </w:r>
      <w:r w:rsidR="003278B4">
        <w:rPr>
          <w:szCs w:val="22"/>
        </w:rPr>
        <w:t xml:space="preserve">  </w:t>
      </w:r>
    </w:p>
    <w:p w:rsidR="003B57FA" w:rsidP="00386759">
      <w:pPr>
        <w:widowControl/>
        <w:numPr>
          <w:ilvl w:val="0"/>
          <w:numId w:val="13"/>
        </w:numPr>
        <w:spacing w:before="120" w:after="120"/>
        <w:ind w:left="0" w:firstLine="810"/>
        <w:rPr>
          <w:szCs w:val="22"/>
        </w:rPr>
      </w:pPr>
      <w:r w:rsidRPr="0038051F">
        <w:rPr>
          <w:szCs w:val="22"/>
        </w:rPr>
        <w:t xml:space="preserve">Upon review of the facts and circumstances presented, we find the </w:t>
      </w:r>
      <w:r w:rsidR="00D05B28">
        <w:rPr>
          <w:szCs w:val="22"/>
        </w:rPr>
        <w:t>Stations</w:t>
      </w:r>
      <w:r w:rsidR="00F14931">
        <w:rPr>
          <w:szCs w:val="22"/>
        </w:rPr>
        <w:t>’</w:t>
      </w:r>
      <w:r w:rsidR="00D05B28">
        <w:rPr>
          <w:szCs w:val="22"/>
        </w:rPr>
        <w:t xml:space="preserve"> requests to modify their phase assignment and </w:t>
      </w:r>
      <w:r w:rsidRPr="0038051F" w:rsidR="0050174D">
        <w:rPr>
          <w:szCs w:val="22"/>
        </w:rPr>
        <w:t>transition prior to Phase 1</w:t>
      </w:r>
      <w:r w:rsidR="00D05B28">
        <w:rPr>
          <w:szCs w:val="22"/>
        </w:rPr>
        <w:t xml:space="preserve"> </w:t>
      </w:r>
      <w:r w:rsidR="003D74CB">
        <w:rPr>
          <w:szCs w:val="22"/>
        </w:rPr>
        <w:t>satisfy</w:t>
      </w:r>
      <w:r w:rsidR="00D05B28">
        <w:rPr>
          <w:szCs w:val="22"/>
        </w:rPr>
        <w:t xml:space="preserve"> the requirements for a </w:t>
      </w:r>
      <w:r w:rsidR="00C275E7">
        <w:rPr>
          <w:szCs w:val="22"/>
        </w:rPr>
        <w:t>waiver</w:t>
      </w:r>
      <w:r w:rsidR="00D05B28">
        <w:rPr>
          <w:szCs w:val="22"/>
        </w:rPr>
        <w:t xml:space="preserve">. </w:t>
      </w:r>
      <w:r w:rsidRPr="0038051F" w:rsidR="0050174D">
        <w:rPr>
          <w:szCs w:val="22"/>
        </w:rPr>
        <w:t xml:space="preserve"> </w:t>
      </w:r>
      <w:r w:rsidR="00D05B28">
        <w:rPr>
          <w:szCs w:val="22"/>
        </w:rPr>
        <w:t xml:space="preserve">We agree that the </w:t>
      </w:r>
      <w:r w:rsidR="00F14931">
        <w:rPr>
          <w:szCs w:val="22"/>
        </w:rPr>
        <w:t xml:space="preserve">proposed </w:t>
      </w:r>
      <w:r w:rsidR="00D05B28">
        <w:rPr>
          <w:szCs w:val="22"/>
        </w:rPr>
        <w:t>change to the Stations</w:t>
      </w:r>
      <w:r w:rsidR="004117FF">
        <w:rPr>
          <w:szCs w:val="22"/>
        </w:rPr>
        <w:t>’</w:t>
      </w:r>
      <w:r w:rsidR="00D05B28">
        <w:rPr>
          <w:szCs w:val="22"/>
        </w:rPr>
        <w:t xml:space="preserve"> transition phase </w:t>
      </w:r>
      <w:r w:rsidRPr="0038051F">
        <w:rPr>
          <w:szCs w:val="22"/>
        </w:rPr>
        <w:t xml:space="preserve">should not have an adverse impact on the overall transition schedule or a negative impact on other stations or viewers.  A staff analysis confirms that the phase change does not create any new linked station sets and will not result in new interference above the two percent permitted during the transition.  </w:t>
      </w:r>
      <w:r w:rsidRPr="0038051F" w:rsidR="00B64ABA">
        <w:rPr>
          <w:szCs w:val="22"/>
        </w:rPr>
        <w:t xml:space="preserve">As a result of </w:t>
      </w:r>
      <w:r w:rsidR="00D05B28">
        <w:rPr>
          <w:szCs w:val="22"/>
        </w:rPr>
        <w:t>this</w:t>
      </w:r>
      <w:r w:rsidRPr="0038051F" w:rsidR="00B64ABA">
        <w:rPr>
          <w:szCs w:val="22"/>
        </w:rPr>
        <w:t xml:space="preserve"> modification</w:t>
      </w:r>
      <w:r w:rsidRPr="0038051F" w:rsidR="0009272C">
        <w:rPr>
          <w:szCs w:val="22"/>
        </w:rPr>
        <w:t xml:space="preserve"> to the transition schedule,</w:t>
      </w:r>
      <w:r w:rsidRPr="0038051F" w:rsidR="00B64ABA">
        <w:rPr>
          <w:szCs w:val="22"/>
        </w:rPr>
        <w:t xml:space="preserve"> viewers in</w:t>
      </w:r>
      <w:r w:rsidRPr="0038051F">
        <w:rPr>
          <w:szCs w:val="22"/>
        </w:rPr>
        <w:t xml:space="preserve"> Puerto Rico will </w:t>
      </w:r>
      <w:r w:rsidRPr="0038051F" w:rsidR="00B64ABA">
        <w:rPr>
          <w:szCs w:val="22"/>
        </w:rPr>
        <w:t xml:space="preserve">only be </w:t>
      </w:r>
      <w:r w:rsidRPr="0038051F">
        <w:rPr>
          <w:szCs w:val="22"/>
        </w:rPr>
        <w:t xml:space="preserve">subject to one rescan period, </w:t>
      </w:r>
      <w:r w:rsidRPr="0038051F" w:rsidR="00B64ABA">
        <w:rPr>
          <w:szCs w:val="22"/>
        </w:rPr>
        <w:t>instead of two.</w:t>
      </w:r>
      <w:r>
        <w:rPr>
          <w:rStyle w:val="FootnoteReference"/>
          <w:szCs w:val="22"/>
        </w:rPr>
        <w:footnoteReference w:id="22"/>
      </w:r>
      <w:r w:rsidRPr="0038051F" w:rsidR="00B64ABA">
        <w:rPr>
          <w:szCs w:val="22"/>
        </w:rPr>
        <w:t xml:space="preserve">  </w:t>
      </w:r>
      <w:r w:rsidR="0006707D">
        <w:rPr>
          <w:szCs w:val="22"/>
        </w:rPr>
        <w:t xml:space="preserve">Although </w:t>
      </w:r>
      <w:r w:rsidRPr="0038051F" w:rsidR="00B64ABA">
        <w:rPr>
          <w:szCs w:val="22"/>
        </w:rPr>
        <w:t>i</w:t>
      </w:r>
      <w:r w:rsidRPr="0038051F">
        <w:rPr>
          <w:szCs w:val="22"/>
        </w:rPr>
        <w:t xml:space="preserve">n the </w:t>
      </w:r>
      <w:r w:rsidRPr="0038051F" w:rsidR="008D44F2">
        <w:rPr>
          <w:szCs w:val="22"/>
        </w:rPr>
        <w:t xml:space="preserve">U.S. </w:t>
      </w:r>
      <w:r w:rsidRPr="0038051F">
        <w:rPr>
          <w:szCs w:val="22"/>
        </w:rPr>
        <w:t xml:space="preserve">Virgin Islands </w:t>
      </w:r>
      <w:r w:rsidRPr="0038051F" w:rsidR="00B64ABA">
        <w:rPr>
          <w:szCs w:val="22"/>
        </w:rPr>
        <w:t>t</w:t>
      </w:r>
      <w:r w:rsidRPr="0038051F">
        <w:rPr>
          <w:szCs w:val="22"/>
        </w:rPr>
        <w:t>he total number of rescan period</w:t>
      </w:r>
      <w:r w:rsidRPr="0038051F" w:rsidR="00B64ABA">
        <w:rPr>
          <w:szCs w:val="22"/>
        </w:rPr>
        <w:t xml:space="preserve">s will increase </w:t>
      </w:r>
      <w:r w:rsidRPr="0038051F">
        <w:rPr>
          <w:szCs w:val="22"/>
        </w:rPr>
        <w:t>from one to two</w:t>
      </w:r>
      <w:r w:rsidRPr="0038051F" w:rsidR="00B64ABA">
        <w:rPr>
          <w:szCs w:val="22"/>
        </w:rPr>
        <w:t>,</w:t>
      </w:r>
      <w:r>
        <w:rPr>
          <w:rStyle w:val="FootnoteReference"/>
          <w:szCs w:val="22"/>
        </w:rPr>
        <w:footnoteReference w:id="23"/>
      </w:r>
      <w:r w:rsidRPr="0038051F" w:rsidR="00B64ABA">
        <w:rPr>
          <w:szCs w:val="22"/>
        </w:rPr>
        <w:t xml:space="preserve"> this is within </w:t>
      </w:r>
      <w:r w:rsidR="004117FF">
        <w:rPr>
          <w:szCs w:val="22"/>
        </w:rPr>
        <w:t xml:space="preserve">the </w:t>
      </w:r>
      <w:r w:rsidRPr="0038051F" w:rsidR="009F5F48">
        <w:rPr>
          <w:szCs w:val="22"/>
        </w:rPr>
        <w:t xml:space="preserve">two rescan periods per DMA limitation used in the tool adopted by the Bureau in the </w:t>
      </w:r>
      <w:r w:rsidRPr="0038051F" w:rsidR="009F5F48">
        <w:rPr>
          <w:i/>
          <w:szCs w:val="22"/>
        </w:rPr>
        <w:t xml:space="preserve">Transition Scheduling Adoption Public Notice </w:t>
      </w:r>
      <w:r w:rsidRPr="0038051F" w:rsidR="009F5F48">
        <w:rPr>
          <w:szCs w:val="22"/>
        </w:rPr>
        <w:t>to assign stations to transition phases.</w:t>
      </w:r>
      <w:r>
        <w:rPr>
          <w:rStyle w:val="FootnoteReference"/>
          <w:szCs w:val="22"/>
        </w:rPr>
        <w:footnoteReference w:id="24"/>
      </w:r>
      <w:r w:rsidRPr="0038051F" w:rsidR="009F5F48">
        <w:rPr>
          <w:szCs w:val="22"/>
        </w:rPr>
        <w:t xml:space="preserve">  </w:t>
      </w:r>
    </w:p>
    <w:p w:rsidR="004827BD" w:rsidP="004827BD">
      <w:pPr>
        <w:widowControl/>
        <w:numPr>
          <w:ilvl w:val="0"/>
          <w:numId w:val="13"/>
        </w:numPr>
        <w:spacing w:before="120" w:after="120"/>
        <w:ind w:left="0" w:firstLine="810"/>
        <w:rPr>
          <w:szCs w:val="22"/>
        </w:rPr>
      </w:pPr>
      <w:r>
        <w:rPr>
          <w:szCs w:val="22"/>
        </w:rPr>
        <w:t xml:space="preserve">Based on the </w:t>
      </w:r>
      <w:r w:rsidR="00F14931">
        <w:rPr>
          <w:szCs w:val="22"/>
        </w:rPr>
        <w:t xml:space="preserve">record, including the letters of support filed by ERI and T-Mobile, </w:t>
      </w:r>
      <w:r>
        <w:rPr>
          <w:szCs w:val="22"/>
        </w:rPr>
        <w:t xml:space="preserve">we find that an </w:t>
      </w:r>
      <w:r w:rsidRPr="0038051F" w:rsidR="00386759">
        <w:rPr>
          <w:szCs w:val="22"/>
        </w:rPr>
        <w:t>early transition is unlikely to impact other transitionin</w:t>
      </w:r>
      <w:r w:rsidR="00D05B28">
        <w:rPr>
          <w:szCs w:val="22"/>
        </w:rPr>
        <w:t>g</w:t>
      </w:r>
      <w:r>
        <w:rPr>
          <w:szCs w:val="22"/>
        </w:rPr>
        <w:t xml:space="preserve"> stations</w:t>
      </w:r>
      <w:r w:rsidR="003D74CB">
        <w:rPr>
          <w:szCs w:val="22"/>
        </w:rPr>
        <w:t>’</w:t>
      </w:r>
      <w:r>
        <w:rPr>
          <w:szCs w:val="22"/>
        </w:rPr>
        <w:t xml:space="preserve"> access to resources</w:t>
      </w:r>
      <w:r w:rsidR="00844060">
        <w:rPr>
          <w:szCs w:val="22"/>
        </w:rPr>
        <w:t xml:space="preserve"> and will provide additional public interest benefits by expediting the deployment of new 600 MHz wireless broadband services.  W</w:t>
      </w:r>
      <w:r>
        <w:rPr>
          <w:szCs w:val="22"/>
        </w:rPr>
        <w:t>e</w:t>
      </w:r>
      <w:r w:rsidRPr="0038051F">
        <w:rPr>
          <w:szCs w:val="22"/>
        </w:rPr>
        <w:t xml:space="preserve"> </w:t>
      </w:r>
      <w:r>
        <w:rPr>
          <w:szCs w:val="22"/>
        </w:rPr>
        <w:t>believe that the S</w:t>
      </w:r>
      <w:r w:rsidRPr="0038051F">
        <w:rPr>
          <w:szCs w:val="22"/>
        </w:rPr>
        <w:t>tations have significant economic</w:t>
      </w:r>
      <w:r w:rsidR="00844060">
        <w:rPr>
          <w:szCs w:val="22"/>
        </w:rPr>
        <w:t xml:space="preserve"> and community</w:t>
      </w:r>
      <w:r w:rsidRPr="0038051F">
        <w:rPr>
          <w:szCs w:val="22"/>
        </w:rPr>
        <w:t xml:space="preserve"> incentive to complete construction of their post-auction channel facilities as quickly as possible</w:t>
      </w:r>
      <w:r w:rsidR="003D74CB">
        <w:rPr>
          <w:szCs w:val="22"/>
        </w:rPr>
        <w:t>,</w:t>
      </w:r>
      <w:r w:rsidRPr="0038051F">
        <w:rPr>
          <w:szCs w:val="22"/>
        </w:rPr>
        <w:t xml:space="preserve"> given that 1</w:t>
      </w:r>
      <w:r w:rsidR="00033227">
        <w:rPr>
          <w:szCs w:val="22"/>
        </w:rPr>
        <w:t>2</w:t>
      </w:r>
      <w:r w:rsidRPr="0038051F">
        <w:rPr>
          <w:szCs w:val="22"/>
        </w:rPr>
        <w:t xml:space="preserve"> out of the 20 stations seeking waiver are currently silent</w:t>
      </w:r>
      <w:r w:rsidR="00AA2FD4">
        <w:rPr>
          <w:szCs w:val="22"/>
        </w:rPr>
        <w:t>,</w:t>
      </w:r>
      <w:r>
        <w:rPr>
          <w:rStyle w:val="FootnoteReference"/>
          <w:szCs w:val="22"/>
        </w:rPr>
        <w:footnoteReference w:id="25"/>
      </w:r>
      <w:r w:rsidR="00844060">
        <w:rPr>
          <w:szCs w:val="22"/>
        </w:rPr>
        <w:t xml:space="preserve"> </w:t>
      </w:r>
      <w:r w:rsidR="00AA2FD4">
        <w:rPr>
          <w:szCs w:val="22"/>
        </w:rPr>
        <w:t>but</w:t>
      </w:r>
      <w:r>
        <w:rPr>
          <w:szCs w:val="22"/>
        </w:rPr>
        <w:t xml:space="preserve"> in order to ensure that the transition is complete</w:t>
      </w:r>
      <w:r w:rsidR="00AA2FD4">
        <w:rPr>
          <w:szCs w:val="22"/>
        </w:rPr>
        <w:t>d</w:t>
      </w:r>
      <w:r>
        <w:rPr>
          <w:szCs w:val="22"/>
        </w:rPr>
        <w:t xml:space="preserve"> </w:t>
      </w:r>
      <w:r w:rsidR="00AA2FD4">
        <w:rPr>
          <w:szCs w:val="22"/>
        </w:rPr>
        <w:t xml:space="preserve">sufficiently </w:t>
      </w:r>
      <w:r>
        <w:rPr>
          <w:szCs w:val="22"/>
        </w:rPr>
        <w:t xml:space="preserve">in advance of the start of the Phase 1 testing period (September 14, 2018), </w:t>
      </w:r>
      <w:r w:rsidRPr="0038051F" w:rsidR="0009272C">
        <w:rPr>
          <w:szCs w:val="22"/>
        </w:rPr>
        <w:t>w</w:t>
      </w:r>
      <w:r w:rsidRPr="0038051F" w:rsidR="00386759">
        <w:rPr>
          <w:szCs w:val="22"/>
        </w:rPr>
        <w:t xml:space="preserve">e </w:t>
      </w:r>
      <w:r>
        <w:rPr>
          <w:szCs w:val="22"/>
        </w:rPr>
        <w:t>conclude that</w:t>
      </w:r>
      <w:r w:rsidRPr="0038051F" w:rsidR="00386759">
        <w:rPr>
          <w:szCs w:val="22"/>
        </w:rPr>
        <w:t xml:space="preserve"> it is in the public </w:t>
      </w:r>
      <w:r w:rsidRPr="0038051F" w:rsidR="0009272C">
        <w:rPr>
          <w:szCs w:val="22"/>
        </w:rPr>
        <w:t>interest</w:t>
      </w:r>
      <w:r>
        <w:rPr>
          <w:szCs w:val="22"/>
        </w:rPr>
        <w:t xml:space="preserve"> to establish </w:t>
      </w:r>
      <w:r w:rsidR="00AA2FD4">
        <w:rPr>
          <w:szCs w:val="22"/>
        </w:rPr>
        <w:t xml:space="preserve">a deadline of </w:t>
      </w:r>
      <w:r w:rsidRPr="0038051F" w:rsidR="00386759">
        <w:rPr>
          <w:szCs w:val="22"/>
        </w:rPr>
        <w:t>August 1, 2018</w:t>
      </w:r>
      <w:r w:rsidR="003D74CB">
        <w:rPr>
          <w:szCs w:val="22"/>
        </w:rPr>
        <w:t>,</w:t>
      </w:r>
      <w:r>
        <w:rPr>
          <w:szCs w:val="22"/>
        </w:rPr>
        <w:t xml:space="preserve"> for the Stations to cease operations on their pre-auction channels</w:t>
      </w:r>
      <w:r w:rsidR="00AA2FD4">
        <w:rPr>
          <w:szCs w:val="22"/>
        </w:rPr>
        <w:t xml:space="preserve"> so as not to divert resources from stations transitioning in Phase 1</w:t>
      </w:r>
      <w:r w:rsidRPr="0038051F" w:rsidR="00386759">
        <w:rPr>
          <w:szCs w:val="22"/>
        </w:rPr>
        <w:t>.</w:t>
      </w:r>
      <w:r>
        <w:rPr>
          <w:rStyle w:val="FootnoteReference"/>
          <w:szCs w:val="22"/>
        </w:rPr>
        <w:footnoteReference w:id="26"/>
      </w:r>
      <w:r w:rsidR="00D21A84">
        <w:rPr>
          <w:szCs w:val="22"/>
        </w:rPr>
        <w:t xml:space="preserve">  Furthermore, in </w:t>
      </w:r>
      <w:r w:rsidR="00844060">
        <w:rPr>
          <w:szCs w:val="22"/>
        </w:rPr>
        <w:t xml:space="preserve">light of the </w:t>
      </w:r>
      <w:r w:rsidR="00943ED7">
        <w:rPr>
          <w:szCs w:val="22"/>
        </w:rPr>
        <w:t xml:space="preserve">fact that a </w:t>
      </w:r>
      <w:r w:rsidR="00844060">
        <w:rPr>
          <w:szCs w:val="22"/>
        </w:rPr>
        <w:t xml:space="preserve">number of stations </w:t>
      </w:r>
      <w:r w:rsidR="00AA2FD4">
        <w:rPr>
          <w:szCs w:val="22"/>
        </w:rPr>
        <w:t xml:space="preserve">throughout </w:t>
      </w:r>
      <w:r w:rsidR="00844060">
        <w:rPr>
          <w:szCs w:val="22"/>
        </w:rPr>
        <w:t>Puerto Rico</w:t>
      </w:r>
      <w:r w:rsidR="00943ED7">
        <w:rPr>
          <w:szCs w:val="22"/>
        </w:rPr>
        <w:t xml:space="preserve"> are part of a linked station set</w:t>
      </w:r>
      <w:r w:rsidR="003D74CB">
        <w:rPr>
          <w:szCs w:val="22"/>
        </w:rPr>
        <w:t>,</w:t>
      </w:r>
      <w:r w:rsidR="00844060">
        <w:rPr>
          <w:szCs w:val="22"/>
        </w:rPr>
        <w:t xml:space="preserve"> and in order </w:t>
      </w:r>
      <w:r w:rsidR="00D21A84">
        <w:rPr>
          <w:szCs w:val="22"/>
        </w:rPr>
        <w:t xml:space="preserve">to </w:t>
      </w:r>
      <w:r w:rsidR="00844060">
        <w:rPr>
          <w:szCs w:val="22"/>
        </w:rPr>
        <w:t>maintain</w:t>
      </w:r>
      <w:r w:rsidR="00D21A84">
        <w:rPr>
          <w:szCs w:val="22"/>
        </w:rPr>
        <w:t xml:space="preserve"> an orderly transition across </w:t>
      </w:r>
      <w:r w:rsidR="00844060">
        <w:rPr>
          <w:szCs w:val="22"/>
        </w:rPr>
        <w:t xml:space="preserve">the islands, </w:t>
      </w:r>
      <w:r w:rsidR="003B57FA">
        <w:rPr>
          <w:szCs w:val="22"/>
        </w:rPr>
        <w:t>we establish a July 1, 2018</w:t>
      </w:r>
      <w:r w:rsidR="003D74CB">
        <w:rPr>
          <w:szCs w:val="22"/>
        </w:rPr>
        <w:t>,</w:t>
      </w:r>
      <w:r w:rsidR="003B57FA">
        <w:rPr>
          <w:szCs w:val="22"/>
        </w:rPr>
        <w:t xml:space="preserve"> testing period start date</w:t>
      </w:r>
      <w:r w:rsidR="00D21A84">
        <w:rPr>
          <w:szCs w:val="22"/>
        </w:rPr>
        <w:t>.</w:t>
      </w:r>
      <w:r w:rsidR="004117FF">
        <w:rPr>
          <w:szCs w:val="22"/>
        </w:rPr>
        <w:t xml:space="preserve">  Therefore</w:t>
      </w:r>
      <w:r w:rsidR="008F65AD">
        <w:rPr>
          <w:szCs w:val="22"/>
        </w:rPr>
        <w:t xml:space="preserve">, </w:t>
      </w:r>
      <w:r w:rsidR="004117FF">
        <w:rPr>
          <w:szCs w:val="22"/>
        </w:rPr>
        <w:t xml:space="preserve">the </w:t>
      </w:r>
      <w:r w:rsidR="008F65AD">
        <w:t>Stations may not</w:t>
      </w:r>
      <w:r w:rsidRPr="003B57FA" w:rsidR="008F65AD">
        <w:t xml:space="preserve"> begin testing on </w:t>
      </w:r>
      <w:r w:rsidR="008F65AD">
        <w:t>their</w:t>
      </w:r>
      <w:r w:rsidRPr="003B57FA" w:rsidR="008F65AD">
        <w:t xml:space="preserve"> p</w:t>
      </w:r>
      <w:r w:rsidR="008F65AD">
        <w:t>ost-auction channel until 12:01</w:t>
      </w:r>
      <w:r w:rsidR="00943ED7">
        <w:t xml:space="preserve"> AM</w:t>
      </w:r>
      <w:r w:rsidRPr="003B57FA" w:rsidR="008F65AD">
        <w:t xml:space="preserve"> local time on </w:t>
      </w:r>
      <w:r w:rsidR="008F65AD">
        <w:t>July 1, 2018</w:t>
      </w:r>
      <w:r w:rsidR="003D74CB">
        <w:t>,</w:t>
      </w:r>
      <w:r w:rsidR="004117FF">
        <w:t xml:space="preserve"> </w:t>
      </w:r>
      <w:r w:rsidR="004117FF">
        <w:rPr>
          <w:szCs w:val="22"/>
        </w:rPr>
        <w:t>and are</w:t>
      </w:r>
      <w:r w:rsidRPr="004827BD" w:rsidR="004117FF">
        <w:rPr>
          <w:szCs w:val="22"/>
        </w:rPr>
        <w:t xml:space="preserve"> required to coordinate with any linked stations in order to prevent</w:t>
      </w:r>
      <w:r w:rsidRPr="004117FF" w:rsidR="004117FF">
        <w:t xml:space="preserve"> </w:t>
      </w:r>
      <w:r w:rsidRPr="003B57FA" w:rsidR="004117FF">
        <w:t>interference beyond the temporary two percent station-to-station pairwise interference permitted during the transition period</w:t>
      </w:r>
      <w:r w:rsidR="004117FF">
        <w:t>.</w:t>
      </w:r>
      <w:r>
        <w:rPr>
          <w:rStyle w:val="FootnoteReference"/>
          <w:szCs w:val="22"/>
        </w:rPr>
        <w:footnoteReference w:id="27"/>
      </w:r>
      <w:r w:rsidR="004117FF">
        <w:rPr>
          <w:szCs w:val="22"/>
        </w:rPr>
        <w:t xml:space="preserve">  </w:t>
      </w:r>
      <w:r w:rsidRPr="003B57FA" w:rsidR="008F65AD">
        <w:t xml:space="preserve"> </w:t>
      </w:r>
    </w:p>
    <w:p w:rsidR="00D21A84" w:rsidRPr="004827BD" w:rsidP="004827BD">
      <w:pPr>
        <w:widowControl/>
        <w:numPr>
          <w:ilvl w:val="0"/>
          <w:numId w:val="13"/>
        </w:numPr>
        <w:spacing w:before="120" w:after="120"/>
        <w:ind w:left="0" w:firstLine="810"/>
        <w:rPr>
          <w:szCs w:val="22"/>
        </w:rPr>
      </w:pPr>
      <w:r w:rsidRPr="004827BD">
        <w:rPr>
          <w:szCs w:val="22"/>
        </w:rPr>
        <w:t>In conducting their transition</w:t>
      </w:r>
      <w:r w:rsidR="00943ED7">
        <w:rPr>
          <w:szCs w:val="22"/>
        </w:rPr>
        <w:t xml:space="preserve"> prior to Phase 1</w:t>
      </w:r>
      <w:r w:rsidRPr="004827BD">
        <w:rPr>
          <w:szCs w:val="22"/>
        </w:rPr>
        <w:t>, the Stations must continue to comply with all</w:t>
      </w:r>
      <w:r w:rsidR="00C275E7">
        <w:rPr>
          <w:szCs w:val="22"/>
        </w:rPr>
        <w:t xml:space="preserve"> Commission </w:t>
      </w:r>
      <w:r w:rsidRPr="004827BD">
        <w:rPr>
          <w:szCs w:val="22"/>
        </w:rPr>
        <w:t>requirements that</w:t>
      </w:r>
      <w:r>
        <w:rPr>
          <w:szCs w:val="22"/>
        </w:rPr>
        <w:t xml:space="preserve"> would</w:t>
      </w:r>
      <w:r w:rsidRPr="004827BD">
        <w:rPr>
          <w:szCs w:val="22"/>
        </w:rPr>
        <w:t xml:space="preserve"> </w:t>
      </w:r>
      <w:r w:rsidR="00C275E7">
        <w:rPr>
          <w:szCs w:val="22"/>
        </w:rPr>
        <w:t xml:space="preserve">otherwise </w:t>
      </w:r>
      <w:r w:rsidRPr="004827BD">
        <w:rPr>
          <w:szCs w:val="22"/>
        </w:rPr>
        <w:t>apply to transitioning stations</w:t>
      </w:r>
      <w:r>
        <w:rPr>
          <w:szCs w:val="22"/>
        </w:rPr>
        <w:t xml:space="preserve">, </w:t>
      </w:r>
      <w:r w:rsidR="00844060">
        <w:rPr>
          <w:szCs w:val="22"/>
        </w:rPr>
        <w:t>including but not limited to</w:t>
      </w:r>
      <w:r w:rsidR="003D74CB">
        <w:rPr>
          <w:szCs w:val="22"/>
        </w:rPr>
        <w:t>,</w:t>
      </w:r>
      <w:r>
        <w:rPr>
          <w:szCs w:val="22"/>
        </w:rPr>
        <w:t xml:space="preserve"> the filing </w:t>
      </w:r>
      <w:r w:rsidR="00844060">
        <w:rPr>
          <w:szCs w:val="22"/>
        </w:rPr>
        <w:t>of</w:t>
      </w:r>
      <w:r>
        <w:rPr>
          <w:szCs w:val="22"/>
        </w:rPr>
        <w:t xml:space="preserve"> transition progress reports (FCC Form 387)</w:t>
      </w:r>
      <w:r w:rsidR="00844060">
        <w:rPr>
          <w:szCs w:val="22"/>
        </w:rPr>
        <w:t xml:space="preserve"> at appropriate times</w:t>
      </w:r>
      <w:r>
        <w:rPr>
          <w:szCs w:val="22"/>
        </w:rPr>
        <w:t>,</w:t>
      </w:r>
      <w:r>
        <w:rPr>
          <w:rStyle w:val="FootnoteReference"/>
          <w:szCs w:val="22"/>
        </w:rPr>
        <w:footnoteReference w:id="28"/>
      </w:r>
      <w:r>
        <w:rPr>
          <w:szCs w:val="22"/>
        </w:rPr>
        <w:t xml:space="preserve"> compliance with </w:t>
      </w:r>
      <w:r w:rsidR="00844060">
        <w:rPr>
          <w:szCs w:val="22"/>
        </w:rPr>
        <w:t xml:space="preserve">the Commission’s </w:t>
      </w:r>
      <w:r>
        <w:rPr>
          <w:szCs w:val="22"/>
        </w:rPr>
        <w:t>consumer education requirements</w:t>
      </w:r>
      <w:r w:rsidR="00844060">
        <w:rPr>
          <w:szCs w:val="22"/>
        </w:rPr>
        <w:t xml:space="preserve"> for transitioning stations</w:t>
      </w:r>
      <w:r w:rsidR="00C275E7">
        <w:rPr>
          <w:szCs w:val="22"/>
        </w:rPr>
        <w:t>,</w:t>
      </w:r>
      <w:r>
        <w:rPr>
          <w:rStyle w:val="FootnoteReference"/>
          <w:szCs w:val="22"/>
        </w:rPr>
        <w:footnoteReference w:id="29"/>
      </w:r>
      <w:r>
        <w:rPr>
          <w:szCs w:val="22"/>
        </w:rPr>
        <w:t xml:space="preserve"> and</w:t>
      </w:r>
      <w:r w:rsidR="00AA2FD4">
        <w:rPr>
          <w:szCs w:val="22"/>
        </w:rPr>
        <w:t>,</w:t>
      </w:r>
      <w:r>
        <w:rPr>
          <w:szCs w:val="22"/>
        </w:rPr>
        <w:t xml:space="preserve"> as applicable, providing </w:t>
      </w:r>
      <w:r w:rsidR="00943ED7">
        <w:rPr>
          <w:szCs w:val="22"/>
        </w:rPr>
        <w:t>required</w:t>
      </w:r>
      <w:r w:rsidR="00844060">
        <w:rPr>
          <w:szCs w:val="22"/>
        </w:rPr>
        <w:t xml:space="preserve"> notice</w:t>
      </w:r>
      <w:r>
        <w:rPr>
          <w:szCs w:val="22"/>
        </w:rPr>
        <w:t xml:space="preserve"> to </w:t>
      </w:r>
      <w:r w:rsidR="00C275E7">
        <w:rPr>
          <w:szCs w:val="22"/>
        </w:rPr>
        <w:t>MVPDs</w:t>
      </w:r>
      <w:r>
        <w:rPr>
          <w:szCs w:val="22"/>
        </w:rPr>
        <w:t>.</w:t>
      </w:r>
      <w:r>
        <w:rPr>
          <w:rStyle w:val="FootnoteReference"/>
          <w:szCs w:val="22"/>
        </w:rPr>
        <w:footnoteReference w:id="30"/>
      </w:r>
      <w:r>
        <w:rPr>
          <w:szCs w:val="22"/>
        </w:rPr>
        <w:t xml:space="preserve">  </w:t>
      </w:r>
      <w:r w:rsidRPr="004827BD" w:rsidR="00471042">
        <w:rPr>
          <w:szCs w:val="22"/>
        </w:rPr>
        <w:t xml:space="preserve">To the extent a station is silent and </w:t>
      </w:r>
      <w:r w:rsidRPr="004827BD" w:rsidR="008D0939">
        <w:rPr>
          <w:szCs w:val="22"/>
        </w:rPr>
        <w:t>is</w:t>
      </w:r>
      <w:r w:rsidRPr="004827BD" w:rsidR="00471042">
        <w:rPr>
          <w:szCs w:val="22"/>
        </w:rPr>
        <w:t xml:space="preserve"> not able to comply with </w:t>
      </w:r>
      <w:r w:rsidR="004117FF">
        <w:rPr>
          <w:szCs w:val="22"/>
        </w:rPr>
        <w:t>its</w:t>
      </w:r>
      <w:r w:rsidRPr="004827BD" w:rsidR="00471042">
        <w:rPr>
          <w:szCs w:val="22"/>
        </w:rPr>
        <w:t xml:space="preserve"> consumer education requirements</w:t>
      </w:r>
      <w:r w:rsidR="004117FF">
        <w:rPr>
          <w:szCs w:val="22"/>
        </w:rPr>
        <w:t>,</w:t>
      </w:r>
      <w:r w:rsidRPr="004827BD" w:rsidR="00471042">
        <w:rPr>
          <w:szCs w:val="22"/>
        </w:rPr>
        <w:t xml:space="preserve"> </w:t>
      </w:r>
      <w:r w:rsidRPr="004827BD" w:rsidR="008D0939">
        <w:rPr>
          <w:szCs w:val="22"/>
        </w:rPr>
        <w:t xml:space="preserve">it must </w:t>
      </w:r>
      <w:r w:rsidRPr="004827BD" w:rsidR="00471042">
        <w:rPr>
          <w:szCs w:val="22"/>
        </w:rPr>
        <w:t>file a request</w:t>
      </w:r>
      <w:r w:rsidRPr="004827BD" w:rsidR="00D17E70">
        <w:rPr>
          <w:szCs w:val="22"/>
        </w:rPr>
        <w:t xml:space="preserve"> for waiver of </w:t>
      </w:r>
      <w:r w:rsidR="00F14931">
        <w:rPr>
          <w:szCs w:val="22"/>
        </w:rPr>
        <w:t>47 CFR § 73.3700(c)</w:t>
      </w:r>
      <w:r w:rsidRPr="004827BD" w:rsidR="00471042">
        <w:rPr>
          <w:szCs w:val="22"/>
        </w:rPr>
        <w:t xml:space="preserve"> as a Legal STA in LMS</w:t>
      </w:r>
      <w:r>
        <w:rPr>
          <w:szCs w:val="22"/>
        </w:rPr>
        <w:t xml:space="preserve">.  All waiver requests </w:t>
      </w:r>
      <w:r w:rsidR="00E40E22">
        <w:rPr>
          <w:szCs w:val="22"/>
        </w:rPr>
        <w:t xml:space="preserve">will be evaluated on a case-by-case basis and </w:t>
      </w:r>
      <w:r w:rsidRPr="004827BD" w:rsidR="00471042">
        <w:rPr>
          <w:szCs w:val="22"/>
        </w:rPr>
        <w:t xml:space="preserve">must </w:t>
      </w:r>
      <w:r w:rsidRPr="004827BD" w:rsidR="008D0939">
        <w:rPr>
          <w:szCs w:val="22"/>
        </w:rPr>
        <w:t>include the following information</w:t>
      </w:r>
      <w:r w:rsidR="00D34D6F">
        <w:rPr>
          <w:szCs w:val="22"/>
        </w:rPr>
        <w:t xml:space="preserve">: </w:t>
      </w:r>
      <w:r w:rsidRPr="004827BD" w:rsidR="00D17E70">
        <w:rPr>
          <w:szCs w:val="22"/>
        </w:rPr>
        <w:t>(1)</w:t>
      </w:r>
      <w:r w:rsidRPr="004827BD" w:rsidR="00471042">
        <w:rPr>
          <w:szCs w:val="22"/>
        </w:rPr>
        <w:t xml:space="preserve"> an explanation </w:t>
      </w:r>
      <w:r w:rsidR="00AA2FD4">
        <w:rPr>
          <w:szCs w:val="22"/>
        </w:rPr>
        <w:t xml:space="preserve">describing </w:t>
      </w:r>
      <w:r w:rsidRPr="004827BD" w:rsidR="00471042">
        <w:rPr>
          <w:szCs w:val="22"/>
        </w:rPr>
        <w:t xml:space="preserve">why </w:t>
      </w:r>
      <w:r w:rsidRPr="004827BD" w:rsidR="00D17E70">
        <w:rPr>
          <w:szCs w:val="22"/>
        </w:rPr>
        <w:t xml:space="preserve">the </w:t>
      </w:r>
      <w:r w:rsidRPr="004827BD" w:rsidR="008D0939">
        <w:rPr>
          <w:szCs w:val="22"/>
        </w:rPr>
        <w:t>s</w:t>
      </w:r>
      <w:r w:rsidRPr="004827BD" w:rsidR="00D17E70">
        <w:rPr>
          <w:szCs w:val="22"/>
        </w:rPr>
        <w:t xml:space="preserve">tation is </w:t>
      </w:r>
      <w:r w:rsidRPr="004827BD" w:rsidR="00471042">
        <w:rPr>
          <w:szCs w:val="22"/>
        </w:rPr>
        <w:t>unable to co</w:t>
      </w:r>
      <w:r w:rsidRPr="004827BD" w:rsidR="00D17E70">
        <w:rPr>
          <w:szCs w:val="22"/>
        </w:rPr>
        <w:t xml:space="preserve">mply with the existing consumer education requirements; (2) </w:t>
      </w:r>
      <w:r w:rsidR="00F14931">
        <w:rPr>
          <w:szCs w:val="22"/>
        </w:rPr>
        <w:t>an</w:t>
      </w:r>
      <w:r w:rsidRPr="004827BD" w:rsidR="00471042">
        <w:rPr>
          <w:szCs w:val="22"/>
        </w:rPr>
        <w:t xml:space="preserve"> alternative</w:t>
      </w:r>
      <w:r w:rsidRPr="004827BD" w:rsidR="00D17E70">
        <w:rPr>
          <w:szCs w:val="22"/>
        </w:rPr>
        <w:t xml:space="preserve"> but comparable</w:t>
      </w:r>
      <w:r w:rsidRPr="004827BD" w:rsidR="00471042">
        <w:rPr>
          <w:szCs w:val="22"/>
        </w:rPr>
        <w:t xml:space="preserve"> means </w:t>
      </w:r>
      <w:r w:rsidRPr="004827BD" w:rsidR="008D0939">
        <w:rPr>
          <w:szCs w:val="22"/>
        </w:rPr>
        <w:t>the s</w:t>
      </w:r>
      <w:r w:rsidRPr="004827BD" w:rsidR="00D17E70">
        <w:rPr>
          <w:szCs w:val="22"/>
        </w:rPr>
        <w:t xml:space="preserve">tation will use to </w:t>
      </w:r>
      <w:r w:rsidRPr="004827BD" w:rsidR="008D0939">
        <w:rPr>
          <w:szCs w:val="22"/>
        </w:rPr>
        <w:t>notify viewers of the s</w:t>
      </w:r>
      <w:r w:rsidRPr="004827BD" w:rsidR="00471042">
        <w:rPr>
          <w:szCs w:val="22"/>
        </w:rPr>
        <w:t>tation’s new channel</w:t>
      </w:r>
      <w:r w:rsidRPr="004827BD" w:rsidR="00D17E70">
        <w:rPr>
          <w:szCs w:val="22"/>
        </w:rPr>
        <w:t>;</w:t>
      </w:r>
      <w:r>
        <w:rPr>
          <w:rStyle w:val="FootnoteReference"/>
          <w:szCs w:val="22"/>
        </w:rPr>
        <w:footnoteReference w:id="31"/>
      </w:r>
      <w:r w:rsidRPr="004827BD" w:rsidR="00D17E70">
        <w:rPr>
          <w:szCs w:val="22"/>
        </w:rPr>
        <w:t xml:space="preserve"> and (3) why grant of the waiver request complies with the Commission’s general waiver standard</w:t>
      </w:r>
      <w:r w:rsidRPr="004827BD" w:rsidR="00471042">
        <w:rPr>
          <w:szCs w:val="22"/>
        </w:rPr>
        <w:t>.</w:t>
      </w:r>
      <w:r>
        <w:rPr>
          <w:rStyle w:val="FootnoteReference"/>
          <w:szCs w:val="22"/>
        </w:rPr>
        <w:footnoteReference w:id="32"/>
      </w:r>
    </w:p>
    <w:p w:rsidR="00DA6344" w:rsidP="00DA6344">
      <w:pPr>
        <w:widowControl/>
        <w:numPr>
          <w:ilvl w:val="0"/>
          <w:numId w:val="13"/>
        </w:numPr>
        <w:spacing w:before="120" w:after="120"/>
        <w:ind w:left="0" w:firstLine="810"/>
        <w:rPr>
          <w:szCs w:val="22"/>
        </w:rPr>
      </w:pPr>
      <w:r w:rsidRPr="0038051F">
        <w:rPr>
          <w:szCs w:val="22"/>
        </w:rPr>
        <w:t>This action is taken by the Chief, Media Bureau</w:t>
      </w:r>
      <w:r w:rsidR="003D74CB">
        <w:rPr>
          <w:szCs w:val="22"/>
        </w:rPr>
        <w:t>,</w:t>
      </w:r>
      <w:r w:rsidRPr="0038051F">
        <w:rPr>
          <w:szCs w:val="22"/>
        </w:rPr>
        <w:t xml:space="preserve"> pursuant to authority delegated by 47 CFR § 0.283.</w:t>
      </w:r>
      <w:r>
        <w:rPr>
          <w:szCs w:val="22"/>
        </w:rPr>
        <w:t xml:space="preserve">  </w:t>
      </w:r>
    </w:p>
    <w:p w:rsidR="009F5F48" w:rsidRPr="00DA6344" w:rsidP="00DA6344">
      <w:pPr>
        <w:widowControl/>
        <w:numPr>
          <w:ilvl w:val="0"/>
          <w:numId w:val="13"/>
        </w:numPr>
        <w:spacing w:before="120" w:after="120"/>
        <w:ind w:left="0" w:firstLine="810"/>
        <w:rPr>
          <w:szCs w:val="22"/>
        </w:rPr>
      </w:pPr>
      <w:r w:rsidRPr="00DA6344">
        <w:rPr>
          <w:snapToGrid/>
          <w:kern w:val="0"/>
          <w:szCs w:val="22"/>
        </w:rPr>
        <w:t>For additional information or questions</w:t>
      </w:r>
      <w:r w:rsidRPr="00DA6344">
        <w:rPr>
          <w:szCs w:val="22"/>
        </w:rPr>
        <w:t xml:space="preserve">, please contact </w:t>
      </w:r>
      <w:r w:rsidRPr="00DA6344">
        <w:rPr>
          <w:szCs w:val="22"/>
        </w:rPr>
        <w:t>Kevin Harding (technical)</w:t>
      </w:r>
      <w:r w:rsidRPr="00DA6344">
        <w:rPr>
          <w:szCs w:val="22"/>
        </w:rPr>
        <w:t xml:space="preserve"> </w:t>
      </w:r>
      <w:r>
        <w:fldChar w:fldCharType="begin"/>
      </w:r>
      <w:r>
        <w:instrText xml:space="preserve"> HYPERLINK "mailto:Kevin.Harding@fcc.gov" </w:instrText>
      </w:r>
      <w:r>
        <w:fldChar w:fldCharType="separate"/>
      </w:r>
      <w:r w:rsidRPr="00DA6344">
        <w:rPr>
          <w:rStyle w:val="Hyperlink"/>
          <w:szCs w:val="22"/>
        </w:rPr>
        <w:t>Kevin.Harding@fcc.gov</w:t>
      </w:r>
      <w:r>
        <w:fldChar w:fldCharType="end"/>
      </w:r>
      <w:r w:rsidRPr="00DA6344">
        <w:rPr>
          <w:szCs w:val="22"/>
        </w:rPr>
        <w:t>, (202) 418-7077, or Evan Morris</w:t>
      </w:r>
      <w:r w:rsidRPr="00DA6344">
        <w:rPr>
          <w:szCs w:val="22"/>
        </w:rPr>
        <w:t xml:space="preserve"> (legal)</w:t>
      </w:r>
      <w:r w:rsidRPr="00DA6344" w:rsidR="0028316B">
        <w:rPr>
          <w:szCs w:val="22"/>
        </w:rPr>
        <w:t xml:space="preserve">, </w:t>
      </w:r>
      <w:r>
        <w:fldChar w:fldCharType="begin"/>
      </w:r>
      <w:r>
        <w:instrText xml:space="preserve"> HYPERLINK "mailto:Evan.Morris@fcc.gov" </w:instrText>
      </w:r>
      <w:r>
        <w:fldChar w:fldCharType="separate"/>
      </w:r>
      <w:r w:rsidRPr="00DA6344">
        <w:rPr>
          <w:rStyle w:val="Hyperlink"/>
          <w:szCs w:val="22"/>
        </w:rPr>
        <w:t>Evan.Morris@fcc.gov</w:t>
      </w:r>
      <w:r>
        <w:fldChar w:fldCharType="end"/>
      </w:r>
      <w:r w:rsidRPr="00DA6344">
        <w:rPr>
          <w:szCs w:val="22"/>
        </w:rPr>
        <w:t xml:space="preserve">, </w:t>
      </w:r>
      <w:r w:rsidRPr="00DA6344">
        <w:rPr>
          <w:szCs w:val="22"/>
        </w:rPr>
        <w:t>(202) 418-</w:t>
      </w:r>
      <w:r w:rsidRPr="00DA6344">
        <w:rPr>
          <w:szCs w:val="22"/>
        </w:rPr>
        <w:t>1656</w:t>
      </w:r>
      <w:r w:rsidRPr="00DA6344">
        <w:rPr>
          <w:szCs w:val="22"/>
        </w:rPr>
        <w:t>.</w:t>
      </w:r>
      <w:r w:rsidRPr="00DA6344">
        <w:rPr>
          <w:szCs w:val="22"/>
        </w:rPr>
        <w:t xml:space="preserve">  Press should contact Charles Meisch, Charles.Meisch@fcc.gov, (202) 418-2943.</w:t>
      </w:r>
    </w:p>
    <w:p w:rsidR="009F5F48" w:rsidRPr="0038051F" w:rsidP="009F5F48">
      <w:pPr>
        <w:widowControl/>
        <w:spacing w:before="120" w:after="120"/>
        <w:rPr>
          <w:szCs w:val="22"/>
        </w:rPr>
      </w:pPr>
    </w:p>
    <w:p w:rsidR="009B0DA3" w:rsidP="009F5F48">
      <w:pPr>
        <w:widowControl/>
        <w:spacing w:before="120" w:after="120"/>
        <w:jc w:val="center"/>
        <w:rPr>
          <w:b/>
          <w:szCs w:val="22"/>
        </w:rPr>
      </w:pPr>
      <w:r w:rsidRPr="0038051F">
        <w:rPr>
          <w:b/>
          <w:szCs w:val="22"/>
        </w:rPr>
        <w:t>–FCC–</w:t>
      </w:r>
      <w:r>
        <w:rPr>
          <w:b/>
          <w:szCs w:val="22"/>
        </w:rPr>
        <w:br w:type="page"/>
      </w:r>
    </w:p>
    <w:p w:rsidR="00C86568" w:rsidRPr="00C86568" w:rsidP="00C86568">
      <w:pPr>
        <w:widowControl/>
        <w:spacing w:before="120" w:after="120"/>
        <w:jc w:val="center"/>
        <w:rPr>
          <w:b/>
          <w:sz w:val="28"/>
          <w:szCs w:val="28"/>
        </w:rPr>
      </w:pPr>
      <w:r w:rsidRPr="00C86568">
        <w:rPr>
          <w:b/>
          <w:sz w:val="28"/>
          <w:szCs w:val="28"/>
        </w:rPr>
        <w:t>Appendix</w:t>
      </w:r>
    </w:p>
    <w:p w:rsidR="00C86568" w:rsidRPr="00C86568" w:rsidP="009F5F48">
      <w:pPr>
        <w:widowControl/>
        <w:spacing w:before="120" w:after="120"/>
        <w:jc w:val="center"/>
        <w:rPr>
          <w:b/>
          <w:sz w:val="24"/>
          <w:szCs w:val="24"/>
        </w:rPr>
      </w:pPr>
    </w:p>
    <w:tbl>
      <w:tblPr>
        <w:tblW w:w="9623" w:type="dxa"/>
        <w:tblInd w:w="-3" w:type="dxa"/>
        <w:tblCellMar>
          <w:top w:w="0" w:type="dxa"/>
          <w:left w:w="0" w:type="dxa"/>
          <w:bottom w:w="0" w:type="dxa"/>
          <w:right w:w="0" w:type="dxa"/>
        </w:tblCellMar>
        <w:tblLook w:val="04A0"/>
      </w:tblPr>
      <w:tblGrid>
        <w:gridCol w:w="925"/>
        <w:gridCol w:w="1195"/>
        <w:gridCol w:w="2250"/>
        <w:gridCol w:w="1243"/>
        <w:gridCol w:w="4010"/>
      </w:tblGrid>
      <w:tr w:rsidTr="00C544C2">
        <w:tblPrEx>
          <w:tblW w:w="9623" w:type="dxa"/>
          <w:tblInd w:w="-3" w:type="dxa"/>
          <w:tblCellMar>
            <w:top w:w="0" w:type="dxa"/>
            <w:left w:w="0" w:type="dxa"/>
            <w:bottom w:w="0" w:type="dxa"/>
            <w:right w:w="0" w:type="dxa"/>
          </w:tblCellMar>
          <w:tblLook w:val="04A0"/>
        </w:tblPrEx>
        <w:trPr>
          <w:trHeight w:val="255"/>
        </w:trPr>
        <w:tc>
          <w:tcPr>
            <w:tcW w:w="90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86568" w:rsidRPr="0038051F" w:rsidP="00C86568">
            <w:pPr>
              <w:widowControl w:val="0"/>
              <w:jc w:val="center"/>
              <w:rPr>
                <w:rStyle w:val="DefaultParagraphFont"/>
                <w:b/>
                <w:bCs/>
                <w:snapToGrid/>
                <w:kern w:val="0"/>
                <w:sz w:val="22"/>
                <w:szCs w:val="22"/>
                <w:lang w:val="en-US" w:eastAsia="en-US" w:bidi="ar-SA"/>
              </w:rPr>
            </w:pPr>
            <w:r w:rsidRPr="0038051F">
              <w:rPr>
                <w:b/>
                <w:bCs/>
                <w:snapToGrid w:val="0"/>
                <w:kern w:val="28"/>
                <w:sz w:val="22"/>
                <w:szCs w:val="22"/>
                <w:lang w:val="en-US" w:eastAsia="en-US" w:bidi="ar-SA"/>
              </w:rPr>
              <w:t>Facility ID</w:t>
            </w:r>
          </w:p>
        </w:tc>
        <w:tc>
          <w:tcPr>
            <w:tcW w:w="119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86568" w:rsidRPr="0038051F" w:rsidP="00C86568">
            <w:pPr>
              <w:widowControl w:val="0"/>
              <w:jc w:val="center"/>
              <w:rPr>
                <w:rStyle w:val="DefaultParagraphFont"/>
                <w:b/>
                <w:bCs/>
                <w:snapToGrid w:val="0"/>
                <w:kern w:val="28"/>
                <w:sz w:val="22"/>
                <w:szCs w:val="22"/>
                <w:lang w:val="en-US" w:eastAsia="en-US" w:bidi="ar-SA"/>
              </w:rPr>
            </w:pPr>
            <w:r w:rsidRPr="0038051F">
              <w:rPr>
                <w:b/>
                <w:bCs/>
                <w:snapToGrid w:val="0"/>
                <w:kern w:val="28"/>
                <w:sz w:val="22"/>
                <w:szCs w:val="22"/>
                <w:lang w:val="en-US" w:eastAsia="en-US" w:bidi="ar-SA"/>
              </w:rPr>
              <w:t>Call Sign</w:t>
            </w:r>
          </w:p>
        </w:tc>
        <w:tc>
          <w:tcPr>
            <w:tcW w:w="225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C86568" w:rsidRPr="0038051F" w:rsidP="00C86568">
            <w:pPr>
              <w:widowControl w:val="0"/>
              <w:jc w:val="center"/>
              <w:rPr>
                <w:rStyle w:val="DefaultParagraphFont"/>
                <w:b/>
                <w:bCs/>
                <w:snapToGrid w:val="0"/>
                <w:kern w:val="28"/>
                <w:sz w:val="22"/>
                <w:szCs w:val="22"/>
                <w:lang w:val="en-US" w:eastAsia="en-US" w:bidi="ar-SA"/>
              </w:rPr>
            </w:pPr>
            <w:r w:rsidRPr="0038051F">
              <w:rPr>
                <w:b/>
                <w:bCs/>
                <w:snapToGrid w:val="0"/>
                <w:kern w:val="28"/>
                <w:sz w:val="22"/>
                <w:szCs w:val="22"/>
                <w:lang w:val="en-US" w:eastAsia="en-US" w:bidi="ar-SA"/>
              </w:rPr>
              <w:t>Community of License</w:t>
            </w:r>
          </w:p>
        </w:tc>
        <w:tc>
          <w:tcPr>
            <w:tcW w:w="1245" w:type="dxa"/>
            <w:tcBorders>
              <w:top w:val="single" w:sz="8" w:space="0" w:color="auto"/>
              <w:left w:val="nil"/>
              <w:bottom w:val="single" w:sz="8" w:space="0" w:color="auto"/>
              <w:right w:val="single" w:sz="8" w:space="0" w:color="auto"/>
            </w:tcBorders>
            <w:vAlign w:val="bottom"/>
          </w:tcPr>
          <w:p w:rsidR="00C86568" w:rsidRPr="0038051F" w:rsidP="00C86568">
            <w:pPr>
              <w:widowControl w:val="0"/>
              <w:jc w:val="center"/>
              <w:rPr>
                <w:rStyle w:val="DefaultParagraphFont"/>
                <w:b/>
                <w:bCs/>
                <w:snapToGrid w:val="0"/>
                <w:kern w:val="28"/>
                <w:sz w:val="22"/>
                <w:szCs w:val="22"/>
                <w:lang w:val="en-US" w:eastAsia="en-US" w:bidi="ar-SA"/>
              </w:rPr>
            </w:pPr>
            <w:r>
              <w:rPr>
                <w:b/>
                <w:bCs/>
                <w:snapToGrid w:val="0"/>
                <w:kern w:val="28"/>
                <w:sz w:val="22"/>
                <w:szCs w:val="22"/>
                <w:lang w:val="en-US" w:eastAsia="en-US" w:bidi="ar-SA"/>
              </w:rPr>
              <w:t>Assigned</w:t>
            </w:r>
            <w:r w:rsidRPr="0038051F" w:rsidR="00C544C2">
              <w:rPr>
                <w:b/>
                <w:bCs/>
                <w:snapToGrid w:val="0"/>
                <w:kern w:val="28"/>
                <w:sz w:val="22"/>
                <w:szCs w:val="22"/>
                <w:lang w:val="en-US" w:eastAsia="en-US" w:bidi="ar-SA"/>
              </w:rPr>
              <w:t xml:space="preserve"> </w:t>
            </w:r>
            <w:r>
              <w:rPr>
                <w:b/>
                <w:bCs/>
                <w:snapToGrid w:val="0"/>
                <w:kern w:val="28"/>
                <w:sz w:val="22"/>
                <w:szCs w:val="22"/>
                <w:lang w:val="en-US" w:eastAsia="en-US" w:bidi="ar-SA"/>
              </w:rPr>
              <w:t xml:space="preserve">Transition </w:t>
            </w:r>
            <w:r w:rsidRPr="0038051F" w:rsidR="00C544C2">
              <w:rPr>
                <w:b/>
                <w:bCs/>
                <w:snapToGrid w:val="0"/>
                <w:kern w:val="28"/>
                <w:sz w:val="22"/>
                <w:szCs w:val="22"/>
                <w:lang w:val="en-US" w:eastAsia="en-US" w:bidi="ar-SA"/>
              </w:rPr>
              <w:t>Phase</w:t>
            </w:r>
          </w:p>
        </w:tc>
        <w:tc>
          <w:tcPr>
            <w:tcW w:w="4027" w:type="dxa"/>
            <w:tcBorders>
              <w:top w:val="single" w:sz="8" w:space="0" w:color="auto"/>
              <w:left w:val="nil"/>
              <w:bottom w:val="single" w:sz="8" w:space="0" w:color="auto"/>
              <w:right w:val="single" w:sz="8" w:space="0" w:color="auto"/>
            </w:tcBorders>
            <w:vAlign w:val="bottom"/>
          </w:tcPr>
          <w:p w:rsidR="00C86568" w:rsidRPr="0038051F" w:rsidP="00C86568">
            <w:pPr>
              <w:widowControl w:val="0"/>
              <w:jc w:val="center"/>
              <w:rPr>
                <w:rStyle w:val="DefaultParagraphFont"/>
                <w:b/>
                <w:bCs/>
                <w:snapToGrid w:val="0"/>
                <w:kern w:val="28"/>
                <w:sz w:val="22"/>
                <w:szCs w:val="22"/>
                <w:lang w:val="en-US" w:eastAsia="en-US" w:bidi="ar-SA"/>
              </w:rPr>
            </w:pPr>
            <w:r w:rsidRPr="0038051F">
              <w:rPr>
                <w:b/>
                <w:bCs/>
                <w:snapToGrid w:val="0"/>
                <w:kern w:val="28"/>
                <w:sz w:val="22"/>
                <w:szCs w:val="22"/>
                <w:lang w:val="en-US" w:eastAsia="en-US" w:bidi="ar-SA"/>
              </w:rPr>
              <w:t>Licensee</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58342</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WJWN-TV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SAN SEBASTIAN,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AMERICA-CV STATION GROUP,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3001</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WCCV-TV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ARECIBO,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6F7BAB" w:rsidP="00C86568">
            <w:pPr>
              <w:widowControl w:val="0"/>
              <w:rPr>
                <w:rStyle w:val="DefaultParagraphFont"/>
                <w:snapToGrid w:val="0"/>
                <w:kern w:val="28"/>
                <w:sz w:val="22"/>
                <w:szCs w:val="22"/>
                <w:lang w:val="es-ES" w:eastAsia="en-US" w:bidi="ar-SA"/>
              </w:rPr>
            </w:pPr>
            <w:r w:rsidRPr="006F7BAB">
              <w:rPr>
                <w:snapToGrid w:val="0"/>
                <w:kern w:val="28"/>
                <w:sz w:val="22"/>
                <w:szCs w:val="22"/>
                <w:lang w:val="es-ES" w:eastAsia="en-US" w:bidi="ar-SA"/>
              </w:rPr>
              <w:t>ASOCIACION EVANGELISTICA CRISTO VIENE,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8156</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WUJA</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CAGUAS,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CAGUAS EDUCATIONAL TV,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60357</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WOST</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MAYAGUEZ,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10</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CMCG PUERTO RICO LLC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32142</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WQQZ-CD</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PONCE,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CMCG PUERTO RICO LLC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15320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WRUA</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FAJARDO,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EASTERN TELEVISION CORPORATION</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18410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WIDP</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GUAYAMA,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EBENEZER BROADCASTING GROUP,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67190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WVSN</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HUMACAO,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6F7BAB" w:rsidP="00C86568">
            <w:pPr>
              <w:widowControl w:val="0"/>
              <w:rPr>
                <w:rStyle w:val="DefaultParagraphFont"/>
                <w:snapToGrid w:val="0"/>
                <w:kern w:val="28"/>
                <w:sz w:val="22"/>
                <w:szCs w:val="22"/>
                <w:lang w:val="es-ES" w:eastAsia="en-US" w:bidi="ar-SA"/>
              </w:rPr>
            </w:pPr>
            <w:r w:rsidRPr="006F7BAB">
              <w:rPr>
                <w:snapToGrid w:val="0"/>
                <w:kern w:val="28"/>
                <w:sz w:val="22"/>
                <w:szCs w:val="22"/>
                <w:lang w:val="es-ES" w:eastAsia="en-US" w:bidi="ar-SA"/>
              </w:rPr>
              <w:t>LA CADENA DEL MILAGRO,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53859</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WIPR-TV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SAN JUAN,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PUERTO RICO PUBLIC BROADCASTING CORPORATION</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53863</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WIPM-TV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MAYAGUEZ,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PUERTO RICO PUBLIC BROADCASTING CORPORATION</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54443</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WRFB</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CAROLINA,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R</w:t>
            </w:r>
            <w:r w:rsidRPr="0038051F">
              <w:rPr>
                <w:snapToGrid w:val="0"/>
                <w:kern w:val="28"/>
                <w:sz w:val="22"/>
                <w:szCs w:val="22"/>
                <w:lang w:val="en-US" w:eastAsia="en-US" w:bidi="ar-SA"/>
              </w:rPr>
              <w:t>&amp;F BROADCASTING,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2174</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WMTJ</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FAJARDO,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6F7BAB" w:rsidP="00C86568">
            <w:pPr>
              <w:widowControl w:val="0"/>
              <w:rPr>
                <w:rStyle w:val="DefaultParagraphFont"/>
                <w:snapToGrid w:val="0"/>
                <w:kern w:val="28"/>
                <w:sz w:val="22"/>
                <w:szCs w:val="22"/>
                <w:lang w:val="es-ES" w:eastAsia="en-US" w:bidi="ar-SA"/>
              </w:rPr>
            </w:pPr>
            <w:r w:rsidRPr="006F7BAB">
              <w:rPr>
                <w:snapToGrid w:val="0"/>
                <w:kern w:val="28"/>
                <w:sz w:val="22"/>
                <w:szCs w:val="22"/>
                <w:lang w:val="es-ES" w:eastAsia="en-US" w:bidi="ar-SA"/>
              </w:rPr>
              <w:t>SISTEMA UNIVERSITARIO ANA G. MENDEZ,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Pr>
                <w:snapToGrid w:val="0"/>
                <w:kern w:val="28"/>
                <w:sz w:val="22"/>
                <w:szCs w:val="22"/>
                <w:lang w:val="en-US" w:eastAsia="en-US" w:bidi="ar-SA"/>
              </w:rPr>
              <w:t>2175</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WQTO</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PONCE,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6F7BAB" w:rsidP="00C86568">
            <w:pPr>
              <w:widowControl w:val="0"/>
              <w:rPr>
                <w:rStyle w:val="DefaultParagraphFont"/>
                <w:snapToGrid w:val="0"/>
                <w:kern w:val="28"/>
                <w:sz w:val="22"/>
                <w:szCs w:val="22"/>
                <w:lang w:val="es-ES" w:eastAsia="en-US" w:bidi="ar-SA"/>
              </w:rPr>
            </w:pPr>
            <w:r w:rsidRPr="006F7BAB">
              <w:rPr>
                <w:snapToGrid w:val="0"/>
                <w:kern w:val="28"/>
                <w:sz w:val="22"/>
                <w:szCs w:val="22"/>
                <w:lang w:val="es-ES" w:eastAsia="en-US" w:bidi="ar-SA"/>
              </w:rPr>
              <w:t>SISTEMA UNIVERSITARIO ANA G. MENDEZ,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29000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WVOZ-TV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PONCE,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SPANISH BROADCASTING SYSTEM HOLDING COMPANY,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73336</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WNJX-TV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MAYAGUEZ,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6F7BAB" w:rsidP="00C86568">
            <w:pPr>
              <w:widowControl w:val="0"/>
              <w:rPr>
                <w:rStyle w:val="DefaultParagraphFont"/>
                <w:snapToGrid w:val="0"/>
                <w:kern w:val="28"/>
                <w:sz w:val="22"/>
                <w:szCs w:val="22"/>
                <w:lang w:val="es-ES" w:eastAsia="en-US" w:bidi="ar-SA"/>
              </w:rPr>
            </w:pPr>
            <w:r w:rsidRPr="006F7BAB">
              <w:rPr>
                <w:snapToGrid w:val="0"/>
                <w:kern w:val="28"/>
                <w:sz w:val="22"/>
                <w:szCs w:val="22"/>
                <w:lang w:val="es-ES" w:eastAsia="en-US" w:bidi="ar-SA"/>
              </w:rPr>
              <w:t>TELEVICENTRO OF PUERTO RICO, LLC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26681</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WTIN-TV</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PONCE,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6F7BAB" w:rsidP="00C86568">
            <w:pPr>
              <w:widowControl w:val="0"/>
              <w:rPr>
                <w:rStyle w:val="DefaultParagraphFont"/>
                <w:snapToGrid w:val="0"/>
                <w:kern w:val="28"/>
                <w:sz w:val="22"/>
                <w:szCs w:val="22"/>
                <w:lang w:val="es-ES" w:eastAsia="en-US" w:bidi="ar-SA"/>
              </w:rPr>
            </w:pPr>
            <w:r w:rsidRPr="006F7BAB">
              <w:rPr>
                <w:snapToGrid w:val="0"/>
                <w:kern w:val="28"/>
                <w:sz w:val="22"/>
                <w:szCs w:val="22"/>
                <w:lang w:val="es-ES" w:eastAsia="en-US" w:bidi="ar-SA"/>
              </w:rPr>
              <w:t>TELEVICENTRO OF PUERTO RICO, LLC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48237</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WQSJ-CD</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QUEBRADILLAS,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WANDA ROLON</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48239</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WSJN-CD</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SAN JUAN,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10</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WANDA ROLON</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3255</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WQHA</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AGUADA, PR</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WESTERN NEW LIFE, INC.</w:t>
            </w:r>
          </w:p>
        </w:tc>
      </w:tr>
      <w:tr w:rsidTr="00E14E5C">
        <w:tblPrEx>
          <w:tblW w:w="9623" w:type="dxa"/>
          <w:tblInd w:w="-3" w:type="dxa"/>
          <w:tblCellMar>
            <w:top w:w="0" w:type="dxa"/>
            <w:left w:w="0" w:type="dxa"/>
            <w:bottom w:w="0" w:type="dxa"/>
            <w:right w:w="0" w:type="dxa"/>
          </w:tblCellMar>
          <w:tblLook w:val="04A0"/>
        </w:tblPrEx>
        <w:trPr>
          <w:trHeight w:val="255"/>
        </w:trPr>
        <w:tc>
          <w:tcPr>
            <w:tcW w:w="90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83270</w:t>
            </w:r>
          </w:p>
        </w:tc>
        <w:tc>
          <w:tcPr>
            <w:tcW w:w="119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WZVI</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CHARLOTTE AMALIE, USVI</w:t>
            </w:r>
          </w:p>
        </w:tc>
        <w:tc>
          <w:tcPr>
            <w:tcW w:w="1245" w:type="dxa"/>
            <w:tcBorders>
              <w:top w:val="nil"/>
              <w:left w:val="nil"/>
              <w:bottom w:val="single" w:sz="8" w:space="0" w:color="auto"/>
              <w:right w:val="single" w:sz="8" w:space="0" w:color="auto"/>
            </w:tcBorders>
            <w:vAlign w:val="bottom"/>
          </w:tcPr>
          <w:p w:rsidR="00C544C2" w:rsidRPr="0038051F" w:rsidP="00F0070F">
            <w:pPr>
              <w:widowControl w:val="0"/>
              <w:jc w:val="center"/>
              <w:rPr>
                <w:rStyle w:val="DefaultParagraphFont"/>
                <w:snapToGrid w:val="0"/>
                <w:kern w:val="28"/>
                <w:sz w:val="22"/>
                <w:szCs w:val="22"/>
                <w:lang w:val="en-US" w:eastAsia="en-US" w:bidi="ar-SA"/>
              </w:rPr>
            </w:pPr>
            <w:r w:rsidRPr="0038051F">
              <w:rPr>
                <w:snapToGrid w:val="0"/>
                <w:kern w:val="28"/>
                <w:sz w:val="22"/>
                <w:szCs w:val="22"/>
                <w:lang w:val="en-US" w:eastAsia="en-US" w:bidi="ar-SA"/>
              </w:rPr>
              <w:t>3</w:t>
            </w:r>
          </w:p>
        </w:tc>
        <w:tc>
          <w:tcPr>
            <w:tcW w:w="4027" w:type="dxa"/>
            <w:tcBorders>
              <w:top w:val="nil"/>
              <w:left w:val="nil"/>
              <w:bottom w:val="single" w:sz="8" w:space="0" w:color="auto"/>
              <w:right w:val="single" w:sz="8" w:space="0" w:color="auto"/>
            </w:tcBorders>
            <w:vAlign w:val="bottom"/>
          </w:tcPr>
          <w:p w:rsidR="00C544C2" w:rsidRPr="0038051F" w:rsidP="00C86568">
            <w:pPr>
              <w:widowControl w:val="0"/>
              <w:rPr>
                <w:rStyle w:val="DefaultParagraphFont"/>
                <w:snapToGrid w:val="0"/>
                <w:kern w:val="28"/>
                <w:sz w:val="22"/>
                <w:szCs w:val="22"/>
                <w:lang w:val="en-US" w:eastAsia="en-US" w:bidi="ar-SA"/>
              </w:rPr>
            </w:pPr>
            <w:r w:rsidRPr="0038051F">
              <w:rPr>
                <w:snapToGrid w:val="0"/>
                <w:kern w:val="28"/>
                <w:sz w:val="22"/>
                <w:szCs w:val="22"/>
                <w:lang w:val="en-US" w:eastAsia="en-US" w:bidi="ar-SA"/>
              </w:rPr>
              <w:t>ALPHA BROADCASTING CORPORATION</w:t>
            </w:r>
          </w:p>
        </w:tc>
      </w:tr>
    </w:tbl>
    <w:p w:rsidR="0055722E" w:rsidP="009B0DA3">
      <w:pPr>
        <w:widowControl/>
        <w:spacing w:before="120" w:after="120"/>
      </w:pPr>
    </w:p>
    <w:sectPr w:rsidSect="001B101F">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296" w:right="1440" w:bottom="720" w:left="1440" w:header="720" w:footer="43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568"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301515">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2C10">
      <w:r>
        <w:separator/>
      </w:r>
    </w:p>
  </w:footnote>
  <w:footnote w:type="continuationSeparator" w:id="1">
    <w:p w:rsidR="00422C10">
      <w:r>
        <w:continuationSeparator/>
      </w:r>
    </w:p>
  </w:footnote>
  <w:footnote w:type="continuationNotice" w:id="2">
    <w:p w:rsidR="00422C10" w:rsidRPr="00A574E4" w:rsidP="00A574E4">
      <w:pPr>
        <w:pStyle w:val="Footer"/>
      </w:pPr>
    </w:p>
  </w:footnote>
  <w:footnote w:id="3">
    <w:p w:rsidR="000A1F7A" w:rsidP="00F14931">
      <w:pPr>
        <w:pStyle w:val="FootnoteText"/>
        <w:widowControl w:val="0"/>
      </w:pPr>
      <w:r>
        <w:rPr>
          <w:rStyle w:val="FootnoteReference"/>
        </w:rPr>
        <w:footnoteRef/>
      </w:r>
      <w:r>
        <w:t xml:space="preserve"> </w:t>
      </w:r>
      <w:r w:rsidRPr="000A1F7A">
        <w:t>In total</w:t>
      </w:r>
      <w:r w:rsidR="003D74CB">
        <w:t>,</w:t>
      </w:r>
      <w:r w:rsidRPr="000A1F7A">
        <w:t xml:space="preserve"> 21 stations were </w:t>
      </w:r>
      <w:r w:rsidR="006D5CFC">
        <w:t xml:space="preserve">reassigned new channels </w:t>
      </w:r>
      <w:r w:rsidRPr="000A1F7A">
        <w:t>in Puerto Rico and the U.S. Virgin Islands as a result of the broadcast television incentive aucti</w:t>
      </w:r>
      <w:r w:rsidR="00F14931">
        <w:t xml:space="preserve">on.  </w:t>
      </w:r>
      <w:r w:rsidRPr="000A1F7A">
        <w:t xml:space="preserve">WTJX-TV, </w:t>
      </w:r>
      <w:r w:rsidR="006D5CFC">
        <w:t xml:space="preserve">a full power television station in </w:t>
      </w:r>
      <w:r w:rsidRPr="000A1F7A">
        <w:t xml:space="preserve">Charlotte Amalie, U.S. Virgin Islands, is not a party to the instant </w:t>
      </w:r>
      <w:r w:rsidRPr="00DA6344">
        <w:rPr>
          <w:i/>
        </w:rPr>
        <w:t>Request for Modification and Waiver of Phase Assignment</w:t>
      </w:r>
      <w:r>
        <w:t>.  As a result, W</w:t>
      </w:r>
      <w:r w:rsidRPr="000A1F7A">
        <w:t>T</w:t>
      </w:r>
      <w:r>
        <w:t>J</w:t>
      </w:r>
      <w:r w:rsidRPr="000A1F7A">
        <w:t xml:space="preserve">X-TV </w:t>
      </w:r>
      <w:r w:rsidR="006D5CFC">
        <w:t xml:space="preserve">will </w:t>
      </w:r>
      <w:r w:rsidRPr="000A1F7A">
        <w:t>continue to be assigned to transition Phase 3</w:t>
      </w:r>
      <w:r w:rsidR="003D74CB">
        <w:t>,</w:t>
      </w:r>
      <w:r w:rsidRPr="000A1F7A">
        <w:t xml:space="preserve"> which has a testing period start date of April 13, 2019, and </w:t>
      </w:r>
      <w:r w:rsidR="006D5CFC">
        <w:t xml:space="preserve">a </w:t>
      </w:r>
      <w:r w:rsidRPr="000A1F7A">
        <w:t>phase com</w:t>
      </w:r>
      <w:r w:rsidR="00D34D6F">
        <w:t xml:space="preserve">pletion date of June 21, 2019.  </w:t>
      </w:r>
      <w:r w:rsidRPr="0038051F">
        <w:rPr>
          <w:i/>
        </w:rPr>
        <w:t>See Incentive Auction Closing and Channel Reassignment Public Notice: The Broadcast Television Incentive Auction Closes; Reverse Auction and Forward Auction Results Announced; Final Television Band Channel Assignments Announced; Post-Auction Deadlines Announced</w:t>
      </w:r>
      <w:r w:rsidRPr="0038051F">
        <w:t>, Public Notice, 32</w:t>
      </w:r>
      <w:r>
        <w:t xml:space="preserve"> FCC Rcd 2786 (WTB &amp; MB 2017).  </w:t>
      </w:r>
    </w:p>
  </w:footnote>
  <w:footnote w:id="4">
    <w:p w:rsidR="00C86568" w:rsidRPr="0038051F" w:rsidP="00F14931">
      <w:pPr>
        <w:pStyle w:val="FootnoteText"/>
        <w:widowControl w:val="0"/>
        <w:rPr>
          <w:i/>
        </w:rPr>
      </w:pPr>
      <w:r w:rsidRPr="0038051F">
        <w:rPr>
          <w:rStyle w:val="FootnoteReference"/>
          <w:sz w:val="20"/>
        </w:rPr>
        <w:footnoteRef/>
      </w:r>
      <w:r w:rsidRPr="0038051F">
        <w:rPr>
          <w:i/>
        </w:rPr>
        <w:t xml:space="preserve"> See Incentive Auction Task Force and Media Bureau Adopt a Post-Incentive Auction Transition Scheduling Plan</w:t>
      </w:r>
      <w:r w:rsidRPr="0038051F">
        <w:t>, MB Docket No. 16-306 and GN Docket No. 12-268, 32 FCC Rcd 890, 912-14, paras. 47-52 (MB 2017) (</w:t>
      </w:r>
      <w:r w:rsidRPr="0038051F">
        <w:rPr>
          <w:i/>
        </w:rPr>
        <w:t>Transition Scheduling Adoption Public Notice</w:t>
      </w:r>
      <w:r w:rsidRPr="0038051F">
        <w:t xml:space="preserve">).  </w:t>
      </w:r>
    </w:p>
  </w:footnote>
  <w:footnote w:id="5">
    <w:p w:rsidR="00C86568" w:rsidRPr="0038051F" w:rsidP="00F14931">
      <w:pPr>
        <w:pStyle w:val="FootnoteText"/>
        <w:widowControl w:val="0"/>
      </w:pPr>
      <w:r w:rsidRPr="0038051F">
        <w:rPr>
          <w:rStyle w:val="FootnoteReference"/>
          <w:sz w:val="20"/>
        </w:rPr>
        <w:footnoteRef/>
      </w:r>
      <w:r w:rsidRPr="0038051F">
        <w:t xml:space="preserve"> </w:t>
      </w:r>
      <w:r w:rsidRPr="0038051F">
        <w:rPr>
          <w:i/>
        </w:rPr>
        <w:t>See</w:t>
      </w:r>
      <w:r w:rsidRPr="0038051F">
        <w:t xml:space="preserve"> </w:t>
      </w:r>
      <w:r w:rsidRPr="0038051F">
        <w:rPr>
          <w:i/>
        </w:rPr>
        <w:t>Northeast Cellular Telephone Co. v. FCC</w:t>
      </w:r>
      <w:r w:rsidRPr="0038051F">
        <w:t xml:space="preserve">, 897 F.2d 1164, 1166 (D.C. Cir. 1990); </w:t>
      </w:r>
      <w:r w:rsidRPr="0038051F">
        <w:rPr>
          <w:i/>
        </w:rPr>
        <w:t>WAIT Radio v. FCC</w:t>
      </w:r>
      <w:r w:rsidRPr="0038051F">
        <w:t xml:space="preserve">, 418 F.2d 1153, 1159 (D.C. Cir. 1969); 47 CFR § 1.3 (waiver for good cause shown).  </w:t>
      </w:r>
      <w:r w:rsidRPr="0038051F">
        <w:rPr>
          <w:i/>
        </w:rPr>
        <w:t>See also Transition Scheduling Adoption Public Notice</w:t>
      </w:r>
      <w:r w:rsidRPr="0038051F">
        <w:t>, 32 FCC Rcd at 913-14, para. 51 and n.171.</w:t>
      </w:r>
    </w:p>
  </w:footnote>
  <w:footnote w:id="6">
    <w:p w:rsidR="00C86568" w:rsidRPr="0038051F" w:rsidP="006F7BAB">
      <w:pPr>
        <w:pStyle w:val="FootnoteText"/>
      </w:pPr>
      <w:r w:rsidRPr="0038051F">
        <w:rPr>
          <w:rStyle w:val="FootnoteReference"/>
          <w:sz w:val="20"/>
        </w:rPr>
        <w:footnoteRef/>
      </w:r>
      <w:r w:rsidRPr="0038051F">
        <w:t xml:space="preserve"> </w:t>
      </w:r>
      <w:r w:rsidRPr="0038051F">
        <w:rPr>
          <w:i/>
        </w:rPr>
        <w:t>See Transition Scheduling Adoption Public Notice</w:t>
      </w:r>
      <w:r w:rsidRPr="0038051F">
        <w:t xml:space="preserve">, 32 FCC Rcd at 912-14, paras. 49-52.  </w:t>
      </w:r>
      <w:r w:rsidRPr="0038051F">
        <w:rPr>
          <w:i/>
        </w:rPr>
        <w:t>See also Incentive Auction Task Force and Media Bureau Announce Procedures for the Post-Incentive Broadcast Transition</w:t>
      </w:r>
      <w:r w:rsidRPr="0038051F">
        <w:t>, 32 FCC Rcd 858, 881-82, para 73 (MB 2017) (</w:t>
      </w:r>
      <w:r w:rsidRPr="0038051F">
        <w:rPr>
          <w:i/>
        </w:rPr>
        <w:t>Broadcast Procedures Public Notice</w:t>
      </w:r>
      <w:r w:rsidRPr="0038051F">
        <w:t>)</w:t>
      </w:r>
      <w:r w:rsidRPr="0038051F">
        <w:rPr>
          <w:i/>
        </w:rPr>
        <w:t>.</w:t>
      </w:r>
    </w:p>
  </w:footnote>
  <w:footnote w:id="7">
    <w:p w:rsidR="00C86568" w:rsidRPr="0038051F" w:rsidP="00F14931">
      <w:pPr>
        <w:pStyle w:val="FootnoteText"/>
        <w:widowControl w:val="0"/>
      </w:pPr>
      <w:r w:rsidRPr="0038051F">
        <w:rPr>
          <w:rStyle w:val="FootnoteReference"/>
          <w:sz w:val="20"/>
        </w:rPr>
        <w:footnoteRef/>
      </w:r>
      <w:r w:rsidRPr="0038051F">
        <w:t xml:space="preserve"> </w:t>
      </w:r>
      <w:r w:rsidRPr="0038051F">
        <w:rPr>
          <w:i/>
        </w:rPr>
        <w:t>Transition Scheduling Adoption Public Notice</w:t>
      </w:r>
      <w:r w:rsidRPr="0038051F">
        <w:t>, 32 FCC Rcd at 912-13, para. 49 and n.163.</w:t>
      </w:r>
    </w:p>
  </w:footnote>
  <w:footnote w:id="8">
    <w:p w:rsidR="00C86568" w:rsidRPr="0038051F" w:rsidP="00F14931">
      <w:pPr>
        <w:pStyle w:val="FootnoteText"/>
        <w:widowControl w:val="0"/>
      </w:pPr>
      <w:r w:rsidRPr="0038051F">
        <w:rPr>
          <w:rStyle w:val="FootnoteReference"/>
          <w:sz w:val="20"/>
        </w:rPr>
        <w:footnoteRef/>
      </w:r>
      <w:r w:rsidRPr="0038051F">
        <w:t xml:space="preserve"> </w:t>
      </w:r>
      <w:r w:rsidRPr="0038051F">
        <w:rPr>
          <w:i/>
        </w:rPr>
        <w:t>Id.</w:t>
      </w:r>
    </w:p>
  </w:footnote>
  <w:footnote w:id="9">
    <w:p w:rsidR="00C86568" w:rsidRPr="0038051F" w:rsidP="00F14931">
      <w:pPr>
        <w:pStyle w:val="FootnoteText"/>
        <w:widowControl w:val="0"/>
        <w:rPr>
          <w:i/>
        </w:rPr>
      </w:pPr>
      <w:r w:rsidRPr="0038051F">
        <w:rPr>
          <w:rStyle w:val="FootnoteReference"/>
          <w:sz w:val="20"/>
        </w:rPr>
        <w:footnoteRef/>
      </w:r>
      <w:r w:rsidRPr="0038051F">
        <w:t xml:space="preserve"> Letter from Puerto Rico and U.S. Virgin Island Broadcasters, </w:t>
      </w:r>
      <w:bookmarkStart w:id="1" w:name="_Hlk502668846"/>
      <w:r w:rsidRPr="0038051F">
        <w:t xml:space="preserve">GN Docket No. 12-268 and MB Docket No. 16-306 (Nov. 14, 2017) </w:t>
      </w:r>
      <w:bookmarkEnd w:id="1"/>
      <w:r w:rsidRPr="0038051F">
        <w:t xml:space="preserve">(PR-USVI Waiver Request); Letter from Ana G. Mendez, Inc., GN Docket No. 12-268 and MB Docket No. 16-306 (Dec. 1, 2017) (joining </w:t>
      </w:r>
      <w:r w:rsidRPr="00C275E7">
        <w:t>the PR-USVI Waiver Request</w:t>
      </w:r>
      <w:r w:rsidRPr="0038051F">
        <w:t>); Letter from CMCG Puerto Rico, LLC, GN Docket No. 12-268 and MB Docket No. 16-306 (Dec. 18, 2017) (joining the PR-USVI Waiver Request</w:t>
      </w:r>
      <w:r w:rsidRPr="0038051F" w:rsidR="00053C25">
        <w:t>).</w:t>
      </w:r>
      <w:r w:rsidRPr="0038051F">
        <w:t xml:space="preserve">  </w:t>
      </w:r>
      <w:r w:rsidRPr="0038051F" w:rsidR="00053C25">
        <w:t xml:space="preserve">While we </w:t>
      </w:r>
      <w:r w:rsidR="0006707D">
        <w:t xml:space="preserve">would </w:t>
      </w:r>
      <w:r w:rsidRPr="0038051F" w:rsidR="00053C25">
        <w:t xml:space="preserve">normally require </w:t>
      </w:r>
      <w:r w:rsidR="0006707D">
        <w:t xml:space="preserve">that </w:t>
      </w:r>
      <w:r w:rsidRPr="0038051F" w:rsidR="00053C25">
        <w:t xml:space="preserve">each station seeking to modify its phase assignment file its waiver request as a Legal STA in LMS, we will </w:t>
      </w:r>
      <w:r w:rsidR="0006707D">
        <w:t xml:space="preserve">rely on </w:t>
      </w:r>
      <w:r w:rsidRPr="0038051F" w:rsidR="00053C25">
        <w:t xml:space="preserve">these letters as the basis of our evaluation and not require each individual </w:t>
      </w:r>
      <w:r w:rsidR="0006707D">
        <w:t>S</w:t>
      </w:r>
      <w:r w:rsidRPr="0038051F" w:rsidR="00053C25">
        <w:t>tation file a separate request</w:t>
      </w:r>
      <w:r w:rsidRPr="0006707D" w:rsidR="0006707D">
        <w:t xml:space="preserve"> </w:t>
      </w:r>
      <w:r w:rsidRPr="0038051F" w:rsidR="0006707D">
        <w:t>given the extraordinary circumstances surrounding this request</w:t>
      </w:r>
      <w:r w:rsidRPr="0038051F" w:rsidR="00053C25">
        <w:t>.</w:t>
      </w:r>
    </w:p>
  </w:footnote>
  <w:footnote w:id="10">
    <w:p w:rsidR="00C86568" w:rsidRPr="0038051F" w:rsidP="00F14931">
      <w:pPr>
        <w:pStyle w:val="FootnoteText"/>
        <w:widowControl w:val="0"/>
      </w:pPr>
      <w:r w:rsidRPr="0038051F">
        <w:rPr>
          <w:rStyle w:val="FootnoteReference"/>
          <w:sz w:val="20"/>
        </w:rPr>
        <w:footnoteRef/>
      </w:r>
      <w:r w:rsidRPr="0038051F">
        <w:t xml:space="preserve"> Stations assigned to Phase 1 are permitted to commence operation on their post-auction channel as early as 12:01</w:t>
      </w:r>
      <w:r w:rsidR="006F7BAB">
        <w:t xml:space="preserve"> AM</w:t>
      </w:r>
      <w:r w:rsidRPr="0038051F">
        <w:t xml:space="preserve"> on September 14, 2018.</w:t>
      </w:r>
    </w:p>
  </w:footnote>
  <w:footnote w:id="11">
    <w:p w:rsidR="00C86568" w:rsidRPr="0038051F" w:rsidP="00F14931">
      <w:pPr>
        <w:pStyle w:val="FootnoteText"/>
        <w:widowControl w:val="0"/>
      </w:pPr>
      <w:r w:rsidRPr="0038051F">
        <w:rPr>
          <w:rStyle w:val="FootnoteReference"/>
          <w:sz w:val="20"/>
        </w:rPr>
        <w:footnoteRef/>
      </w:r>
      <w:r w:rsidRPr="0038051F">
        <w:t xml:space="preserve"> PR-USVI Waiver Request at 1.</w:t>
      </w:r>
    </w:p>
  </w:footnote>
  <w:footnote w:id="12">
    <w:p w:rsidR="00C86568" w:rsidRPr="0038051F" w:rsidP="00F14931">
      <w:pPr>
        <w:pStyle w:val="FootnoteText"/>
        <w:widowControl w:val="0"/>
      </w:pPr>
      <w:r w:rsidRPr="0038051F">
        <w:rPr>
          <w:rStyle w:val="FootnoteReference"/>
          <w:sz w:val="20"/>
        </w:rPr>
        <w:footnoteRef/>
      </w:r>
      <w:r w:rsidRPr="0038051F">
        <w:t xml:space="preserve"> </w:t>
      </w:r>
      <w:r w:rsidRPr="0038051F">
        <w:rPr>
          <w:i/>
        </w:rPr>
        <w:t>Id.</w:t>
      </w:r>
    </w:p>
  </w:footnote>
  <w:footnote w:id="13">
    <w:p w:rsidR="00C86568" w:rsidRPr="0038051F" w:rsidP="00F14931">
      <w:pPr>
        <w:pStyle w:val="FootnoteText"/>
        <w:widowControl w:val="0"/>
      </w:pPr>
      <w:r w:rsidRPr="0038051F">
        <w:rPr>
          <w:rStyle w:val="FootnoteReference"/>
          <w:sz w:val="20"/>
        </w:rPr>
        <w:footnoteRef/>
      </w:r>
      <w:r w:rsidRPr="0038051F">
        <w:t xml:space="preserve"> </w:t>
      </w:r>
      <w:r w:rsidRPr="0038051F">
        <w:rPr>
          <w:i/>
        </w:rPr>
        <w:t>Id.</w:t>
      </w:r>
      <w:r w:rsidRPr="0038051F">
        <w:t xml:space="preserve"> </w:t>
      </w:r>
    </w:p>
  </w:footnote>
  <w:footnote w:id="14">
    <w:p w:rsidR="00D05B28" w:rsidP="00F14931">
      <w:pPr>
        <w:pStyle w:val="FootnoteText"/>
        <w:widowControl w:val="0"/>
      </w:pPr>
      <w:r w:rsidRPr="00D05B28">
        <w:rPr>
          <w:rStyle w:val="FootnoteReference"/>
          <w:i/>
        </w:rPr>
        <w:footnoteRef/>
      </w:r>
      <w:r w:rsidRPr="00D05B28">
        <w:rPr>
          <w:i/>
        </w:rPr>
        <w:t xml:space="preserve"> See Transition Scheduling Adoption Public Notice</w:t>
      </w:r>
      <w:r w:rsidRPr="00D05B28">
        <w:t>, 32 FCC Rcd at 897, para. 16.</w:t>
      </w:r>
    </w:p>
  </w:footnote>
  <w:footnote w:id="15">
    <w:p w:rsidR="00C86568" w:rsidRPr="0038051F" w:rsidP="00F14931">
      <w:pPr>
        <w:pStyle w:val="FootnoteText"/>
        <w:widowControl w:val="0"/>
      </w:pPr>
      <w:r w:rsidRPr="0038051F">
        <w:rPr>
          <w:rStyle w:val="FootnoteReference"/>
          <w:sz w:val="20"/>
        </w:rPr>
        <w:footnoteRef/>
      </w:r>
      <w:r w:rsidRPr="0038051F">
        <w:t xml:space="preserve"> PR-USVI Waiver Request at 2.</w:t>
      </w:r>
    </w:p>
  </w:footnote>
  <w:footnote w:id="16">
    <w:p w:rsidR="00C86568" w:rsidRPr="0038051F" w:rsidP="00F14931">
      <w:pPr>
        <w:pStyle w:val="FootnoteText"/>
        <w:widowControl w:val="0"/>
      </w:pPr>
      <w:r w:rsidRPr="0038051F">
        <w:rPr>
          <w:rStyle w:val="FootnoteReference"/>
          <w:sz w:val="20"/>
        </w:rPr>
        <w:footnoteRef/>
      </w:r>
      <w:r w:rsidRPr="0038051F">
        <w:t xml:space="preserve"> </w:t>
      </w:r>
      <w:r w:rsidRPr="0038051F">
        <w:rPr>
          <w:i/>
        </w:rPr>
        <w:t>Id.</w:t>
      </w:r>
    </w:p>
  </w:footnote>
  <w:footnote w:id="17">
    <w:p w:rsidR="00C86568" w:rsidRPr="0038051F" w:rsidP="00F14931">
      <w:pPr>
        <w:pStyle w:val="FootnoteText"/>
        <w:widowControl w:val="0"/>
      </w:pPr>
      <w:r w:rsidRPr="0038051F">
        <w:rPr>
          <w:rStyle w:val="FootnoteReference"/>
          <w:sz w:val="20"/>
        </w:rPr>
        <w:footnoteRef/>
      </w:r>
      <w:r w:rsidRPr="0038051F">
        <w:t xml:space="preserve"> </w:t>
      </w:r>
      <w:r w:rsidRPr="0038051F">
        <w:rPr>
          <w:i/>
        </w:rPr>
        <w:t>Id.</w:t>
      </w:r>
    </w:p>
  </w:footnote>
  <w:footnote w:id="18">
    <w:p w:rsidR="003278B4" w:rsidRPr="0038051F" w:rsidP="00F14931">
      <w:pPr>
        <w:pStyle w:val="FootnoteText"/>
        <w:widowControl w:val="0"/>
      </w:pPr>
      <w:r w:rsidRPr="0038051F">
        <w:rPr>
          <w:rStyle w:val="FootnoteReference"/>
          <w:sz w:val="20"/>
        </w:rPr>
        <w:footnoteRef/>
      </w:r>
      <w:r w:rsidRPr="0038051F">
        <w:t xml:space="preserve"> </w:t>
      </w:r>
      <w:r w:rsidRPr="00F0070F" w:rsidR="00F0070F">
        <w:rPr>
          <w:i/>
        </w:rPr>
        <w:t>See</w:t>
      </w:r>
      <w:r w:rsidR="00F0070F">
        <w:t xml:space="preserve"> </w:t>
      </w:r>
      <w:r w:rsidRPr="0038051F">
        <w:t>Letter from Electronics Research, Inc., GN Docket No. 12-268 and MB Docket No. 16-306 (Jan. 2, 2018)</w:t>
      </w:r>
      <w:r>
        <w:t>.</w:t>
      </w:r>
    </w:p>
  </w:footnote>
  <w:footnote w:id="19">
    <w:p w:rsidR="00C86568" w:rsidRPr="0038051F" w:rsidP="00F14931">
      <w:pPr>
        <w:pStyle w:val="FootnoteText"/>
        <w:widowControl w:val="0"/>
      </w:pPr>
      <w:r w:rsidRPr="0038051F">
        <w:rPr>
          <w:rStyle w:val="FootnoteReference"/>
          <w:sz w:val="20"/>
        </w:rPr>
        <w:footnoteRef/>
      </w:r>
      <w:r w:rsidRPr="0038051F">
        <w:t xml:space="preserve"> PR-USVI Waiver Request at </w:t>
      </w:r>
      <w:r w:rsidRPr="0038051F" w:rsidR="008A2999">
        <w:t>2.</w:t>
      </w:r>
    </w:p>
  </w:footnote>
  <w:footnote w:id="20">
    <w:p w:rsidR="00C86568" w:rsidRPr="0038051F" w:rsidP="00F14931">
      <w:pPr>
        <w:pStyle w:val="FootnoteText"/>
        <w:widowControl w:val="0"/>
      </w:pPr>
      <w:r w:rsidRPr="0038051F">
        <w:rPr>
          <w:rStyle w:val="FootnoteReference"/>
          <w:sz w:val="20"/>
        </w:rPr>
        <w:footnoteRef/>
      </w:r>
      <w:r w:rsidRPr="0038051F">
        <w:t xml:space="preserve"> </w:t>
      </w:r>
      <w:r w:rsidRPr="00D05B28" w:rsidR="00D05B28">
        <w:rPr>
          <w:i/>
        </w:rPr>
        <w:t>See</w:t>
      </w:r>
      <w:r w:rsidR="00D05B28">
        <w:t xml:space="preserve"> </w:t>
      </w:r>
      <w:r w:rsidRPr="0038051F">
        <w:t>Letter from T-Mobile USA, Inc., GN Docket No. 12-268 and MB Dock</w:t>
      </w:r>
      <w:r w:rsidR="003278B4">
        <w:t>et N</w:t>
      </w:r>
      <w:r w:rsidRPr="0038051F">
        <w:t>o. 16-306 (Nov. 21, 2017).</w:t>
      </w:r>
    </w:p>
  </w:footnote>
  <w:footnote w:id="21">
    <w:p w:rsidR="003278B4" w:rsidP="00F14931">
      <w:pPr>
        <w:pStyle w:val="FootnoteText"/>
        <w:widowControl w:val="0"/>
      </w:pPr>
      <w:r>
        <w:rPr>
          <w:rStyle w:val="FootnoteReference"/>
        </w:rPr>
        <w:footnoteRef/>
      </w:r>
      <w:r>
        <w:t xml:space="preserve"> </w:t>
      </w:r>
      <w:r w:rsidRPr="00D05B28">
        <w:rPr>
          <w:i/>
        </w:rPr>
        <w:t>Id.</w:t>
      </w:r>
      <w:r>
        <w:t xml:space="preserve"> at 2.</w:t>
      </w:r>
    </w:p>
  </w:footnote>
  <w:footnote w:id="22">
    <w:p w:rsidR="00C86568" w:rsidRPr="0038051F" w:rsidP="00F14931">
      <w:pPr>
        <w:pStyle w:val="FootnoteText"/>
        <w:widowControl w:val="0"/>
      </w:pPr>
      <w:r w:rsidRPr="0038051F">
        <w:rPr>
          <w:rStyle w:val="FootnoteReference"/>
          <w:sz w:val="20"/>
        </w:rPr>
        <w:footnoteRef/>
      </w:r>
      <w:r w:rsidRPr="0038051F">
        <w:t xml:space="preserve"> Under the transition schedule</w:t>
      </w:r>
      <w:r w:rsidRPr="0038051F" w:rsidR="008D44F2">
        <w:t xml:space="preserve"> set forth in the </w:t>
      </w:r>
      <w:r w:rsidRPr="0038051F" w:rsidR="008D44F2">
        <w:rPr>
          <w:i/>
        </w:rPr>
        <w:t>Closing and Channel Reassignment Public Notice</w:t>
      </w:r>
      <w:r w:rsidR="00F0070F">
        <w:t xml:space="preserve">, </w:t>
      </w:r>
      <w:r w:rsidRPr="0038051F" w:rsidR="008D44F2">
        <w:t>repacked</w:t>
      </w:r>
      <w:r w:rsidRPr="0038051F">
        <w:t xml:space="preserve"> stations</w:t>
      </w:r>
      <w:r w:rsidRPr="0038051F" w:rsidR="008D44F2">
        <w:t xml:space="preserve"> in Puerto Rico were assigned to</w:t>
      </w:r>
      <w:r w:rsidRPr="0038051F">
        <w:t xml:space="preserve"> </w:t>
      </w:r>
      <w:r w:rsidRPr="0038051F" w:rsidR="008D44F2">
        <w:t>Phase</w:t>
      </w:r>
      <w:r w:rsidR="00F0070F">
        <w:t>s</w:t>
      </w:r>
      <w:r w:rsidRPr="0038051F">
        <w:t xml:space="preserve"> 3 and 10.</w:t>
      </w:r>
      <w:r w:rsidRPr="0038051F" w:rsidR="00C20C2B">
        <w:t xml:space="preserve"> </w:t>
      </w:r>
    </w:p>
  </w:footnote>
  <w:footnote w:id="23">
    <w:p w:rsidR="00C86568" w:rsidRPr="0038051F" w:rsidP="00F14931">
      <w:pPr>
        <w:pStyle w:val="FootnoteText"/>
        <w:widowControl w:val="0"/>
      </w:pPr>
      <w:r w:rsidRPr="0038051F">
        <w:rPr>
          <w:rStyle w:val="FootnoteReference"/>
          <w:sz w:val="20"/>
        </w:rPr>
        <w:footnoteRef/>
      </w:r>
      <w:r w:rsidRPr="0038051F">
        <w:t xml:space="preserve"> Because WTJX-TV will continue to be assigned to </w:t>
      </w:r>
      <w:r w:rsidRPr="0038051F" w:rsidR="0038051F">
        <w:t xml:space="preserve">transition </w:t>
      </w:r>
      <w:r w:rsidRPr="0038051F">
        <w:t>Phase 3</w:t>
      </w:r>
      <w:r w:rsidRPr="0038051F" w:rsidR="0038051F">
        <w:t xml:space="preserve">, the total number of rescan periods for the </w:t>
      </w:r>
      <w:r w:rsidRPr="0038051F">
        <w:t xml:space="preserve">U.S. Virgin Islands will </w:t>
      </w:r>
      <w:r w:rsidRPr="0038051F" w:rsidR="0038051F">
        <w:t xml:space="preserve">now be two. </w:t>
      </w:r>
      <w:r w:rsidRPr="0038051F">
        <w:t xml:space="preserve"> </w:t>
      </w:r>
    </w:p>
  </w:footnote>
  <w:footnote w:id="24">
    <w:p w:rsidR="00C86568" w:rsidRPr="0038051F" w:rsidP="00F14931">
      <w:pPr>
        <w:pStyle w:val="FootnoteText"/>
        <w:widowControl w:val="0"/>
      </w:pPr>
      <w:r w:rsidRPr="0038051F">
        <w:rPr>
          <w:rStyle w:val="FootnoteReference"/>
          <w:sz w:val="20"/>
        </w:rPr>
        <w:footnoteRef/>
      </w:r>
      <w:r w:rsidRPr="0038051F">
        <w:t xml:space="preserve"> </w:t>
      </w:r>
      <w:r w:rsidR="00C275E7">
        <w:t>S</w:t>
      </w:r>
      <w:r w:rsidRPr="0038051F">
        <w:rPr>
          <w:i/>
        </w:rPr>
        <w:t>ee</w:t>
      </w:r>
      <w:r w:rsidRPr="0038051F">
        <w:t xml:space="preserve"> </w:t>
      </w:r>
      <w:r w:rsidRPr="0038051F">
        <w:rPr>
          <w:i/>
        </w:rPr>
        <w:t>Transition Scheduling Adoption Public Notice</w:t>
      </w:r>
      <w:r w:rsidRPr="0038051F">
        <w:t>, 32 FCC Rcd at 898-99, paras. 20-21.</w:t>
      </w:r>
    </w:p>
  </w:footnote>
  <w:footnote w:id="25">
    <w:p w:rsidR="009C4106" w:rsidRPr="0038051F" w:rsidP="00F14931">
      <w:pPr>
        <w:pStyle w:val="FootnoteText"/>
        <w:widowControl w:val="0"/>
      </w:pPr>
      <w:r w:rsidRPr="0038051F">
        <w:rPr>
          <w:rStyle w:val="FootnoteReference"/>
          <w:sz w:val="20"/>
        </w:rPr>
        <w:footnoteRef/>
      </w:r>
      <w:r w:rsidRPr="0038051F">
        <w:t xml:space="preserve"> We remind stations that the license of any station that remains silent for any consecutive 12-month period expires automatically at the end of that period, by operation of law, except that the Commission can extend or reinstate such a license “to promote equity and fairness.”  </w:t>
      </w:r>
      <w:r w:rsidRPr="0038051F">
        <w:rPr>
          <w:i/>
        </w:rPr>
        <w:t>See</w:t>
      </w:r>
      <w:r w:rsidRPr="0038051F">
        <w:t xml:space="preserve"> 47 U.S.C. § 312(g).  In considering such a request, the Bureau will examine whether the station’s silence was the result of compelling reasons beyond the licensee’s control, including here</w:t>
      </w:r>
      <w:r w:rsidR="00C275E7">
        <w:t>,</w:t>
      </w:r>
      <w:r w:rsidRPr="0038051F">
        <w:t xml:space="preserve"> facts that relate to the post-auction transition process and damage resulting from Hurricanes Irma and Maria.  </w:t>
      </w:r>
    </w:p>
  </w:footnote>
  <w:footnote w:id="26">
    <w:p w:rsidR="003B57FA" w:rsidP="00F14931">
      <w:pPr>
        <w:pStyle w:val="FootnoteText"/>
        <w:widowControl w:val="0"/>
      </w:pPr>
      <w:r>
        <w:rPr>
          <w:rStyle w:val="FootnoteReference"/>
        </w:rPr>
        <w:footnoteRef/>
      </w:r>
      <w:r>
        <w:t xml:space="preserve"> </w:t>
      </w:r>
      <w:r w:rsidRPr="0038051F">
        <w:rPr>
          <w:szCs w:val="22"/>
        </w:rPr>
        <w:t xml:space="preserve">To the extent an individual station requires additional time </w:t>
      </w:r>
      <w:r w:rsidR="00DA6344">
        <w:rPr>
          <w:szCs w:val="22"/>
        </w:rPr>
        <w:t xml:space="preserve">beyond August 1, 2018, </w:t>
      </w:r>
      <w:r w:rsidRPr="0038051F">
        <w:rPr>
          <w:szCs w:val="22"/>
        </w:rPr>
        <w:t>to construct its post-auction facility</w:t>
      </w:r>
      <w:r w:rsidR="00AA2FD4">
        <w:rPr>
          <w:szCs w:val="22"/>
        </w:rPr>
        <w:t>,</w:t>
      </w:r>
      <w:r w:rsidRPr="0038051F">
        <w:rPr>
          <w:szCs w:val="22"/>
        </w:rPr>
        <w:t xml:space="preserve"> it must file a request for extension of its construction permit deadline as otherwise required by the Commission’s rules.</w:t>
      </w:r>
      <w:r>
        <w:rPr>
          <w:szCs w:val="22"/>
        </w:rPr>
        <w:t xml:space="preserve">  </w:t>
      </w:r>
      <w:r w:rsidRPr="0038051F">
        <w:rPr>
          <w:i/>
        </w:rPr>
        <w:t>See</w:t>
      </w:r>
      <w:r w:rsidRPr="0038051F">
        <w:t xml:space="preserve"> 47 CFR § 73.3700(b)(5)(iv).  Additional time to construct beyond 180-days may be sought pursuant to the Commission’s existing “tolling” rule.  </w:t>
      </w:r>
      <w:r w:rsidRPr="0038051F">
        <w:rPr>
          <w:i/>
        </w:rPr>
        <w:t>See</w:t>
      </w:r>
      <w:r w:rsidRPr="0038051F">
        <w:t xml:space="preserve"> 47 CFR § 73.3700(b)(5)(i) and 47 CFR §73.3598(b).  </w:t>
      </w:r>
      <w:r w:rsidRPr="0038051F">
        <w:rPr>
          <w:i/>
        </w:rPr>
        <w:t xml:space="preserve">See also Broadcast Procedures Public Notice, </w:t>
      </w:r>
      <w:r w:rsidRPr="0038051F">
        <w:t xml:space="preserve">32 FCC Rcd at 871-72, paras. 40-45 (discussing extensions of time to construct post-auction facilities and tolling).  </w:t>
      </w:r>
      <w:r>
        <w:rPr>
          <w:szCs w:val="22"/>
        </w:rPr>
        <w:t>G</w:t>
      </w:r>
      <w:r w:rsidRPr="0038051F">
        <w:rPr>
          <w:szCs w:val="22"/>
        </w:rPr>
        <w:t xml:space="preserve">rant of an extension of time to construct will not extend </w:t>
      </w:r>
      <w:r w:rsidR="00AA2FD4">
        <w:rPr>
          <w:szCs w:val="22"/>
        </w:rPr>
        <w:t xml:space="preserve">the </w:t>
      </w:r>
      <w:r w:rsidRPr="0038051F">
        <w:rPr>
          <w:szCs w:val="22"/>
        </w:rPr>
        <w:t xml:space="preserve">time during which </w:t>
      </w:r>
      <w:r w:rsidR="00AA2FD4">
        <w:rPr>
          <w:szCs w:val="22"/>
        </w:rPr>
        <w:t xml:space="preserve">the station </w:t>
      </w:r>
      <w:r w:rsidRPr="0038051F">
        <w:rPr>
          <w:szCs w:val="22"/>
        </w:rPr>
        <w:t xml:space="preserve">may continue to operate on its pre-auction channel.  The Stations </w:t>
      </w:r>
      <w:r w:rsidR="00DA6344">
        <w:rPr>
          <w:szCs w:val="22"/>
        </w:rPr>
        <w:t>must</w:t>
      </w:r>
      <w:r w:rsidRPr="0038051F">
        <w:rPr>
          <w:szCs w:val="22"/>
        </w:rPr>
        <w:t xml:space="preserve"> cease operation on their pre-auction channel no later than 11:59 </w:t>
      </w:r>
      <w:r w:rsidR="006F7BAB">
        <w:rPr>
          <w:szCs w:val="22"/>
        </w:rPr>
        <w:t>PM</w:t>
      </w:r>
      <w:r w:rsidRPr="0038051F">
        <w:rPr>
          <w:szCs w:val="22"/>
        </w:rPr>
        <w:t xml:space="preserve"> on August 1, 2018, unless they have </w:t>
      </w:r>
      <w:r w:rsidR="00DA6344">
        <w:rPr>
          <w:szCs w:val="22"/>
        </w:rPr>
        <w:t>filed</w:t>
      </w:r>
      <w:r w:rsidR="008F65AD">
        <w:rPr>
          <w:szCs w:val="22"/>
        </w:rPr>
        <w:t xml:space="preserve"> in LMS</w:t>
      </w:r>
      <w:r w:rsidR="00DA6344">
        <w:rPr>
          <w:szCs w:val="22"/>
        </w:rPr>
        <w:t xml:space="preserve"> and </w:t>
      </w:r>
      <w:r w:rsidRPr="0038051F">
        <w:rPr>
          <w:szCs w:val="22"/>
        </w:rPr>
        <w:t>been granted a</w:t>
      </w:r>
      <w:r w:rsidR="00DA6344">
        <w:rPr>
          <w:szCs w:val="22"/>
        </w:rPr>
        <w:t xml:space="preserve"> request for special temporary authority t</w:t>
      </w:r>
      <w:r w:rsidRPr="0038051F">
        <w:rPr>
          <w:szCs w:val="22"/>
        </w:rPr>
        <w:t>o continue to operate on their pre-auction channel.</w:t>
      </w:r>
      <w:r w:rsidR="00844060">
        <w:rPr>
          <w:szCs w:val="22"/>
        </w:rPr>
        <w:t xml:space="preserve">  </w:t>
      </w:r>
      <w:r w:rsidRPr="00844060" w:rsidR="00844060">
        <w:rPr>
          <w:szCs w:val="22"/>
        </w:rPr>
        <w:t>A station that requests authority to continue operat</w:t>
      </w:r>
      <w:r w:rsidR="00D320AA">
        <w:rPr>
          <w:szCs w:val="22"/>
        </w:rPr>
        <w:t>ing</w:t>
      </w:r>
      <w:r w:rsidRPr="00844060" w:rsidR="00844060">
        <w:rPr>
          <w:szCs w:val="22"/>
        </w:rPr>
        <w:t xml:space="preserve"> on its pre-auction channel after August 1, 2018 will likely be required to do so at variance from its pre-auction authorized parameters (</w:t>
      </w:r>
      <w:r w:rsidR="00AA2FD4">
        <w:rPr>
          <w:szCs w:val="22"/>
        </w:rPr>
        <w:t>e.g.,</w:t>
      </w:r>
      <w:r w:rsidRPr="00844060" w:rsidR="00844060">
        <w:rPr>
          <w:szCs w:val="22"/>
        </w:rPr>
        <w:t xml:space="preserve"> </w:t>
      </w:r>
      <w:r w:rsidR="00844060">
        <w:rPr>
          <w:szCs w:val="22"/>
        </w:rPr>
        <w:t>reduced power).</w:t>
      </w:r>
    </w:p>
  </w:footnote>
  <w:footnote w:id="27">
    <w:p w:rsidR="004117FF" w:rsidP="004117FF">
      <w:pPr>
        <w:pStyle w:val="FootnoteText"/>
        <w:widowControl w:val="0"/>
      </w:pPr>
      <w:r>
        <w:rPr>
          <w:rStyle w:val="FootnoteReference"/>
        </w:rPr>
        <w:footnoteRef/>
      </w:r>
      <w:r>
        <w:t xml:space="preserve"> </w:t>
      </w:r>
      <w:r w:rsidRPr="003B57FA">
        <w:t xml:space="preserve">A station that commences testing on its post-auction channel and causes interference beyond </w:t>
      </w:r>
      <w:r>
        <w:t>that</w:t>
      </w:r>
      <w:r w:rsidRPr="003B57FA">
        <w:t xml:space="preserve"> permitted during the transition period will be operating in violation of Commission rules.</w:t>
      </w:r>
      <w:r>
        <w:t xml:space="preserve">  </w:t>
      </w:r>
      <w:r w:rsidRPr="004827BD">
        <w:t xml:space="preserve">A list of linked stations is available </w:t>
      </w:r>
      <w:r>
        <w:t>on the Commission’s website at:</w:t>
      </w:r>
      <w:r w:rsidR="00471BC0">
        <w:t xml:space="preserve">  </w:t>
      </w:r>
      <w:r w:rsidRPr="00471BC0" w:rsidR="00471BC0">
        <w:t>https://data.fcc.gov/download/incentive-auctions/Current_Transition_Files/</w:t>
      </w:r>
      <w:r w:rsidRPr="004827BD">
        <w:t xml:space="preserve">.  </w:t>
      </w:r>
    </w:p>
  </w:footnote>
  <w:footnote w:id="28">
    <w:p w:rsidR="004827BD" w:rsidP="004117FF">
      <w:pPr>
        <w:pStyle w:val="FootnoteText"/>
        <w:widowControl w:val="0"/>
      </w:pPr>
      <w:r>
        <w:rPr>
          <w:rStyle w:val="FootnoteReference"/>
        </w:rPr>
        <w:footnoteRef/>
      </w:r>
      <w:r>
        <w:t xml:space="preserve"> </w:t>
      </w:r>
      <w:r w:rsidRPr="00C275E7" w:rsidR="00C275E7">
        <w:rPr>
          <w:i/>
        </w:rPr>
        <w:t>See</w:t>
      </w:r>
      <w:r w:rsidR="00844060">
        <w:t xml:space="preserve"> 47 CFR § 73.3700(e)(5); </w:t>
      </w:r>
      <w:r w:rsidRPr="00C275E7" w:rsidR="00C275E7">
        <w:rPr>
          <w:i/>
        </w:rPr>
        <w:t>The Incentive Auction Task Force and Media Bureau Release Transition Progress Report Form and Filing Requirements for Stations Eligible for Reimbursement from the TV Broadcast Relocation Fund and Seek Comment on the Filing of the Report by Non-Reimbursable Stations</w:t>
      </w:r>
      <w:r w:rsidRPr="00C275E7" w:rsidR="00C275E7">
        <w:t>, Public Notice,</w:t>
      </w:r>
      <w:r w:rsidR="00C275E7">
        <w:t xml:space="preserve"> 32 FCC Rcd 256 (MB 2017); </w:t>
      </w:r>
      <w:r w:rsidRPr="00C275E7" w:rsidR="00C275E7">
        <w:rPr>
          <w:i/>
        </w:rPr>
        <w:t>The Incentive Auction Task Force and Media Bureau Adopt Filing Requirements For the Transition Progress Report Form By Stations that are Not Eligible for Reimbursement from the TV Broadcast Relocation Fund</w:t>
      </w:r>
      <w:r w:rsidR="00C275E7">
        <w:t xml:space="preserve">, </w:t>
      </w:r>
      <w:r w:rsidRPr="00C275E7" w:rsidR="00C275E7">
        <w:t>Public Notice,</w:t>
      </w:r>
      <w:r w:rsidR="00C275E7">
        <w:t xml:space="preserve"> 32 FCC Rcd 4029 (MB 2017).</w:t>
      </w:r>
    </w:p>
  </w:footnote>
  <w:footnote w:id="29">
    <w:p w:rsidR="00C275E7" w:rsidP="004117FF">
      <w:pPr>
        <w:pStyle w:val="FootnoteText"/>
        <w:widowControl w:val="0"/>
      </w:pPr>
      <w:r>
        <w:rPr>
          <w:rStyle w:val="FootnoteReference"/>
        </w:rPr>
        <w:footnoteRef/>
      </w:r>
      <w:r>
        <w:t xml:space="preserve"> </w:t>
      </w:r>
      <w:r w:rsidRPr="00C275E7">
        <w:rPr>
          <w:i/>
        </w:rPr>
        <w:t>See</w:t>
      </w:r>
      <w:r>
        <w:t xml:space="preserve"> </w:t>
      </w:r>
      <w:r w:rsidRPr="00C275E7">
        <w:t>47 CFR § 73.3700</w:t>
      </w:r>
      <w:r>
        <w:t>(c).</w:t>
      </w:r>
    </w:p>
  </w:footnote>
  <w:footnote w:id="30">
    <w:p w:rsidR="004827BD" w:rsidP="004117FF">
      <w:pPr>
        <w:pStyle w:val="FootnoteText"/>
        <w:widowControl w:val="0"/>
      </w:pPr>
      <w:r>
        <w:rPr>
          <w:rStyle w:val="FootnoteReference"/>
        </w:rPr>
        <w:footnoteRef/>
      </w:r>
      <w:r>
        <w:t xml:space="preserve"> </w:t>
      </w:r>
      <w:r w:rsidRPr="00C275E7" w:rsidR="00C275E7">
        <w:rPr>
          <w:i/>
        </w:rPr>
        <w:t>See</w:t>
      </w:r>
      <w:r w:rsidR="00C275E7">
        <w:t xml:space="preserve"> 47 CFR § 73.3700(d).</w:t>
      </w:r>
    </w:p>
  </w:footnote>
  <w:footnote w:id="31">
    <w:p w:rsidR="00C86568" w:rsidRPr="0038051F" w:rsidP="004117FF">
      <w:pPr>
        <w:pStyle w:val="FootnoteText"/>
        <w:widowControl w:val="0"/>
      </w:pPr>
      <w:r w:rsidRPr="0038051F">
        <w:rPr>
          <w:rStyle w:val="FootnoteReference"/>
          <w:sz w:val="20"/>
        </w:rPr>
        <w:footnoteRef/>
      </w:r>
      <w:r w:rsidRPr="0038051F">
        <w:t xml:space="preserve"> </w:t>
      </w:r>
      <w:r w:rsidRPr="0038051F" w:rsidR="008A2999">
        <w:t xml:space="preserve">For example, a station may propose to provide its viewer notifications through some combination of the following: other television or radio stations with significant contour overlap, local newspapers, social media, </w:t>
      </w:r>
      <w:r w:rsidR="004827BD">
        <w:t xml:space="preserve">and </w:t>
      </w:r>
      <w:r w:rsidRPr="0038051F" w:rsidR="008A2999">
        <w:t xml:space="preserve">the station’s website.    </w:t>
      </w:r>
    </w:p>
  </w:footnote>
  <w:footnote w:id="32">
    <w:p w:rsidR="00C86568" w:rsidRPr="0038051F" w:rsidP="004117FF">
      <w:pPr>
        <w:pStyle w:val="FootnoteText"/>
        <w:widowControl w:val="0"/>
      </w:pPr>
      <w:r w:rsidRPr="0038051F">
        <w:rPr>
          <w:rStyle w:val="FootnoteReference"/>
          <w:sz w:val="20"/>
        </w:rPr>
        <w:footnoteRef/>
      </w:r>
      <w:r w:rsidR="00E40E22">
        <w:rPr>
          <w:i/>
        </w:rPr>
        <w:t xml:space="preserve"> </w:t>
      </w:r>
      <w:r w:rsidRPr="004827BD" w:rsidR="004827BD">
        <w:rPr>
          <w:i/>
        </w:rPr>
        <w:t>See</w:t>
      </w:r>
      <w:r w:rsidR="004827BD">
        <w:t xml:space="preserve"> </w:t>
      </w:r>
      <w:r w:rsidRPr="0038051F" w:rsidR="008A2999">
        <w:t>47 CFR § 1.3 (waiver for good cause shown).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01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568" w:rsidRPr="00C26BAF"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 xml:space="preserve">DA </w:t>
    </w:r>
    <w:r>
      <w:rPr>
        <w:rFonts w:ascii="Times New Roman" w:hAnsi="Times New Roman"/>
        <w:b/>
        <w:sz w:val="22"/>
        <w:szCs w:val="22"/>
      </w:rPr>
      <w:t>18-</w:t>
    </w:r>
    <w:r w:rsidR="00EB6A92">
      <w:rPr>
        <w:rFonts w:ascii="Times New Roman" w:hAnsi="Times New Roman"/>
        <w:b/>
        <w:sz w:val="22"/>
        <w:szCs w:val="22"/>
      </w:rPr>
      <w:t>35</w:t>
    </w:r>
  </w:p>
  <w:p w:rsidR="00C86568" w:rsidRPr="00C26BAF"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4384"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strokeweight="0.05pt">
              <w10:wrap anchorx="margin"/>
            </v:rect>
          </w:pict>
        </mc:Fallback>
      </mc:AlternateContent>
    </w:r>
  </w:p>
  <w:p w:rsidR="00C86568" w:rsidRPr="00C26BAF" w:rsidP="00C26BAF">
    <w:pPr>
      <w:rPr>
        <w:b/>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6568" w:rsidRPr="00BA6E7A" w:rsidP="00C26BA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6568"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C86568"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extent cx="525780" cy="525780"/>
          <wp:effectExtent l="0" t="0" r="7620" b="7620"/>
          <wp:docPr id="1"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306884" name="Picture 7"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C86568" w:rsidRPr="00C26BAF" w:rsidP="00C26BAF">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7"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1312" from="416.8pt,56.7pt" to="884.8pt,56.7pt" o:allowincell="f">
              <w10:wrap anchorx="margin"/>
            </v:lin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6568" w:rsidP="00C26BAF">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8"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86568" w:rsidP="00C26BAF">
                    <w:pPr>
                      <w:spacing w:before="40"/>
                      <w:jc w:val="right"/>
                    </w:pPr>
                    <w:r>
                      <w:rPr>
                        <w:rFonts w:ascii="Arial" w:hAnsi="Arial"/>
                        <w:b/>
                        <w:sz w:val="16"/>
                      </w:rPr>
                      <w:t>News Media Information: 202-418-0500</w:t>
                    </w:r>
                    <w:r>
                      <w:rPr>
                        <w:rFonts w:ascii="Arial" w:hAnsi="Arial"/>
                        <w:b/>
                        <w:sz w:val="16"/>
                      </w:rPr>
                      <w:br/>
                      <w:t>Internet: http://www.fcc.gov</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start w:val="1"/>
      <w:numFmt w:val="decimal"/>
      <w:pStyle w:val="Para"/>
      <w:lvlText w:val="%1."/>
      <w:lvlJc w:val="left"/>
      <w:pPr>
        <w:tabs>
          <w:tab w:val="num" w:pos="1170"/>
        </w:tabs>
        <w:ind w:left="9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8A148C9"/>
    <w:multiLevelType w:val="hybridMultilevel"/>
    <w:tmpl w:val="A1BAD702"/>
    <w:lvl w:ilvl="0">
      <w:start w:val="1"/>
      <w:numFmt w:val="decimal"/>
      <w:lvlText w:val="%1."/>
      <w:lvlJc w:val="left"/>
      <w:pPr>
        <w:ind w:left="810" w:hanging="360"/>
      </w:pPr>
      <w:rPr>
        <w:b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6">
    <w:nsid w:val="3C5D0B96"/>
    <w:multiLevelType w:val="hybridMultilevel"/>
    <w:tmpl w:val="30208DA0"/>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8">
    <w:nsid w:val="4EBE16B1"/>
    <w:multiLevelType w:val="hybridMultilevel"/>
    <w:tmpl w:val="A262F814"/>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0"/>
  </w:num>
  <w:num w:numId="2">
    <w:abstractNumId w:val="9"/>
  </w:num>
  <w:num w:numId="3">
    <w:abstractNumId w:val="7"/>
  </w:num>
  <w:num w:numId="4">
    <w:abstractNumId w:val="3"/>
  </w:num>
  <w:num w:numId="5">
    <w:abstractNumId w:val="11"/>
  </w:num>
  <w:num w:numId="6">
    <w:abstractNumId w:val="2"/>
  </w:num>
  <w:num w:numId="7">
    <w:abstractNumId w:val="4"/>
  </w:num>
  <w:num w:numId="8">
    <w:abstractNumId w:val="0"/>
  </w:num>
  <w:num w:numId="9">
    <w:abstractNumId w:val="12"/>
  </w:num>
  <w:num w:numId="10">
    <w:abstractNumId w:val="6"/>
  </w:num>
  <w:num w:numId="11">
    <w:abstractNumId w:val="8"/>
  </w:num>
  <w:num w:numId="12">
    <w:abstractNumId w:val="1"/>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1F08" w:allStyles="0" w:alternateStyleNames="0" w:clearFormatting="1" w:customStyles="0" w:directFormattingOnNumbering="1" w:directFormattingOnParagraphs="1" w:directFormattingOnRuns="1" w:directFormattingOnTables="1" w:headingStyles="0" w:latentStyles="0" w:numberingStyles="0" w:stylesInUse="1" w:tableStyles="0" w:top3HeadingStyles="0"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30AD"/>
    <w:rsid w:val="00023141"/>
    <w:rsid w:val="000237CF"/>
    <w:rsid w:val="00023B23"/>
    <w:rsid w:val="00024D03"/>
    <w:rsid w:val="000251BE"/>
    <w:rsid w:val="00026CE4"/>
    <w:rsid w:val="00027047"/>
    <w:rsid w:val="0002707E"/>
    <w:rsid w:val="000274F4"/>
    <w:rsid w:val="0003126B"/>
    <w:rsid w:val="000323A2"/>
    <w:rsid w:val="00033227"/>
    <w:rsid w:val="000334A3"/>
    <w:rsid w:val="00033B8F"/>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0D6"/>
    <w:rsid w:val="00050D23"/>
    <w:rsid w:val="0005285C"/>
    <w:rsid w:val="00053497"/>
    <w:rsid w:val="00053731"/>
    <w:rsid w:val="00053C25"/>
    <w:rsid w:val="000542A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07D"/>
    <w:rsid w:val="000677E9"/>
    <w:rsid w:val="00067AA3"/>
    <w:rsid w:val="00067C6B"/>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272C"/>
    <w:rsid w:val="00093509"/>
    <w:rsid w:val="00094806"/>
    <w:rsid w:val="00095669"/>
    <w:rsid w:val="000959DF"/>
    <w:rsid w:val="0009692D"/>
    <w:rsid w:val="00096AC5"/>
    <w:rsid w:val="00097EF8"/>
    <w:rsid w:val="000A08FE"/>
    <w:rsid w:val="000A131A"/>
    <w:rsid w:val="000A1F7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DA0"/>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618B"/>
    <w:rsid w:val="000F62F6"/>
    <w:rsid w:val="000F74EF"/>
    <w:rsid w:val="000F779D"/>
    <w:rsid w:val="000F7AF4"/>
    <w:rsid w:val="00103A34"/>
    <w:rsid w:val="001045F3"/>
    <w:rsid w:val="00105D6C"/>
    <w:rsid w:val="0010658A"/>
    <w:rsid w:val="00106E20"/>
    <w:rsid w:val="00110136"/>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5F5E"/>
    <w:rsid w:val="0012723E"/>
    <w:rsid w:val="00127A19"/>
    <w:rsid w:val="001320DF"/>
    <w:rsid w:val="00132722"/>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B65"/>
    <w:rsid w:val="00171B06"/>
    <w:rsid w:val="00172296"/>
    <w:rsid w:val="001722B1"/>
    <w:rsid w:val="00172342"/>
    <w:rsid w:val="001732C8"/>
    <w:rsid w:val="00173E72"/>
    <w:rsid w:val="001741D4"/>
    <w:rsid w:val="00174F47"/>
    <w:rsid w:val="00174F65"/>
    <w:rsid w:val="00176B09"/>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35A"/>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01A9"/>
    <w:rsid w:val="001B1010"/>
    <w:rsid w:val="001B101F"/>
    <w:rsid w:val="001B214E"/>
    <w:rsid w:val="001B2CF4"/>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378"/>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17485"/>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1896"/>
    <w:rsid w:val="002528C8"/>
    <w:rsid w:val="0025478F"/>
    <w:rsid w:val="00255197"/>
    <w:rsid w:val="002553DD"/>
    <w:rsid w:val="00255AD5"/>
    <w:rsid w:val="00255C57"/>
    <w:rsid w:val="0025643C"/>
    <w:rsid w:val="00257140"/>
    <w:rsid w:val="00257646"/>
    <w:rsid w:val="002606CD"/>
    <w:rsid w:val="002607A1"/>
    <w:rsid w:val="00260BCB"/>
    <w:rsid w:val="00261E46"/>
    <w:rsid w:val="0026332A"/>
    <w:rsid w:val="00263C73"/>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316B"/>
    <w:rsid w:val="00283F59"/>
    <w:rsid w:val="0028502D"/>
    <w:rsid w:val="00285A00"/>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E04"/>
    <w:rsid w:val="00297337"/>
    <w:rsid w:val="00297358"/>
    <w:rsid w:val="002976B2"/>
    <w:rsid w:val="002A156F"/>
    <w:rsid w:val="002A1EFF"/>
    <w:rsid w:val="002A3020"/>
    <w:rsid w:val="002A370C"/>
    <w:rsid w:val="002A4A38"/>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9AE"/>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515"/>
    <w:rsid w:val="00301B03"/>
    <w:rsid w:val="00302CAD"/>
    <w:rsid w:val="00304E3C"/>
    <w:rsid w:val="00305350"/>
    <w:rsid w:val="0030561B"/>
    <w:rsid w:val="00306B13"/>
    <w:rsid w:val="00307B38"/>
    <w:rsid w:val="00311452"/>
    <w:rsid w:val="003124D7"/>
    <w:rsid w:val="0031261A"/>
    <w:rsid w:val="00312F20"/>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8B4"/>
    <w:rsid w:val="00327ECC"/>
    <w:rsid w:val="00330C03"/>
    <w:rsid w:val="0033153B"/>
    <w:rsid w:val="0033171F"/>
    <w:rsid w:val="003326F9"/>
    <w:rsid w:val="0033405C"/>
    <w:rsid w:val="00334112"/>
    <w:rsid w:val="0033431E"/>
    <w:rsid w:val="00334D85"/>
    <w:rsid w:val="00335516"/>
    <w:rsid w:val="00335820"/>
    <w:rsid w:val="003369F4"/>
    <w:rsid w:val="00336B97"/>
    <w:rsid w:val="00336E86"/>
    <w:rsid w:val="0033708D"/>
    <w:rsid w:val="00337143"/>
    <w:rsid w:val="00337577"/>
    <w:rsid w:val="00340764"/>
    <w:rsid w:val="00340949"/>
    <w:rsid w:val="00340CA4"/>
    <w:rsid w:val="0034307C"/>
    <w:rsid w:val="00343FA0"/>
    <w:rsid w:val="0034484B"/>
    <w:rsid w:val="00344974"/>
    <w:rsid w:val="00344A6F"/>
    <w:rsid w:val="003458C2"/>
    <w:rsid w:val="00345AA6"/>
    <w:rsid w:val="003460E0"/>
    <w:rsid w:val="0034687E"/>
    <w:rsid w:val="0034723A"/>
    <w:rsid w:val="003478F5"/>
    <w:rsid w:val="0035043E"/>
    <w:rsid w:val="0035070C"/>
    <w:rsid w:val="00350764"/>
    <w:rsid w:val="00350FA2"/>
    <w:rsid w:val="003512DB"/>
    <w:rsid w:val="00351361"/>
    <w:rsid w:val="0035203B"/>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51F"/>
    <w:rsid w:val="00380AD9"/>
    <w:rsid w:val="00380FE4"/>
    <w:rsid w:val="0038233F"/>
    <w:rsid w:val="00382DA9"/>
    <w:rsid w:val="00384E07"/>
    <w:rsid w:val="0038650F"/>
    <w:rsid w:val="00386759"/>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E75"/>
    <w:rsid w:val="003B106A"/>
    <w:rsid w:val="003B1912"/>
    <w:rsid w:val="003B20FC"/>
    <w:rsid w:val="003B2BB2"/>
    <w:rsid w:val="003B35DD"/>
    <w:rsid w:val="003B57FA"/>
    <w:rsid w:val="003B64A4"/>
    <w:rsid w:val="003B6C64"/>
    <w:rsid w:val="003B772A"/>
    <w:rsid w:val="003C070C"/>
    <w:rsid w:val="003C118A"/>
    <w:rsid w:val="003C149A"/>
    <w:rsid w:val="003C1592"/>
    <w:rsid w:val="003C1C0A"/>
    <w:rsid w:val="003C2805"/>
    <w:rsid w:val="003C2912"/>
    <w:rsid w:val="003C33F1"/>
    <w:rsid w:val="003C34D9"/>
    <w:rsid w:val="003C387D"/>
    <w:rsid w:val="003C3CFD"/>
    <w:rsid w:val="003C5643"/>
    <w:rsid w:val="003C5B3B"/>
    <w:rsid w:val="003C5EA7"/>
    <w:rsid w:val="003C63F8"/>
    <w:rsid w:val="003C70B9"/>
    <w:rsid w:val="003D059F"/>
    <w:rsid w:val="003D08E0"/>
    <w:rsid w:val="003D0E4C"/>
    <w:rsid w:val="003D1636"/>
    <w:rsid w:val="003D1C27"/>
    <w:rsid w:val="003D20B0"/>
    <w:rsid w:val="003D21C2"/>
    <w:rsid w:val="003D4085"/>
    <w:rsid w:val="003D4C58"/>
    <w:rsid w:val="003D4EBD"/>
    <w:rsid w:val="003D62F2"/>
    <w:rsid w:val="003D6969"/>
    <w:rsid w:val="003D6BB2"/>
    <w:rsid w:val="003D74CB"/>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4D8D"/>
    <w:rsid w:val="003F55EF"/>
    <w:rsid w:val="003F656C"/>
    <w:rsid w:val="003F6C06"/>
    <w:rsid w:val="003F7881"/>
    <w:rsid w:val="003F7B45"/>
    <w:rsid w:val="00401C4E"/>
    <w:rsid w:val="00402561"/>
    <w:rsid w:val="00402E01"/>
    <w:rsid w:val="00402FCA"/>
    <w:rsid w:val="004031F2"/>
    <w:rsid w:val="004043C4"/>
    <w:rsid w:val="00406473"/>
    <w:rsid w:val="00407167"/>
    <w:rsid w:val="00407455"/>
    <w:rsid w:val="004106D3"/>
    <w:rsid w:val="004117FF"/>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C10"/>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A26"/>
    <w:rsid w:val="00453D51"/>
    <w:rsid w:val="00454096"/>
    <w:rsid w:val="004543C6"/>
    <w:rsid w:val="004555D9"/>
    <w:rsid w:val="00455C12"/>
    <w:rsid w:val="00457BF2"/>
    <w:rsid w:val="004601CF"/>
    <w:rsid w:val="004605F3"/>
    <w:rsid w:val="00460A58"/>
    <w:rsid w:val="004610B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042"/>
    <w:rsid w:val="00471B20"/>
    <w:rsid w:val="00471BC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7BD"/>
    <w:rsid w:val="00482D8F"/>
    <w:rsid w:val="004831CD"/>
    <w:rsid w:val="004835A3"/>
    <w:rsid w:val="00483BCC"/>
    <w:rsid w:val="0048456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49A7"/>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772"/>
    <w:rsid w:val="004C1A5C"/>
    <w:rsid w:val="004C21AE"/>
    <w:rsid w:val="004C220F"/>
    <w:rsid w:val="004C32D7"/>
    <w:rsid w:val="004C3CC8"/>
    <w:rsid w:val="004C5120"/>
    <w:rsid w:val="004C552F"/>
    <w:rsid w:val="004C5D84"/>
    <w:rsid w:val="004C5E8A"/>
    <w:rsid w:val="004C6741"/>
    <w:rsid w:val="004C6B33"/>
    <w:rsid w:val="004C7211"/>
    <w:rsid w:val="004D02D4"/>
    <w:rsid w:val="004D0A73"/>
    <w:rsid w:val="004D0F12"/>
    <w:rsid w:val="004D1887"/>
    <w:rsid w:val="004D1C56"/>
    <w:rsid w:val="004D25DD"/>
    <w:rsid w:val="004D316D"/>
    <w:rsid w:val="004D5B09"/>
    <w:rsid w:val="004D6814"/>
    <w:rsid w:val="004D6CCA"/>
    <w:rsid w:val="004D6EA2"/>
    <w:rsid w:val="004D6F52"/>
    <w:rsid w:val="004E2042"/>
    <w:rsid w:val="004E2136"/>
    <w:rsid w:val="004E3331"/>
    <w:rsid w:val="004E3A84"/>
    <w:rsid w:val="004E45F3"/>
    <w:rsid w:val="004E53AA"/>
    <w:rsid w:val="004E5C42"/>
    <w:rsid w:val="004E5F4C"/>
    <w:rsid w:val="004E6B92"/>
    <w:rsid w:val="004E78FB"/>
    <w:rsid w:val="004E7EEE"/>
    <w:rsid w:val="004F0A4F"/>
    <w:rsid w:val="004F17EA"/>
    <w:rsid w:val="004F2B13"/>
    <w:rsid w:val="004F5231"/>
    <w:rsid w:val="004F5651"/>
    <w:rsid w:val="004F5B8D"/>
    <w:rsid w:val="004F6727"/>
    <w:rsid w:val="004F713D"/>
    <w:rsid w:val="00500C25"/>
    <w:rsid w:val="00501464"/>
    <w:rsid w:val="00501721"/>
    <w:rsid w:val="0050174D"/>
    <w:rsid w:val="005019D3"/>
    <w:rsid w:val="00501D8C"/>
    <w:rsid w:val="00502F1F"/>
    <w:rsid w:val="00502F7D"/>
    <w:rsid w:val="00503E34"/>
    <w:rsid w:val="00503E8D"/>
    <w:rsid w:val="00505141"/>
    <w:rsid w:val="005056E2"/>
    <w:rsid w:val="00505E2A"/>
    <w:rsid w:val="00505E2B"/>
    <w:rsid w:val="00507072"/>
    <w:rsid w:val="0051031F"/>
    <w:rsid w:val="00510420"/>
    <w:rsid w:val="00510682"/>
    <w:rsid w:val="005115AC"/>
    <w:rsid w:val="005119A5"/>
    <w:rsid w:val="00512837"/>
    <w:rsid w:val="00512A5D"/>
    <w:rsid w:val="00513108"/>
    <w:rsid w:val="00513A8A"/>
    <w:rsid w:val="00513CBD"/>
    <w:rsid w:val="005140D1"/>
    <w:rsid w:val="0051453B"/>
    <w:rsid w:val="00514E5B"/>
    <w:rsid w:val="005154EA"/>
    <w:rsid w:val="00515BD8"/>
    <w:rsid w:val="0051633D"/>
    <w:rsid w:val="00516D5F"/>
    <w:rsid w:val="0051714F"/>
    <w:rsid w:val="00517B82"/>
    <w:rsid w:val="00517DDA"/>
    <w:rsid w:val="00520249"/>
    <w:rsid w:val="00520E72"/>
    <w:rsid w:val="00521EC5"/>
    <w:rsid w:val="00522645"/>
    <w:rsid w:val="00523461"/>
    <w:rsid w:val="00523C26"/>
    <w:rsid w:val="0052465C"/>
    <w:rsid w:val="00525408"/>
    <w:rsid w:val="00526E4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E6C"/>
    <w:rsid w:val="005432A8"/>
    <w:rsid w:val="00543705"/>
    <w:rsid w:val="005437BF"/>
    <w:rsid w:val="00544353"/>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272C"/>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703"/>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4B3F"/>
    <w:rsid w:val="005A56B8"/>
    <w:rsid w:val="005A5F34"/>
    <w:rsid w:val="005A79BC"/>
    <w:rsid w:val="005B088E"/>
    <w:rsid w:val="005B36B2"/>
    <w:rsid w:val="005B3CD0"/>
    <w:rsid w:val="005B454B"/>
    <w:rsid w:val="005B46E6"/>
    <w:rsid w:val="005B5B65"/>
    <w:rsid w:val="005B72AF"/>
    <w:rsid w:val="005B794A"/>
    <w:rsid w:val="005B7A51"/>
    <w:rsid w:val="005C21D6"/>
    <w:rsid w:val="005C2FBE"/>
    <w:rsid w:val="005C30B8"/>
    <w:rsid w:val="005C3149"/>
    <w:rsid w:val="005C33E5"/>
    <w:rsid w:val="005C358E"/>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3DC"/>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3138"/>
    <w:rsid w:val="0066402D"/>
    <w:rsid w:val="006644E2"/>
    <w:rsid w:val="006648CC"/>
    <w:rsid w:val="00664B6B"/>
    <w:rsid w:val="00665A4C"/>
    <w:rsid w:val="00666401"/>
    <w:rsid w:val="00666EAD"/>
    <w:rsid w:val="00667028"/>
    <w:rsid w:val="0066791A"/>
    <w:rsid w:val="00670BC8"/>
    <w:rsid w:val="00670F26"/>
    <w:rsid w:val="00671476"/>
    <w:rsid w:val="006717A4"/>
    <w:rsid w:val="00671BE3"/>
    <w:rsid w:val="00673024"/>
    <w:rsid w:val="00673C67"/>
    <w:rsid w:val="00673EA2"/>
    <w:rsid w:val="00675EDF"/>
    <w:rsid w:val="00676469"/>
    <w:rsid w:val="00677DAD"/>
    <w:rsid w:val="00682BD8"/>
    <w:rsid w:val="00682CAB"/>
    <w:rsid w:val="00682E11"/>
    <w:rsid w:val="00683184"/>
    <w:rsid w:val="006838F8"/>
    <w:rsid w:val="00684C40"/>
    <w:rsid w:val="00685075"/>
    <w:rsid w:val="00686880"/>
    <w:rsid w:val="00686DC4"/>
    <w:rsid w:val="00686DF4"/>
    <w:rsid w:val="00686E1F"/>
    <w:rsid w:val="006871C2"/>
    <w:rsid w:val="006873B2"/>
    <w:rsid w:val="00690249"/>
    <w:rsid w:val="00690B2B"/>
    <w:rsid w:val="00691DC6"/>
    <w:rsid w:val="00691E4B"/>
    <w:rsid w:val="00692960"/>
    <w:rsid w:val="0069341C"/>
    <w:rsid w:val="00693CD8"/>
    <w:rsid w:val="0069401E"/>
    <w:rsid w:val="00694182"/>
    <w:rsid w:val="00694229"/>
    <w:rsid w:val="0069579A"/>
    <w:rsid w:val="0069619F"/>
    <w:rsid w:val="00696CDC"/>
    <w:rsid w:val="006974AC"/>
    <w:rsid w:val="006A0374"/>
    <w:rsid w:val="006A0B39"/>
    <w:rsid w:val="006A1894"/>
    <w:rsid w:val="006A2201"/>
    <w:rsid w:val="006A2C9A"/>
    <w:rsid w:val="006A47CE"/>
    <w:rsid w:val="006A4F63"/>
    <w:rsid w:val="006A56B2"/>
    <w:rsid w:val="006A5DD7"/>
    <w:rsid w:val="006A6C76"/>
    <w:rsid w:val="006B0CC4"/>
    <w:rsid w:val="006B2543"/>
    <w:rsid w:val="006B330B"/>
    <w:rsid w:val="006B3F31"/>
    <w:rsid w:val="006B48A1"/>
    <w:rsid w:val="006B4E0A"/>
    <w:rsid w:val="006B5235"/>
    <w:rsid w:val="006B5252"/>
    <w:rsid w:val="006B5336"/>
    <w:rsid w:val="006B6443"/>
    <w:rsid w:val="006B6AA1"/>
    <w:rsid w:val="006B7021"/>
    <w:rsid w:val="006B73D9"/>
    <w:rsid w:val="006B74F6"/>
    <w:rsid w:val="006B7DCF"/>
    <w:rsid w:val="006C1431"/>
    <w:rsid w:val="006C284B"/>
    <w:rsid w:val="006C3306"/>
    <w:rsid w:val="006C4835"/>
    <w:rsid w:val="006C64B7"/>
    <w:rsid w:val="006C65ED"/>
    <w:rsid w:val="006C66CF"/>
    <w:rsid w:val="006C6A1F"/>
    <w:rsid w:val="006C74F5"/>
    <w:rsid w:val="006C7F0F"/>
    <w:rsid w:val="006D0A7B"/>
    <w:rsid w:val="006D0E88"/>
    <w:rsid w:val="006D0F84"/>
    <w:rsid w:val="006D1CE6"/>
    <w:rsid w:val="006D2BC4"/>
    <w:rsid w:val="006D2E57"/>
    <w:rsid w:val="006D343D"/>
    <w:rsid w:val="006D5CFC"/>
    <w:rsid w:val="006D5D2C"/>
    <w:rsid w:val="006D6125"/>
    <w:rsid w:val="006D61AA"/>
    <w:rsid w:val="006D632B"/>
    <w:rsid w:val="006D694C"/>
    <w:rsid w:val="006D699D"/>
    <w:rsid w:val="006D6CB5"/>
    <w:rsid w:val="006D6F6F"/>
    <w:rsid w:val="006D6FE4"/>
    <w:rsid w:val="006E08BD"/>
    <w:rsid w:val="006E11CC"/>
    <w:rsid w:val="006E2059"/>
    <w:rsid w:val="006E2671"/>
    <w:rsid w:val="006E3325"/>
    <w:rsid w:val="006E42D0"/>
    <w:rsid w:val="006E53D5"/>
    <w:rsid w:val="006E68BB"/>
    <w:rsid w:val="006E7B6E"/>
    <w:rsid w:val="006F075E"/>
    <w:rsid w:val="006F0D3A"/>
    <w:rsid w:val="006F1444"/>
    <w:rsid w:val="006F1CE2"/>
    <w:rsid w:val="006F32D4"/>
    <w:rsid w:val="006F3352"/>
    <w:rsid w:val="006F38F4"/>
    <w:rsid w:val="006F49BF"/>
    <w:rsid w:val="006F55D6"/>
    <w:rsid w:val="006F568D"/>
    <w:rsid w:val="006F75D3"/>
    <w:rsid w:val="006F7BAB"/>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4F9A"/>
    <w:rsid w:val="0072606B"/>
    <w:rsid w:val="007261CC"/>
    <w:rsid w:val="00726C85"/>
    <w:rsid w:val="00727F5A"/>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680"/>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175"/>
    <w:rsid w:val="007B346B"/>
    <w:rsid w:val="007B37C6"/>
    <w:rsid w:val="007B3C50"/>
    <w:rsid w:val="007B3F5C"/>
    <w:rsid w:val="007B4156"/>
    <w:rsid w:val="007B4D8A"/>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4CA3"/>
    <w:rsid w:val="007D5C98"/>
    <w:rsid w:val="007D5D17"/>
    <w:rsid w:val="007D5D6D"/>
    <w:rsid w:val="007D646E"/>
    <w:rsid w:val="007D69C5"/>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3781"/>
    <w:rsid w:val="00844060"/>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57228"/>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3F3"/>
    <w:rsid w:val="008869DA"/>
    <w:rsid w:val="00886B86"/>
    <w:rsid w:val="008873EE"/>
    <w:rsid w:val="008875B1"/>
    <w:rsid w:val="0088779D"/>
    <w:rsid w:val="00887933"/>
    <w:rsid w:val="00887EBA"/>
    <w:rsid w:val="00892031"/>
    <w:rsid w:val="008928D2"/>
    <w:rsid w:val="00893DBE"/>
    <w:rsid w:val="008959DE"/>
    <w:rsid w:val="00895C4A"/>
    <w:rsid w:val="00896788"/>
    <w:rsid w:val="008A0673"/>
    <w:rsid w:val="008A2249"/>
    <w:rsid w:val="008A2999"/>
    <w:rsid w:val="008A3A89"/>
    <w:rsid w:val="008A61FB"/>
    <w:rsid w:val="008A71A3"/>
    <w:rsid w:val="008A7277"/>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C6FE3"/>
    <w:rsid w:val="008D0116"/>
    <w:rsid w:val="008D0305"/>
    <w:rsid w:val="008D0711"/>
    <w:rsid w:val="008D0939"/>
    <w:rsid w:val="008D1568"/>
    <w:rsid w:val="008D1CB8"/>
    <w:rsid w:val="008D293D"/>
    <w:rsid w:val="008D322D"/>
    <w:rsid w:val="008D325B"/>
    <w:rsid w:val="008D3551"/>
    <w:rsid w:val="008D398E"/>
    <w:rsid w:val="008D3F85"/>
    <w:rsid w:val="008D44F2"/>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5E4D"/>
    <w:rsid w:val="008E6114"/>
    <w:rsid w:val="008E6333"/>
    <w:rsid w:val="008E71C8"/>
    <w:rsid w:val="008E785D"/>
    <w:rsid w:val="008E7D6E"/>
    <w:rsid w:val="008F013E"/>
    <w:rsid w:val="008F0BC8"/>
    <w:rsid w:val="008F1133"/>
    <w:rsid w:val="008F2A8B"/>
    <w:rsid w:val="008F3C58"/>
    <w:rsid w:val="008F3F08"/>
    <w:rsid w:val="008F4F90"/>
    <w:rsid w:val="008F5BA0"/>
    <w:rsid w:val="008F65AD"/>
    <w:rsid w:val="008F6EAB"/>
    <w:rsid w:val="008F70E9"/>
    <w:rsid w:val="008F7562"/>
    <w:rsid w:val="008F7F80"/>
    <w:rsid w:val="009004E7"/>
    <w:rsid w:val="00901575"/>
    <w:rsid w:val="009017EF"/>
    <w:rsid w:val="00901855"/>
    <w:rsid w:val="00901CC7"/>
    <w:rsid w:val="00902281"/>
    <w:rsid w:val="0090234D"/>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49E3"/>
    <w:rsid w:val="00915394"/>
    <w:rsid w:val="00916F77"/>
    <w:rsid w:val="00917086"/>
    <w:rsid w:val="00917315"/>
    <w:rsid w:val="00917B4F"/>
    <w:rsid w:val="00920C14"/>
    <w:rsid w:val="009213E9"/>
    <w:rsid w:val="00921D6C"/>
    <w:rsid w:val="00923085"/>
    <w:rsid w:val="009237F5"/>
    <w:rsid w:val="00923B82"/>
    <w:rsid w:val="00923CB8"/>
    <w:rsid w:val="00924021"/>
    <w:rsid w:val="00924908"/>
    <w:rsid w:val="009250A3"/>
    <w:rsid w:val="00925CBC"/>
    <w:rsid w:val="00926CEA"/>
    <w:rsid w:val="00927662"/>
    <w:rsid w:val="00931AE4"/>
    <w:rsid w:val="00932E39"/>
    <w:rsid w:val="00932F38"/>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3ED7"/>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4CFF"/>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0DA3"/>
    <w:rsid w:val="009B11E5"/>
    <w:rsid w:val="009B1DED"/>
    <w:rsid w:val="009B2214"/>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4106"/>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5F48"/>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F05"/>
    <w:rsid w:val="00A33555"/>
    <w:rsid w:val="00A34321"/>
    <w:rsid w:val="00A364BD"/>
    <w:rsid w:val="00A36778"/>
    <w:rsid w:val="00A37543"/>
    <w:rsid w:val="00A37816"/>
    <w:rsid w:val="00A40004"/>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68B"/>
    <w:rsid w:val="00A628B2"/>
    <w:rsid w:val="00A62F41"/>
    <w:rsid w:val="00A63DEE"/>
    <w:rsid w:val="00A64475"/>
    <w:rsid w:val="00A64C1E"/>
    <w:rsid w:val="00A64C83"/>
    <w:rsid w:val="00A64C85"/>
    <w:rsid w:val="00A65073"/>
    <w:rsid w:val="00A65299"/>
    <w:rsid w:val="00A6639A"/>
    <w:rsid w:val="00A673E7"/>
    <w:rsid w:val="00A675AC"/>
    <w:rsid w:val="00A678B3"/>
    <w:rsid w:val="00A70150"/>
    <w:rsid w:val="00A70577"/>
    <w:rsid w:val="00A71394"/>
    <w:rsid w:val="00A717D8"/>
    <w:rsid w:val="00A7181B"/>
    <w:rsid w:val="00A71FA6"/>
    <w:rsid w:val="00A72565"/>
    <w:rsid w:val="00A73F2B"/>
    <w:rsid w:val="00A74948"/>
    <w:rsid w:val="00A7663F"/>
    <w:rsid w:val="00A7675C"/>
    <w:rsid w:val="00A7700C"/>
    <w:rsid w:val="00A77470"/>
    <w:rsid w:val="00A77EB0"/>
    <w:rsid w:val="00A80328"/>
    <w:rsid w:val="00A8066D"/>
    <w:rsid w:val="00A807B4"/>
    <w:rsid w:val="00A80810"/>
    <w:rsid w:val="00A80E92"/>
    <w:rsid w:val="00A812F1"/>
    <w:rsid w:val="00A813EB"/>
    <w:rsid w:val="00A820FA"/>
    <w:rsid w:val="00A8286E"/>
    <w:rsid w:val="00A8383A"/>
    <w:rsid w:val="00A83A6F"/>
    <w:rsid w:val="00A83BA2"/>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2FD4"/>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514C"/>
    <w:rsid w:val="00AD5A7F"/>
    <w:rsid w:val="00AD6274"/>
    <w:rsid w:val="00AD678E"/>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0BA0"/>
    <w:rsid w:val="00B10F4E"/>
    <w:rsid w:val="00B12A5F"/>
    <w:rsid w:val="00B12BFB"/>
    <w:rsid w:val="00B12E02"/>
    <w:rsid w:val="00B1313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658"/>
    <w:rsid w:val="00B35A79"/>
    <w:rsid w:val="00B36797"/>
    <w:rsid w:val="00B36A9C"/>
    <w:rsid w:val="00B37178"/>
    <w:rsid w:val="00B3796F"/>
    <w:rsid w:val="00B37EB7"/>
    <w:rsid w:val="00B40383"/>
    <w:rsid w:val="00B40674"/>
    <w:rsid w:val="00B406B0"/>
    <w:rsid w:val="00B41D8A"/>
    <w:rsid w:val="00B4252A"/>
    <w:rsid w:val="00B43039"/>
    <w:rsid w:val="00B4410A"/>
    <w:rsid w:val="00B444CB"/>
    <w:rsid w:val="00B44606"/>
    <w:rsid w:val="00B44971"/>
    <w:rsid w:val="00B45900"/>
    <w:rsid w:val="00B461A1"/>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32FE"/>
    <w:rsid w:val="00B638BB"/>
    <w:rsid w:val="00B64139"/>
    <w:rsid w:val="00B642E5"/>
    <w:rsid w:val="00B64760"/>
    <w:rsid w:val="00B64ABA"/>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5BDC"/>
    <w:rsid w:val="00B86389"/>
    <w:rsid w:val="00B8660C"/>
    <w:rsid w:val="00B868E6"/>
    <w:rsid w:val="00B86A32"/>
    <w:rsid w:val="00B87008"/>
    <w:rsid w:val="00B8701C"/>
    <w:rsid w:val="00B87582"/>
    <w:rsid w:val="00B87CA7"/>
    <w:rsid w:val="00B87D61"/>
    <w:rsid w:val="00B90DE7"/>
    <w:rsid w:val="00B914D7"/>
    <w:rsid w:val="00B94BB2"/>
    <w:rsid w:val="00B94E16"/>
    <w:rsid w:val="00B966D3"/>
    <w:rsid w:val="00B969DF"/>
    <w:rsid w:val="00B9727B"/>
    <w:rsid w:val="00B9735F"/>
    <w:rsid w:val="00B975FD"/>
    <w:rsid w:val="00B97B54"/>
    <w:rsid w:val="00BA0732"/>
    <w:rsid w:val="00BA1243"/>
    <w:rsid w:val="00BA12B8"/>
    <w:rsid w:val="00BA1AE1"/>
    <w:rsid w:val="00BA1CA4"/>
    <w:rsid w:val="00BA20D6"/>
    <w:rsid w:val="00BA3260"/>
    <w:rsid w:val="00BA3B15"/>
    <w:rsid w:val="00BA4232"/>
    <w:rsid w:val="00BA4298"/>
    <w:rsid w:val="00BA4D0D"/>
    <w:rsid w:val="00BA60F5"/>
    <w:rsid w:val="00BA6DA0"/>
    <w:rsid w:val="00BA6E7A"/>
    <w:rsid w:val="00BA7D3C"/>
    <w:rsid w:val="00BB01D8"/>
    <w:rsid w:val="00BB041C"/>
    <w:rsid w:val="00BB3028"/>
    <w:rsid w:val="00BB33BA"/>
    <w:rsid w:val="00BB3720"/>
    <w:rsid w:val="00BB376A"/>
    <w:rsid w:val="00BB4058"/>
    <w:rsid w:val="00BB4328"/>
    <w:rsid w:val="00BB438B"/>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639"/>
    <w:rsid w:val="00BE0F19"/>
    <w:rsid w:val="00BE1A23"/>
    <w:rsid w:val="00BE1B18"/>
    <w:rsid w:val="00BE1B7B"/>
    <w:rsid w:val="00BE478D"/>
    <w:rsid w:val="00BE47C1"/>
    <w:rsid w:val="00BE4F23"/>
    <w:rsid w:val="00BE56CD"/>
    <w:rsid w:val="00BE5DC4"/>
    <w:rsid w:val="00BE6070"/>
    <w:rsid w:val="00BE658A"/>
    <w:rsid w:val="00BE6A19"/>
    <w:rsid w:val="00BE7138"/>
    <w:rsid w:val="00BE7FB6"/>
    <w:rsid w:val="00BF08B4"/>
    <w:rsid w:val="00BF1EE5"/>
    <w:rsid w:val="00BF215A"/>
    <w:rsid w:val="00BF2BC1"/>
    <w:rsid w:val="00BF32EA"/>
    <w:rsid w:val="00BF3452"/>
    <w:rsid w:val="00BF368A"/>
    <w:rsid w:val="00BF4704"/>
    <w:rsid w:val="00BF4726"/>
    <w:rsid w:val="00BF50E6"/>
    <w:rsid w:val="00BF6633"/>
    <w:rsid w:val="00C00C4B"/>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0C2B"/>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275E7"/>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4C2"/>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7BD"/>
    <w:rsid w:val="00C74FE1"/>
    <w:rsid w:val="00C75F5A"/>
    <w:rsid w:val="00C76D17"/>
    <w:rsid w:val="00C801BE"/>
    <w:rsid w:val="00C805FB"/>
    <w:rsid w:val="00C8141B"/>
    <w:rsid w:val="00C81B25"/>
    <w:rsid w:val="00C827F5"/>
    <w:rsid w:val="00C832C5"/>
    <w:rsid w:val="00C842A3"/>
    <w:rsid w:val="00C845F0"/>
    <w:rsid w:val="00C84CD8"/>
    <w:rsid w:val="00C86568"/>
    <w:rsid w:val="00C866D4"/>
    <w:rsid w:val="00C86C85"/>
    <w:rsid w:val="00C903EF"/>
    <w:rsid w:val="00C91038"/>
    <w:rsid w:val="00C91BD0"/>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5CA"/>
    <w:rsid w:val="00CA7F58"/>
    <w:rsid w:val="00CB001A"/>
    <w:rsid w:val="00CB1D4F"/>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0D"/>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536"/>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B28"/>
    <w:rsid w:val="00D05C27"/>
    <w:rsid w:val="00D0680D"/>
    <w:rsid w:val="00D06CB7"/>
    <w:rsid w:val="00D07E8D"/>
    <w:rsid w:val="00D1038D"/>
    <w:rsid w:val="00D10FE3"/>
    <w:rsid w:val="00D11129"/>
    <w:rsid w:val="00D119CD"/>
    <w:rsid w:val="00D11E05"/>
    <w:rsid w:val="00D13374"/>
    <w:rsid w:val="00D14E77"/>
    <w:rsid w:val="00D1501B"/>
    <w:rsid w:val="00D1584B"/>
    <w:rsid w:val="00D15A42"/>
    <w:rsid w:val="00D175A8"/>
    <w:rsid w:val="00D17E70"/>
    <w:rsid w:val="00D2093E"/>
    <w:rsid w:val="00D209F2"/>
    <w:rsid w:val="00D20C67"/>
    <w:rsid w:val="00D21755"/>
    <w:rsid w:val="00D21850"/>
    <w:rsid w:val="00D21A83"/>
    <w:rsid w:val="00D21A84"/>
    <w:rsid w:val="00D21C65"/>
    <w:rsid w:val="00D22364"/>
    <w:rsid w:val="00D2320B"/>
    <w:rsid w:val="00D233F8"/>
    <w:rsid w:val="00D2344E"/>
    <w:rsid w:val="00D26074"/>
    <w:rsid w:val="00D26118"/>
    <w:rsid w:val="00D26409"/>
    <w:rsid w:val="00D303C4"/>
    <w:rsid w:val="00D31B0B"/>
    <w:rsid w:val="00D3200E"/>
    <w:rsid w:val="00D320AA"/>
    <w:rsid w:val="00D32682"/>
    <w:rsid w:val="00D34C01"/>
    <w:rsid w:val="00D34D6F"/>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5B58"/>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87828"/>
    <w:rsid w:val="00D90B8F"/>
    <w:rsid w:val="00D91F48"/>
    <w:rsid w:val="00D920A0"/>
    <w:rsid w:val="00D92950"/>
    <w:rsid w:val="00D939A8"/>
    <w:rsid w:val="00D93C6A"/>
    <w:rsid w:val="00D94020"/>
    <w:rsid w:val="00D947F1"/>
    <w:rsid w:val="00D94FEA"/>
    <w:rsid w:val="00D95DA8"/>
    <w:rsid w:val="00D95FD3"/>
    <w:rsid w:val="00D96452"/>
    <w:rsid w:val="00DA070C"/>
    <w:rsid w:val="00DA167C"/>
    <w:rsid w:val="00DA1874"/>
    <w:rsid w:val="00DA2587"/>
    <w:rsid w:val="00DA25C1"/>
    <w:rsid w:val="00DA25EA"/>
    <w:rsid w:val="00DA3892"/>
    <w:rsid w:val="00DA42E4"/>
    <w:rsid w:val="00DA481C"/>
    <w:rsid w:val="00DA4820"/>
    <w:rsid w:val="00DA49DD"/>
    <w:rsid w:val="00DA5154"/>
    <w:rsid w:val="00DA52CE"/>
    <w:rsid w:val="00DA6344"/>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52F"/>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BE9"/>
    <w:rsid w:val="00DF2DA5"/>
    <w:rsid w:val="00DF2DB1"/>
    <w:rsid w:val="00DF4921"/>
    <w:rsid w:val="00DF5248"/>
    <w:rsid w:val="00DF5672"/>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447"/>
    <w:rsid w:val="00E1074B"/>
    <w:rsid w:val="00E10A2A"/>
    <w:rsid w:val="00E11666"/>
    <w:rsid w:val="00E11B51"/>
    <w:rsid w:val="00E11F62"/>
    <w:rsid w:val="00E1226D"/>
    <w:rsid w:val="00E122D8"/>
    <w:rsid w:val="00E12531"/>
    <w:rsid w:val="00E12B82"/>
    <w:rsid w:val="00E13896"/>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0553"/>
    <w:rsid w:val="00E40C9F"/>
    <w:rsid w:val="00E40E22"/>
    <w:rsid w:val="00E42360"/>
    <w:rsid w:val="00E43A93"/>
    <w:rsid w:val="00E43C9C"/>
    <w:rsid w:val="00E4499A"/>
    <w:rsid w:val="00E457BA"/>
    <w:rsid w:val="00E46019"/>
    <w:rsid w:val="00E4628F"/>
    <w:rsid w:val="00E462F3"/>
    <w:rsid w:val="00E50FDE"/>
    <w:rsid w:val="00E510C1"/>
    <w:rsid w:val="00E534A1"/>
    <w:rsid w:val="00E53578"/>
    <w:rsid w:val="00E56055"/>
    <w:rsid w:val="00E569C9"/>
    <w:rsid w:val="00E60095"/>
    <w:rsid w:val="00E61050"/>
    <w:rsid w:val="00E626F0"/>
    <w:rsid w:val="00E6294B"/>
    <w:rsid w:val="00E64BD0"/>
    <w:rsid w:val="00E65713"/>
    <w:rsid w:val="00E65E8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650"/>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33F"/>
    <w:rsid w:val="00EB6430"/>
    <w:rsid w:val="00EB6A92"/>
    <w:rsid w:val="00EB738B"/>
    <w:rsid w:val="00EB73DE"/>
    <w:rsid w:val="00EC01A5"/>
    <w:rsid w:val="00EC23B9"/>
    <w:rsid w:val="00EC2838"/>
    <w:rsid w:val="00EC2E2A"/>
    <w:rsid w:val="00EC34EF"/>
    <w:rsid w:val="00EC36DF"/>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34C"/>
    <w:rsid w:val="00EF7601"/>
    <w:rsid w:val="00EF766C"/>
    <w:rsid w:val="00F0070F"/>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4931"/>
    <w:rsid w:val="00F15052"/>
    <w:rsid w:val="00F154EC"/>
    <w:rsid w:val="00F155A3"/>
    <w:rsid w:val="00F15DD4"/>
    <w:rsid w:val="00F1627B"/>
    <w:rsid w:val="00F16DF2"/>
    <w:rsid w:val="00F20DCE"/>
    <w:rsid w:val="00F20FCF"/>
    <w:rsid w:val="00F216DF"/>
    <w:rsid w:val="00F21AFC"/>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5B50"/>
    <w:rsid w:val="00F40C4C"/>
    <w:rsid w:val="00F4117B"/>
    <w:rsid w:val="00F41DDE"/>
    <w:rsid w:val="00F41EFE"/>
    <w:rsid w:val="00F439FF"/>
    <w:rsid w:val="00F45D5E"/>
    <w:rsid w:val="00F461A0"/>
    <w:rsid w:val="00F4716A"/>
    <w:rsid w:val="00F4735D"/>
    <w:rsid w:val="00F50954"/>
    <w:rsid w:val="00F5133A"/>
    <w:rsid w:val="00F5174D"/>
    <w:rsid w:val="00F51A1D"/>
    <w:rsid w:val="00F5226B"/>
    <w:rsid w:val="00F5246D"/>
    <w:rsid w:val="00F52CFA"/>
    <w:rsid w:val="00F540A4"/>
    <w:rsid w:val="00F5432D"/>
    <w:rsid w:val="00F54860"/>
    <w:rsid w:val="00F54F35"/>
    <w:rsid w:val="00F551D9"/>
    <w:rsid w:val="00F55F02"/>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3F84"/>
    <w:rsid w:val="00F84BF3"/>
    <w:rsid w:val="00F85A39"/>
    <w:rsid w:val="00F86BBC"/>
    <w:rsid w:val="00F87834"/>
    <w:rsid w:val="00F90AED"/>
    <w:rsid w:val="00F90B61"/>
    <w:rsid w:val="00F9231D"/>
    <w:rsid w:val="00F924BA"/>
    <w:rsid w:val="00F926AF"/>
    <w:rsid w:val="00F9290D"/>
    <w:rsid w:val="00F93201"/>
    <w:rsid w:val="00F9469A"/>
    <w:rsid w:val="00F95C4B"/>
    <w:rsid w:val="00F95D4F"/>
    <w:rsid w:val="00F961CB"/>
    <w:rsid w:val="00FA0B6A"/>
    <w:rsid w:val="00FA1099"/>
    <w:rsid w:val="00FA14EB"/>
    <w:rsid w:val="00FA1C17"/>
    <w:rsid w:val="00FA357F"/>
    <w:rsid w:val="00FA3B6B"/>
    <w:rsid w:val="00FA4DBE"/>
    <w:rsid w:val="00FA5B05"/>
    <w:rsid w:val="00FA5FB9"/>
    <w:rsid w:val="00FA67FE"/>
    <w:rsid w:val="00FA7249"/>
    <w:rsid w:val="00FA76A1"/>
    <w:rsid w:val="00FA7CDC"/>
    <w:rsid w:val="00FA7D88"/>
    <w:rsid w:val="00FA7FA4"/>
    <w:rsid w:val="00FB0733"/>
    <w:rsid w:val="00FB0C91"/>
    <w:rsid w:val="00FB152A"/>
    <w:rsid w:val="00FB18AE"/>
    <w:rsid w:val="00FB2986"/>
    <w:rsid w:val="00FB41B8"/>
    <w:rsid w:val="00FB5723"/>
    <w:rsid w:val="00FB5805"/>
    <w:rsid w:val="00FB5D11"/>
    <w:rsid w:val="00FB72FE"/>
    <w:rsid w:val="00FB749C"/>
    <w:rsid w:val="00FB7889"/>
    <w:rsid w:val="00FB7BBD"/>
    <w:rsid w:val="00FC037C"/>
    <w:rsid w:val="00FC2019"/>
    <w:rsid w:val="00FC24F4"/>
    <w:rsid w:val="00FC26D4"/>
    <w:rsid w:val="00FC27DD"/>
    <w:rsid w:val="00FC2C8B"/>
    <w:rsid w:val="00FC2DE4"/>
    <w:rsid w:val="00FC2F54"/>
    <w:rsid w:val="00FC42FA"/>
    <w:rsid w:val="00FC4377"/>
    <w:rsid w:val="00FC65AC"/>
    <w:rsid w:val="00FC6FE9"/>
    <w:rsid w:val="00FC7E2A"/>
    <w:rsid w:val="00FD2249"/>
    <w:rsid w:val="00FD2A18"/>
    <w:rsid w:val="00FD2B68"/>
    <w:rsid w:val="00FD2ED5"/>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sid w:val="009061A0"/>
    <w:rPr>
      <w:rFonts w:ascii="Times New Roman" w:hAnsi="Times New Roman"/>
      <w:dstrike w:val="0"/>
      <w:color w:val="auto"/>
      <w:sz w:val="22"/>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4"/>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ALTS FOOTNOTE Char2,Footnote Text Char Char Char1,Footnote Text Char1 Char Char Char2,Footnote Text Char1 Char1 Char1,Footnote Text Char1 Char2,Footnote Text Char2 Char Char Char1,Footnote Text Char2 Char1,fn Char1"/>
    <w:link w:val="FootnoteText"/>
    <w:semiHidden/>
    <w:rsid w:val="00452F06"/>
    <w:rPr>
      <w:lang w:val="en-US" w:eastAsia="en-US" w:bidi="ar-SA"/>
    </w:rPr>
  </w:style>
  <w:style w:type="character" w:customStyle="1" w:styleId="FootnoteTextChar3">
    <w:name w:val="Footnote Text Char3"/>
    <w:aliases w:val="ALTS FOOTNOTE Char1,Footnote Text Char Char Char,Footnote Text Char Char2,Footnote Text Char1 Char,Footnote Text Char1 Char Char Char1,Footnote Text Char1 Char1 Char,Footnote Text Char2 Char,Footnote Text Char2 Char Char Char,fn Char"/>
    <w:rsid w:val="00EB0B8C"/>
    <w:rPr>
      <w:lang w:val="en-US" w:eastAsia="en-US" w:bidi="ar-SA"/>
    </w:rPr>
  </w:style>
  <w:style w:type="character" w:customStyle="1" w:styleId="FootnoteTextChar3Char">
    <w:name w:val="Footnote Text Char3 Char"/>
    <w:aliases w:val="ALTS FOOTNOTE Char1 Char,Footnote Text Char Char Char Char,Footnote Text Char1 Char Char Char1 Char,Footnote Text Char1 Char1 Char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num" w:pos="900"/>
        <w:tab w:val="clear" w:pos="1170"/>
      </w:tabs>
      <w:ind w:left="-180"/>
    </w:pPr>
  </w:style>
  <w:style w:type="paragraph" w:customStyle="1" w:styleId="ParaNum0">
    <w:name w:val="ParaNum"/>
    <w:basedOn w:val="Normal"/>
    <w:link w:val="ParaNumChar"/>
    <w:qFormat/>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locked/>
    <w:rsid w:val="001B01A9"/>
    <w:rPr>
      <w:snapToGrid w:val="0"/>
      <w:kern w:val="28"/>
      <w:sz w:val="22"/>
    </w:rPr>
  </w:style>
  <w:style w:type="character" w:customStyle="1" w:styleId="UnresolvedMention1">
    <w:name w:val="Unresolved Mention1"/>
    <w:basedOn w:val="DefaultParagraphFont"/>
    <w:uiPriority w:val="99"/>
    <w:semiHidden/>
    <w:unhideWhenUsed/>
    <w:rsid w:val="00EC34EF"/>
    <w:rPr>
      <w:color w:val="808080"/>
      <w:shd w:val="clear" w:color="auto" w:fill="E6E6E6"/>
    </w:rPr>
  </w:style>
  <w:style w:type="table" w:styleId="TableGrid">
    <w:name w:val="Table Grid"/>
    <w:basedOn w:val="TableNormal"/>
    <w:rsid w:val="009B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AF179-DAD2-4111-BA42-199D3B249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10834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2018-01-11T15:06:50Z</dcterms:created>
  <dcterms:modified xsi:type="dcterms:W3CDTF">2018-01-11T15:06:50Z</dcterms:modified>
</cp:coreProperties>
</file>