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E37DE">
      <w:pPr>
        <w:widowControl/>
        <w:jc w:val="center"/>
        <w:rPr>
          <w:b/>
        </w:rPr>
      </w:pPr>
      <w:bookmarkStart w:id="0" w:name="_GoBack"/>
      <w:bookmarkEnd w:id="0"/>
      <w:r>
        <w:rPr>
          <w:b/>
        </w:rPr>
        <w:t>Before the</w:t>
      </w:r>
    </w:p>
    <w:p w:rsidR="002E37DE">
      <w:pPr>
        <w:widowControl/>
        <w:jc w:val="center"/>
        <w:rPr>
          <w:b/>
        </w:rPr>
      </w:pPr>
      <w:r>
        <w:rPr>
          <w:b/>
        </w:rPr>
        <w:t>Federal Communications Commission</w:t>
      </w:r>
    </w:p>
    <w:p w:rsidR="002E37DE">
      <w:pPr>
        <w:widowControl/>
        <w:jc w:val="center"/>
        <w:rPr>
          <w:b/>
        </w:rPr>
      </w:pPr>
      <w:r>
        <w:rPr>
          <w:b/>
        </w:rPr>
        <w:t>Washington, D.C. 20554</w:t>
      </w:r>
    </w:p>
    <w:p w:rsidR="002E37DE">
      <w:pPr>
        <w:widowControl/>
      </w:pPr>
    </w:p>
    <w:tbl>
      <w:tblPr>
        <w:tblW w:w="0" w:type="auto"/>
        <w:tblInd w:w="-162" w:type="dxa"/>
        <w:tblLayout w:type="fixed"/>
        <w:tblCellMar>
          <w:top w:w="0" w:type="dxa"/>
          <w:left w:w="108" w:type="dxa"/>
          <w:bottom w:w="0" w:type="dxa"/>
          <w:right w:w="108" w:type="dxa"/>
        </w:tblCellMar>
        <w:tblLook w:val="0000"/>
      </w:tblPr>
      <w:tblGrid>
        <w:gridCol w:w="4698"/>
        <w:gridCol w:w="720"/>
        <w:gridCol w:w="4230"/>
      </w:tblGrid>
      <w:tr>
        <w:tblPrEx>
          <w:tblW w:w="0" w:type="auto"/>
          <w:tblInd w:w="-162" w:type="dxa"/>
          <w:tblLayout w:type="fixed"/>
          <w:tblCellMar>
            <w:top w:w="0" w:type="dxa"/>
            <w:left w:w="108" w:type="dxa"/>
            <w:bottom w:w="0" w:type="dxa"/>
            <w:right w:w="108" w:type="dxa"/>
          </w:tblCellMar>
          <w:tblLook w:val="0000"/>
        </w:tblPrEx>
        <w:tc>
          <w:tcPr>
            <w:tcW w:w="4698" w:type="dxa"/>
          </w:tcPr>
          <w:p w:rsidR="002E37DE">
            <w:pPr>
              <w:widowControl/>
              <w:ind w:right="-18"/>
              <w:jc w:val="both"/>
              <w:rPr>
                <w:rStyle w:val="DefaultParagraphFont"/>
                <w:snapToGrid w:val="0"/>
                <w:kern w:val="28"/>
                <w:sz w:val="22"/>
                <w:lang w:val="en-US" w:eastAsia="en-US" w:bidi="ar-SA"/>
              </w:rPr>
            </w:pPr>
            <w:r>
              <w:rPr>
                <w:snapToGrid w:val="0"/>
                <w:kern w:val="28"/>
                <w:sz w:val="22"/>
                <w:lang w:val="en-US" w:eastAsia="en-US" w:bidi="ar-SA"/>
              </w:rPr>
              <w:t>In the Matter of</w:t>
            </w:r>
          </w:p>
          <w:p w:rsidR="002E37DE">
            <w:pPr>
              <w:widowControl/>
              <w:ind w:right="-18"/>
              <w:jc w:val="both"/>
              <w:rPr>
                <w:rStyle w:val="DefaultParagraphFont"/>
                <w:snapToGrid w:val="0"/>
                <w:kern w:val="28"/>
                <w:sz w:val="22"/>
                <w:lang w:val="en-US" w:eastAsia="en-US" w:bidi="ar-SA"/>
              </w:rPr>
            </w:pPr>
          </w:p>
          <w:p w:rsidR="002E37DE">
            <w:pPr>
              <w:widowControl/>
              <w:jc w:val="both"/>
              <w:rPr>
                <w:rStyle w:val="DefaultParagraphFont"/>
                <w:snapToGrid w:val="0"/>
                <w:kern w:val="28"/>
                <w:sz w:val="22"/>
                <w:lang w:val="en-US" w:eastAsia="en-US" w:bidi="ar-SA"/>
              </w:rPr>
            </w:pPr>
            <w:r>
              <w:rPr>
                <w:snapToGrid w:val="0"/>
                <w:kern w:val="28"/>
                <w:sz w:val="22"/>
                <w:lang w:val="en-US" w:eastAsia="en-US" w:bidi="ar-SA"/>
              </w:rPr>
              <w:t>ZAYNE G. STITES</w:t>
            </w:r>
          </w:p>
          <w:p w:rsidR="002E37DE">
            <w:pPr>
              <w:widowControl/>
              <w:jc w:val="both"/>
              <w:rPr>
                <w:rStyle w:val="DefaultParagraphFont"/>
                <w:snapToGrid w:val="0"/>
                <w:kern w:val="28"/>
                <w:sz w:val="22"/>
                <w:lang w:val="en-US" w:eastAsia="en-US" w:bidi="ar-SA"/>
              </w:rPr>
            </w:pPr>
          </w:p>
          <w:p w:rsidR="002E37DE" w:rsidP="00585E45">
            <w:pPr>
              <w:widowControl/>
              <w:jc w:val="both"/>
              <w:rPr>
                <w:rStyle w:val="DefaultParagraphFont"/>
                <w:snapToGrid w:val="0"/>
                <w:kern w:val="28"/>
                <w:sz w:val="22"/>
                <w:lang w:val="en-US" w:eastAsia="en-US" w:bidi="ar-SA"/>
              </w:rPr>
            </w:pPr>
            <w:r>
              <w:rPr>
                <w:snapToGrid w:val="0"/>
                <w:kern w:val="28"/>
                <w:sz w:val="22"/>
                <w:lang w:val="en-US" w:eastAsia="en-US" w:bidi="ar-SA"/>
              </w:rPr>
              <w:t>Licensee of Amateur Service Station K</w:t>
            </w:r>
            <w:r w:rsidR="00103096">
              <w:rPr>
                <w:snapToGrid w:val="0"/>
                <w:kern w:val="28"/>
                <w:sz w:val="22"/>
                <w:lang w:val="en-US" w:eastAsia="en-US" w:bidi="ar-SA"/>
              </w:rPr>
              <w:t>I7JF</w:t>
            </w:r>
            <w:r>
              <w:rPr>
                <w:snapToGrid w:val="0"/>
                <w:kern w:val="28"/>
                <w:sz w:val="22"/>
                <w:lang w:val="en-US" w:eastAsia="en-US" w:bidi="ar-SA"/>
              </w:rPr>
              <w:t>D</w:t>
            </w:r>
          </w:p>
        </w:tc>
        <w:tc>
          <w:tcPr>
            <w:tcW w:w="720" w:type="dxa"/>
          </w:tcPr>
          <w:p w:rsidR="002E37DE">
            <w:pPr>
              <w:widowControl/>
              <w:jc w:val="both"/>
              <w:rPr>
                <w:rStyle w:val="DefaultParagraphFont"/>
                <w:b/>
                <w:snapToGrid w:val="0"/>
                <w:kern w:val="28"/>
                <w:sz w:val="22"/>
                <w:lang w:val="en-US" w:eastAsia="en-US" w:bidi="ar-SA"/>
              </w:rPr>
            </w:pPr>
            <w:r>
              <w:rPr>
                <w:b/>
                <w:snapToGrid w:val="0"/>
                <w:kern w:val="28"/>
                <w:sz w:val="22"/>
                <w:lang w:val="en-US" w:eastAsia="en-US" w:bidi="ar-SA"/>
              </w:rPr>
              <w:t>)</w:t>
            </w:r>
          </w:p>
          <w:p w:rsidR="002E37DE">
            <w:pPr>
              <w:widowControl/>
              <w:jc w:val="both"/>
              <w:rPr>
                <w:rStyle w:val="DefaultParagraphFont"/>
                <w:b/>
                <w:snapToGrid w:val="0"/>
                <w:kern w:val="28"/>
                <w:sz w:val="22"/>
                <w:lang w:val="en-US" w:eastAsia="en-US" w:bidi="ar-SA"/>
              </w:rPr>
            </w:pPr>
            <w:r>
              <w:rPr>
                <w:b/>
                <w:snapToGrid w:val="0"/>
                <w:kern w:val="28"/>
                <w:sz w:val="22"/>
                <w:lang w:val="en-US" w:eastAsia="en-US" w:bidi="ar-SA"/>
              </w:rPr>
              <w:t>)</w:t>
            </w:r>
          </w:p>
          <w:p w:rsidR="002E37DE">
            <w:pPr>
              <w:widowControl/>
              <w:jc w:val="both"/>
              <w:rPr>
                <w:rStyle w:val="DefaultParagraphFont"/>
                <w:b/>
                <w:snapToGrid w:val="0"/>
                <w:kern w:val="28"/>
                <w:sz w:val="22"/>
                <w:lang w:val="en-US" w:eastAsia="en-US" w:bidi="ar-SA"/>
              </w:rPr>
            </w:pPr>
            <w:r>
              <w:rPr>
                <w:b/>
                <w:snapToGrid w:val="0"/>
                <w:kern w:val="28"/>
                <w:sz w:val="22"/>
                <w:lang w:val="en-US" w:eastAsia="en-US" w:bidi="ar-SA"/>
              </w:rPr>
              <w:t>)</w:t>
            </w:r>
          </w:p>
          <w:p w:rsidR="002E37DE">
            <w:pPr>
              <w:widowControl/>
              <w:jc w:val="both"/>
              <w:rPr>
                <w:rStyle w:val="DefaultParagraphFont"/>
                <w:b/>
                <w:snapToGrid w:val="0"/>
                <w:kern w:val="28"/>
                <w:sz w:val="22"/>
                <w:lang w:val="en-US" w:eastAsia="en-US" w:bidi="ar-SA"/>
              </w:rPr>
            </w:pPr>
            <w:r>
              <w:rPr>
                <w:b/>
                <w:snapToGrid w:val="0"/>
                <w:kern w:val="28"/>
                <w:sz w:val="22"/>
                <w:lang w:val="en-US" w:eastAsia="en-US" w:bidi="ar-SA"/>
              </w:rPr>
              <w:t>)</w:t>
            </w:r>
          </w:p>
          <w:p w:rsidR="002E37DE">
            <w:pPr>
              <w:widowControl/>
              <w:jc w:val="both"/>
              <w:rPr>
                <w:rStyle w:val="DefaultParagraphFont"/>
                <w:b/>
                <w:snapToGrid w:val="0"/>
                <w:kern w:val="28"/>
                <w:sz w:val="22"/>
                <w:lang w:val="en-US" w:eastAsia="en-US" w:bidi="ar-SA"/>
              </w:rPr>
            </w:pPr>
            <w:r>
              <w:rPr>
                <w:b/>
                <w:snapToGrid w:val="0"/>
                <w:kern w:val="28"/>
                <w:sz w:val="22"/>
                <w:lang w:val="en-US" w:eastAsia="en-US" w:bidi="ar-SA"/>
              </w:rPr>
              <w:t>)</w:t>
            </w:r>
          </w:p>
        </w:tc>
        <w:tc>
          <w:tcPr>
            <w:tcW w:w="4230" w:type="dxa"/>
          </w:tcPr>
          <w:p w:rsidR="002E37DE">
            <w:pPr>
              <w:widowControl/>
              <w:jc w:val="both"/>
              <w:rPr>
                <w:rStyle w:val="DefaultParagraphFont"/>
                <w:snapToGrid w:val="0"/>
                <w:kern w:val="28"/>
                <w:sz w:val="22"/>
                <w:lang w:val="en-US" w:eastAsia="en-US" w:bidi="ar-SA"/>
              </w:rPr>
            </w:pPr>
          </w:p>
          <w:p w:rsidR="002E37DE">
            <w:pPr>
              <w:widowControl/>
              <w:jc w:val="both"/>
              <w:rPr>
                <w:rStyle w:val="DefaultParagraphFont"/>
                <w:snapToGrid w:val="0"/>
                <w:kern w:val="28"/>
                <w:sz w:val="22"/>
                <w:lang w:val="en-US" w:eastAsia="en-US" w:bidi="ar-SA"/>
              </w:rPr>
            </w:pPr>
          </w:p>
          <w:p w:rsidR="002E37DE">
            <w:pPr>
              <w:widowControl/>
              <w:jc w:val="both"/>
              <w:rPr>
                <w:rStyle w:val="DefaultParagraphFont"/>
                <w:snapToGrid w:val="0"/>
                <w:kern w:val="28"/>
                <w:sz w:val="22"/>
                <w:lang w:val="en-US" w:eastAsia="en-US" w:bidi="ar-SA"/>
              </w:rPr>
            </w:pPr>
          </w:p>
          <w:p w:rsidR="002E37DE">
            <w:pPr>
              <w:widowControl/>
              <w:jc w:val="both"/>
              <w:rPr>
                <w:rStyle w:val="DefaultParagraphFont"/>
                <w:snapToGrid w:val="0"/>
                <w:kern w:val="28"/>
                <w:sz w:val="22"/>
                <w:lang w:val="en-US" w:eastAsia="en-US" w:bidi="ar-SA"/>
              </w:rPr>
            </w:pPr>
          </w:p>
        </w:tc>
      </w:tr>
    </w:tbl>
    <w:p w:rsidR="002E37DE">
      <w:pPr>
        <w:widowControl/>
        <w:jc w:val="center"/>
        <w:rPr>
          <w:b/>
        </w:rPr>
      </w:pPr>
    </w:p>
    <w:p w:rsidR="002E37DE">
      <w:pPr>
        <w:widowControl/>
        <w:jc w:val="center"/>
        <w:rPr>
          <w:b/>
        </w:rPr>
      </w:pPr>
      <w:r>
        <w:rPr>
          <w:b/>
        </w:rPr>
        <w:t>ORDER PROPOSING MODIFICATION</w:t>
      </w:r>
    </w:p>
    <w:p w:rsidR="002E37DE">
      <w:pPr>
        <w:widowControl/>
        <w:jc w:val="center"/>
      </w:pPr>
    </w:p>
    <w:p w:rsidR="002E37DE">
      <w:pPr>
        <w:widowControl/>
        <w:tabs>
          <w:tab w:val="left" w:pos="5760"/>
        </w:tabs>
        <w:rPr>
          <w:b/>
        </w:rPr>
      </w:pPr>
      <w:r>
        <w:rPr>
          <w:b/>
        </w:rPr>
        <w:t xml:space="preserve">   Adopted:  </w:t>
      </w:r>
      <w:r w:rsidR="0068350F">
        <w:rPr>
          <w:b/>
        </w:rPr>
        <w:t>April 11</w:t>
      </w:r>
      <w:r>
        <w:rPr>
          <w:b/>
        </w:rPr>
        <w:t>, 201</w:t>
      </w:r>
      <w:r w:rsidR="00103096">
        <w:rPr>
          <w:b/>
        </w:rPr>
        <w:t>8</w:t>
      </w:r>
      <w:r>
        <w:rPr>
          <w:b/>
        </w:rPr>
        <w:tab/>
      </w:r>
      <w:r>
        <w:rPr>
          <w:b/>
        </w:rPr>
        <w:tab/>
        <w:t xml:space="preserve">Released:  </w:t>
      </w:r>
      <w:r w:rsidR="0068350F">
        <w:rPr>
          <w:b/>
        </w:rPr>
        <w:t>April 12</w:t>
      </w:r>
      <w:r>
        <w:rPr>
          <w:b/>
        </w:rPr>
        <w:t>, 201</w:t>
      </w:r>
      <w:r w:rsidR="0068350F">
        <w:rPr>
          <w:b/>
        </w:rPr>
        <w:t>8</w:t>
      </w:r>
    </w:p>
    <w:p w:rsidR="002E37DE">
      <w:pPr>
        <w:widowControl/>
        <w:tabs>
          <w:tab w:val="left" w:pos="5760"/>
        </w:tabs>
      </w:pPr>
    </w:p>
    <w:p w:rsidR="002E37DE">
      <w:pPr>
        <w:widowControl/>
        <w:tabs>
          <w:tab w:val="left" w:pos="5760"/>
        </w:tabs>
        <w:jc w:val="left"/>
      </w:pPr>
      <w:r>
        <w:t>By the Deputy Chief, Mobility Division, Wireless Telecommunications Bureau:</w:t>
      </w:r>
    </w:p>
    <w:p w:rsidR="002E37DE">
      <w:pPr>
        <w:widowControl/>
        <w:jc w:val="left"/>
        <w:rPr>
          <w:b/>
        </w:rPr>
      </w:pPr>
    </w:p>
    <w:p w:rsidR="002E37DE" w:rsidP="002E37DE">
      <w:pPr>
        <w:widowControl/>
        <w:numPr>
          <w:ilvl w:val="0"/>
          <w:numId w:val="33"/>
        </w:numPr>
        <w:jc w:val="left"/>
      </w:pPr>
      <w:r>
        <w:rPr>
          <w:i/>
        </w:rPr>
        <w:t xml:space="preserve">Introduction.  </w:t>
      </w:r>
      <w:r>
        <w:t xml:space="preserve">For the reasons set forth below, we propose to modify the operator privileges of </w:t>
      </w:r>
      <w:r w:rsidR="00103096">
        <w:t>Zayne G. Stites</w:t>
      </w:r>
      <w:r>
        <w:t xml:space="preserve"> (</w:t>
      </w:r>
      <w:r w:rsidR="00585E45">
        <w:t>S</w:t>
      </w:r>
      <w:r w:rsidR="00103096">
        <w:t>tites</w:t>
      </w:r>
      <w:r>
        <w:t>)</w:t>
      </w:r>
      <w:r w:rsidRPr="002E37DE">
        <w:t xml:space="preserve">, </w:t>
      </w:r>
      <w:r>
        <w:t>licensee of Amateur Radio Service Station K</w:t>
      </w:r>
      <w:r w:rsidR="00103096">
        <w:t>I7JF</w:t>
      </w:r>
      <w:r>
        <w:t xml:space="preserve">D. </w:t>
      </w:r>
      <w:r w:rsidR="00585E45">
        <w:t xml:space="preserve"> </w:t>
      </w:r>
      <w:r>
        <w:t xml:space="preserve">Specifically, we propose to modify </w:t>
      </w:r>
      <w:r w:rsidR="00103096">
        <w:t>Stites’s</w:t>
      </w:r>
      <w:r>
        <w:t xml:space="preserve"> operator license to show </w:t>
      </w:r>
      <w:r w:rsidR="00585E45">
        <w:t>Technician</w:t>
      </w:r>
      <w:r>
        <w:t xml:space="preserve"> Class operator privileges.  </w:t>
      </w:r>
    </w:p>
    <w:p w:rsidR="002E37DE">
      <w:pPr>
        <w:widowControl/>
        <w:jc w:val="left"/>
      </w:pPr>
    </w:p>
    <w:p w:rsidR="002E37DE" w:rsidP="002E37DE">
      <w:pPr>
        <w:widowControl/>
        <w:numPr>
          <w:ilvl w:val="0"/>
          <w:numId w:val="33"/>
        </w:numPr>
        <w:jc w:val="left"/>
      </w:pPr>
      <w:r>
        <w:rPr>
          <w:i/>
        </w:rPr>
        <w:t xml:space="preserve">Background.  </w:t>
      </w:r>
      <w:r w:rsidR="00585E45">
        <w:t xml:space="preserve">On </w:t>
      </w:r>
      <w:r w:rsidR="00103096">
        <w:t>March 7</w:t>
      </w:r>
      <w:r w:rsidR="00585E45">
        <w:t>, 2017</w:t>
      </w:r>
      <w:r>
        <w:t xml:space="preserve">, the American Radio Relay League Volunteer Examiner Coordinator (ARRL VEC) sent an electronic data file to the Commission requesting that </w:t>
      </w:r>
      <w:r w:rsidR="00585E45">
        <w:t>S</w:t>
      </w:r>
      <w:r w:rsidR="00103096">
        <w:t>tites</w:t>
      </w:r>
      <w:r w:rsidR="00585E45">
        <w:t>’s</w:t>
      </w:r>
      <w:r w:rsidRPr="002E37DE">
        <w:t xml:space="preserve"> </w:t>
      </w:r>
      <w:r>
        <w:t xml:space="preserve">operator license for amateur Station </w:t>
      </w:r>
      <w:r w:rsidR="00585E45">
        <w:t>K</w:t>
      </w:r>
      <w:r w:rsidR="00103096">
        <w:t>I7JF</w:t>
      </w:r>
      <w:r w:rsidR="00585E45">
        <w:t>D</w:t>
      </w:r>
      <w:r>
        <w:t xml:space="preserve"> be modified to upgrade from </w:t>
      </w:r>
      <w:r w:rsidR="00585E45">
        <w:t xml:space="preserve">Technician Class to </w:t>
      </w:r>
      <w:r>
        <w:t>General Class amateur radio operator privileges.</w:t>
      </w:r>
      <w:r>
        <w:rPr>
          <w:rStyle w:val="FootnoteReference"/>
        </w:rPr>
        <w:footnoteReference w:id="3"/>
      </w:r>
      <w:r>
        <w:t xml:space="preserve">  Based on this application, the Commission granted </w:t>
      </w:r>
      <w:r w:rsidR="00585E45">
        <w:t>S</w:t>
      </w:r>
      <w:r w:rsidR="00103096">
        <w:t>tites</w:t>
      </w:r>
      <w:r w:rsidRPr="002E37DE">
        <w:t xml:space="preserve"> </w:t>
      </w:r>
      <w:r>
        <w:t xml:space="preserve">a </w:t>
      </w:r>
      <w:r w:rsidR="00585E45">
        <w:t>General</w:t>
      </w:r>
      <w:r>
        <w:t xml:space="preserve"> Class amateur service operator license on </w:t>
      </w:r>
      <w:r w:rsidR="00103096">
        <w:t>March 7</w:t>
      </w:r>
      <w:r w:rsidR="00585E45">
        <w:t>, 2017</w:t>
      </w:r>
      <w:r>
        <w:t xml:space="preserve">.  This license authorizes </w:t>
      </w:r>
      <w:r w:rsidR="00585E45">
        <w:t>S</w:t>
      </w:r>
      <w:r w:rsidR="00103096">
        <w:t>tites</w:t>
      </w:r>
      <w:r w:rsidRPr="002E37DE">
        <w:t xml:space="preserve"> </w:t>
      </w:r>
      <w:r>
        <w:t>to be the control operator of an amateur station transmitting on frequency band</w:t>
      </w:r>
      <w:r w:rsidR="00585E45">
        <w:t>s authorized by Section 97.301(d) of our r</w:t>
      </w:r>
      <w:r>
        <w:t>ules.</w:t>
      </w:r>
      <w:r>
        <w:rPr>
          <w:rStyle w:val="FootnoteReference"/>
        </w:rPr>
        <w:footnoteReference w:id="4"/>
      </w:r>
      <w:r>
        <w:t xml:space="preserve">  </w:t>
      </w:r>
    </w:p>
    <w:p w:rsidR="002E37DE">
      <w:pPr>
        <w:widowControl/>
        <w:jc w:val="left"/>
      </w:pPr>
    </w:p>
    <w:p w:rsidR="002E37DE">
      <w:pPr>
        <w:widowControl/>
        <w:numPr>
          <w:ilvl w:val="0"/>
          <w:numId w:val="33"/>
        </w:numPr>
        <w:tabs>
          <w:tab w:val="left" w:pos="1440"/>
        </w:tabs>
        <w:jc w:val="left"/>
      </w:pPr>
      <w:r>
        <w:t xml:space="preserve">By correspondence dated </w:t>
      </w:r>
      <w:r w:rsidR="00103096">
        <w:t>April 11</w:t>
      </w:r>
      <w:r>
        <w:t>, 20</w:t>
      </w:r>
      <w:r w:rsidR="00585E45">
        <w:t>1</w:t>
      </w:r>
      <w:r w:rsidR="00103096">
        <w:t>8</w:t>
      </w:r>
      <w:r>
        <w:t xml:space="preserve">, ARRL VEC notified the Commission that it had made an error in the </w:t>
      </w:r>
      <w:r w:rsidR="00103096">
        <w:t>March 7</w:t>
      </w:r>
      <w:r w:rsidR="00585E45">
        <w:t>, 2017</w:t>
      </w:r>
      <w:r w:rsidR="007F51AC">
        <w:t xml:space="preserve">, </w:t>
      </w:r>
      <w:r>
        <w:t xml:space="preserve">data file and that </w:t>
      </w:r>
      <w:r w:rsidR="00585E45">
        <w:t>S</w:t>
      </w:r>
      <w:r w:rsidR="00103096">
        <w:t>tites</w:t>
      </w:r>
      <w:r w:rsidRPr="002E37DE" w:rsidR="007F51AC">
        <w:t xml:space="preserve"> </w:t>
      </w:r>
      <w:r>
        <w:t>had not qualified for a</w:t>
      </w:r>
      <w:r w:rsidR="00585E45">
        <w:t xml:space="preserve"> Ge</w:t>
      </w:r>
      <w:r>
        <w:t>n</w:t>
      </w:r>
      <w:r w:rsidR="00585E45">
        <w:t>eral</w:t>
      </w:r>
      <w:r>
        <w:t xml:space="preserve"> Class operator license.</w:t>
      </w:r>
      <w:r>
        <w:rPr>
          <w:rStyle w:val="FootnoteReference"/>
        </w:rPr>
        <w:footnoteReference w:id="5"/>
      </w:r>
      <w:r>
        <w:t xml:space="preserve">  Therefore, ARRL VEC urged us to modify </w:t>
      </w:r>
      <w:r w:rsidR="00585E45">
        <w:t>S</w:t>
      </w:r>
      <w:r w:rsidR="00103096">
        <w:t>tites</w:t>
      </w:r>
      <w:r w:rsidR="00585E45">
        <w:t>’s</w:t>
      </w:r>
      <w:r w:rsidRPr="002E37DE" w:rsidR="007F51AC">
        <w:t xml:space="preserve"> </w:t>
      </w:r>
      <w:r>
        <w:t xml:space="preserve">license to correct the operator privileges authorized.  </w:t>
      </w:r>
    </w:p>
    <w:p w:rsidR="002E37DE">
      <w:pPr>
        <w:widowControl/>
        <w:tabs>
          <w:tab w:val="left" w:pos="1440"/>
        </w:tabs>
        <w:jc w:val="left"/>
      </w:pPr>
      <w:r>
        <w:tab/>
      </w:r>
    </w:p>
    <w:p w:rsidR="002E37DE">
      <w:pPr>
        <w:widowControl/>
        <w:numPr>
          <w:ilvl w:val="0"/>
          <w:numId w:val="33"/>
        </w:numPr>
        <w:jc w:val="left"/>
      </w:pPr>
      <w:r>
        <w:rPr>
          <w:i/>
          <w:spacing w:val="-2"/>
        </w:rPr>
        <w:t>Discussion.</w:t>
      </w:r>
      <w:r>
        <w:rPr>
          <w:spacing w:val="-2"/>
        </w:rPr>
        <w:t xml:space="preserve">  We believe that ARRL VEC’s request is most properly characterized as an informal reque</w:t>
      </w:r>
      <w:r w:rsidR="00585E45">
        <w:rPr>
          <w:spacing w:val="-2"/>
        </w:rPr>
        <w:t>st for Commission action under s</w:t>
      </w:r>
      <w:r>
        <w:rPr>
          <w:spacing w:val="-2"/>
        </w:rPr>
        <w:t>e</w:t>
      </w:r>
      <w:r w:rsidR="007F51AC">
        <w:rPr>
          <w:spacing w:val="-2"/>
        </w:rPr>
        <w:t>ction 1.41 of the Commission’s r</w:t>
      </w:r>
      <w:r>
        <w:rPr>
          <w:spacing w:val="-2"/>
        </w:rPr>
        <w:t>ules.</w:t>
      </w:r>
      <w:r>
        <w:rPr>
          <w:rStyle w:val="FootnoteReference"/>
          <w:spacing w:val="-2"/>
        </w:rPr>
        <w:footnoteReference w:id="6"/>
      </w:r>
      <w:r>
        <w:rPr>
          <w:spacing w:val="-2"/>
        </w:rPr>
        <w:t xml:space="preserve">  Based on the information now before us, it appears that </w:t>
      </w:r>
      <w:r>
        <w:t xml:space="preserve">the grant of </w:t>
      </w:r>
      <w:r w:rsidR="00585E45">
        <w:t>General</w:t>
      </w:r>
      <w:r>
        <w:t xml:space="preserve"> Class operator privileges to </w:t>
      </w:r>
      <w:r w:rsidR="00585E45">
        <w:t>S</w:t>
      </w:r>
      <w:r w:rsidR="00103096">
        <w:t>tites</w:t>
      </w:r>
      <w:r w:rsidRPr="002E37DE" w:rsidR="007F51AC">
        <w:t xml:space="preserve"> </w:t>
      </w:r>
      <w:r>
        <w:t xml:space="preserve">was erroneous because </w:t>
      </w:r>
      <w:r w:rsidR="00585E45">
        <w:t>S</w:t>
      </w:r>
      <w:r w:rsidR="00103096">
        <w:t>tites</w:t>
      </w:r>
      <w:r w:rsidRPr="002E37DE" w:rsidR="007F51AC">
        <w:t xml:space="preserve"> </w:t>
      </w:r>
      <w:r>
        <w:t>did not pass the examination necessary to qualify for a</w:t>
      </w:r>
      <w:r w:rsidR="00585E45">
        <w:t xml:space="preserve"> Ge</w:t>
      </w:r>
      <w:r>
        <w:t>n</w:t>
      </w:r>
      <w:r w:rsidR="00585E45">
        <w:t>eral</w:t>
      </w:r>
      <w:r>
        <w:t xml:space="preserve"> Class operator license.  Rather, </w:t>
      </w:r>
      <w:r w:rsidR="00585E45">
        <w:t>S</w:t>
      </w:r>
      <w:r w:rsidR="00103096">
        <w:t>tites</w:t>
      </w:r>
      <w:r w:rsidRPr="002E37DE" w:rsidR="007F51AC">
        <w:t xml:space="preserve"> </w:t>
      </w:r>
      <w:r>
        <w:t xml:space="preserve">appears to be currently authorized to operate with </w:t>
      </w:r>
      <w:r w:rsidR="00585E45">
        <w:t>General</w:t>
      </w:r>
      <w:r>
        <w:t xml:space="preserve"> Class operator privileges due to an error made during the application process.</w:t>
      </w:r>
    </w:p>
    <w:p w:rsidR="002E37DE">
      <w:pPr>
        <w:widowControl/>
        <w:jc w:val="left"/>
      </w:pPr>
    </w:p>
    <w:p w:rsidR="002E37DE">
      <w:pPr>
        <w:widowControl/>
        <w:numPr>
          <w:ilvl w:val="0"/>
          <w:numId w:val="33"/>
        </w:numPr>
        <w:jc w:val="left"/>
      </w:pPr>
      <w:r>
        <w:t>We believe t</w:t>
      </w:r>
      <w:r w:rsidR="007F51AC">
        <w:t>hat s</w:t>
      </w:r>
      <w:r>
        <w:t>ection 316(a)(1) of the Communications Act of 1934, as amended, provides the appropriate vehicle for resolving this matter.</w:t>
      </w:r>
      <w:r>
        <w:rPr>
          <w:rStyle w:val="FootnoteReference"/>
        </w:rPr>
        <w:footnoteReference w:id="7"/>
      </w:r>
      <w:r>
        <w:t xml:space="preserve">  Section 316(a) permits the Commission to modify a </w:t>
      </w:r>
      <w:r>
        <w:t>station license if the action will promote the public interest, convenience, and necessity.</w:t>
      </w:r>
      <w:r>
        <w:rPr>
          <w:rStyle w:val="FootnoteReference"/>
        </w:rPr>
        <w:footnoteReference w:id="8"/>
      </w:r>
      <w:r>
        <w:t xml:space="preserve">  We believe that a modification of the license for amateur station </w:t>
      </w:r>
      <w:r w:rsidR="007F51AC">
        <w:t>K</w:t>
      </w:r>
      <w:r w:rsidR="00103096">
        <w:t>I7JF</w:t>
      </w:r>
      <w:r w:rsidR="007F51AC">
        <w:t>D</w:t>
      </w:r>
      <w:r>
        <w:t xml:space="preserve"> to replace </w:t>
      </w:r>
      <w:r w:rsidR="00585E45">
        <w:t>General</w:t>
      </w:r>
      <w:r>
        <w:t xml:space="preserve"> Class operator privileges with </w:t>
      </w:r>
      <w:r w:rsidR="00585E45">
        <w:t>Technician</w:t>
      </w:r>
      <w:r>
        <w:t xml:space="preserve"> Class operator privileges is appropriate.  </w:t>
      </w:r>
    </w:p>
    <w:p w:rsidR="002E37DE">
      <w:pPr>
        <w:widowControl/>
        <w:jc w:val="left"/>
      </w:pPr>
    </w:p>
    <w:p w:rsidR="002E37DE">
      <w:pPr>
        <w:pStyle w:val="ParaNum"/>
        <w:widowControl/>
        <w:numPr>
          <w:ilvl w:val="0"/>
          <w:numId w:val="33"/>
        </w:numPr>
        <w:spacing w:after="0"/>
        <w:jc w:val="left"/>
      </w:pPr>
      <w:r>
        <w:t>In accordance with s</w:t>
      </w:r>
      <w:r>
        <w:t>ecti</w:t>
      </w:r>
      <w:r w:rsidR="00585E45">
        <w:t>on 1.87(a) of the Commission's r</w:t>
      </w:r>
      <w:r>
        <w:t>ules,</w:t>
      </w:r>
      <w:r>
        <w:rPr>
          <w:rStyle w:val="FootnoteReference"/>
        </w:rPr>
        <w:footnoteReference w:id="9"/>
      </w:r>
      <w:r>
        <w:t xml:space="preserve"> we will not issue a modification order until </w:t>
      </w:r>
      <w:r w:rsidR="00585E45">
        <w:t>S</w:t>
      </w:r>
      <w:r w:rsidR="00103096">
        <w:t>tites</w:t>
      </w:r>
      <w:r w:rsidRPr="002E37DE">
        <w:t xml:space="preserve"> </w:t>
      </w:r>
      <w:r>
        <w:t xml:space="preserve">has received notice of our proposed action and has had an opportunity to file a protest.  To protest the modification, </w:t>
      </w:r>
      <w:r w:rsidR="00585E45">
        <w:t>S</w:t>
      </w:r>
      <w:r w:rsidR="00103096">
        <w:t>tites</w:t>
      </w:r>
      <w:r w:rsidRPr="002E37DE">
        <w:t xml:space="preserve"> </w:t>
      </w:r>
      <w:r>
        <w:t xml:space="preserve">must, within thirty days of the release date of this </w:t>
      </w:r>
      <w:r>
        <w:rPr>
          <w:i/>
        </w:rPr>
        <w:t>Order Proposing Modification</w:t>
      </w:r>
      <w:r>
        <w:t>, submit a written statement with sufficient evidence to show that the modification would not be in the public interest.  The protest must be filed with the Office of the Secretary, Federal Communications Commission, 445 Twelfth Street, S.W., Room TW-A325, Washington, D.C. 20554.</w:t>
      </w:r>
      <w:r>
        <w:rPr>
          <w:rStyle w:val="FootnoteReference"/>
        </w:rPr>
        <w:footnoteReference w:id="10"/>
      </w:r>
      <w:r>
        <w:t xml:space="preserve">  If no protest is filed, </w:t>
      </w:r>
      <w:r w:rsidR="003E3D87">
        <w:t>S</w:t>
      </w:r>
      <w:r w:rsidR="008115BD">
        <w:t>tites</w:t>
      </w:r>
      <w:r w:rsidRPr="002E37DE">
        <w:t xml:space="preserve"> </w:t>
      </w:r>
      <w:r>
        <w:t xml:space="preserve">will have waived </w:t>
      </w:r>
      <w:r>
        <w:t>the</w:t>
      </w:r>
      <w:r>
        <w:t xml:space="preserve"> right to protest the modification and will be deemed to have consented to the modification.</w:t>
      </w:r>
      <w:r>
        <w:t xml:space="preserve"> </w:t>
      </w:r>
    </w:p>
    <w:p w:rsidR="002E37DE">
      <w:pPr>
        <w:pStyle w:val="ParaNum"/>
        <w:widowControl/>
        <w:spacing w:after="0"/>
        <w:ind w:firstLine="0"/>
        <w:jc w:val="left"/>
        <w:rPr>
          <w:i/>
        </w:rPr>
      </w:pPr>
    </w:p>
    <w:p w:rsidR="002E37DE">
      <w:pPr>
        <w:pStyle w:val="ParaNum"/>
        <w:widowControl/>
        <w:numPr>
          <w:ilvl w:val="0"/>
          <w:numId w:val="33"/>
        </w:numPr>
        <w:spacing w:after="0"/>
        <w:jc w:val="left"/>
      </w:pPr>
      <w:r>
        <w:rPr>
          <w:i/>
        </w:rPr>
        <w:t xml:space="preserve">Conclusion.  </w:t>
      </w:r>
      <w:r>
        <w:t xml:space="preserve">For the reasons stated above, we conclude that the grant of </w:t>
      </w:r>
      <w:r w:rsidR="003E3D87">
        <w:t>General</w:t>
      </w:r>
      <w:r>
        <w:t xml:space="preserve"> Class amateur radio operator privileges was improper.  Accordingly, we propose to modify the amateur service operator license for amateur station </w:t>
      </w:r>
      <w:r w:rsidR="007F51AC">
        <w:t>K</w:t>
      </w:r>
      <w:r w:rsidR="008115BD">
        <w:t>I7JF</w:t>
      </w:r>
      <w:r w:rsidR="007F51AC">
        <w:t>D</w:t>
      </w:r>
      <w:r>
        <w:t xml:space="preserve"> by replacing </w:t>
      </w:r>
      <w:r w:rsidR="003E3D87">
        <w:t>General</w:t>
      </w:r>
      <w:r>
        <w:t xml:space="preserve"> Class operator privileges with </w:t>
      </w:r>
      <w:r w:rsidR="003E3D87">
        <w:t>Technician</w:t>
      </w:r>
      <w:r>
        <w:t xml:space="preserve"> Class operator privileges.</w:t>
      </w:r>
    </w:p>
    <w:p w:rsidR="002E37DE">
      <w:pPr>
        <w:widowControl/>
        <w:jc w:val="left"/>
      </w:pPr>
    </w:p>
    <w:p w:rsidR="002E37DE" w:rsidP="002A2C7D">
      <w:pPr>
        <w:widowControl/>
        <w:numPr>
          <w:ilvl w:val="0"/>
          <w:numId w:val="33"/>
        </w:numPr>
        <w:jc w:val="left"/>
      </w:pPr>
      <w:r>
        <w:t xml:space="preserve">ACCORDINGLY, IT IS PROPOSED, pursuant to </w:t>
      </w:r>
      <w:r w:rsidR="007F51AC">
        <w:t>s</w:t>
      </w:r>
      <w:r>
        <w:t>ections 4(i) and 316(a) of the Communications Act of 1934,</w:t>
      </w:r>
      <w:r w:rsidR="007F51AC">
        <w:t xml:space="preserve"> 47 U.S.C. §§ 154(i), 316, and s</w:t>
      </w:r>
      <w:r>
        <w:t>e</w:t>
      </w:r>
      <w:r w:rsidR="007F51AC">
        <w:t>ction 1.87 of the Commission's r</w:t>
      </w:r>
      <w:r>
        <w:t xml:space="preserve">ules, 47 CFR § 1.87, that the license of </w:t>
      </w:r>
      <w:bookmarkStart w:id="1" w:name="_Hlk511218215"/>
      <w:r w:rsidR="008115BD">
        <w:t>Zayne G. Stites</w:t>
      </w:r>
      <w:r w:rsidRPr="002E37DE" w:rsidR="007F51AC">
        <w:t xml:space="preserve"> </w:t>
      </w:r>
      <w:bookmarkEnd w:id="1"/>
      <w:r>
        <w:t xml:space="preserve">for amateur service Station </w:t>
      </w:r>
      <w:r w:rsidR="007F51AC">
        <w:t>K</w:t>
      </w:r>
      <w:r w:rsidR="008115BD">
        <w:t>I7JF</w:t>
      </w:r>
      <w:r w:rsidR="007F51AC">
        <w:t>D</w:t>
      </w:r>
      <w:r>
        <w:t xml:space="preserve"> BE MODIFIED by replacing </w:t>
      </w:r>
      <w:r w:rsidR="003E3D87">
        <w:t>General</w:t>
      </w:r>
      <w:r>
        <w:t xml:space="preserve"> Class operator privileges with </w:t>
      </w:r>
      <w:r w:rsidR="003E3D87">
        <w:t>Technician</w:t>
      </w:r>
      <w:r>
        <w:t xml:space="preserve"> Class operator privileges.  </w:t>
      </w:r>
    </w:p>
    <w:p w:rsidR="003E3D87" w:rsidP="003E3D87">
      <w:pPr>
        <w:widowControl/>
        <w:jc w:val="left"/>
      </w:pPr>
    </w:p>
    <w:p w:rsidR="002E37DE">
      <w:pPr>
        <w:widowControl/>
        <w:numPr>
          <w:ilvl w:val="0"/>
          <w:numId w:val="33"/>
        </w:numPr>
        <w:jc w:val="left"/>
      </w:pPr>
      <w:r>
        <w:t xml:space="preserve">IT IS FURTHER ORDERED that this </w:t>
      </w:r>
      <w:r>
        <w:rPr>
          <w:i/>
        </w:rPr>
        <w:t xml:space="preserve">Order Proposing Modification </w:t>
      </w:r>
      <w:r>
        <w:t xml:space="preserve">shall be sent by certified mail, return receipt requested, to </w:t>
      </w:r>
      <w:r w:rsidR="008115BD">
        <w:t>Zayne G. Stites</w:t>
      </w:r>
      <w:r>
        <w:t>,</w:t>
      </w:r>
      <w:r w:rsidR="008115BD">
        <w:t xml:space="preserve"> 14678 SW Peak Ct., Portland, OR  97224</w:t>
      </w:r>
      <w:r>
        <w:t xml:space="preserve">.  </w:t>
      </w:r>
    </w:p>
    <w:p w:rsidR="002E37DE">
      <w:pPr>
        <w:widowControl/>
        <w:jc w:val="left"/>
      </w:pPr>
    </w:p>
    <w:p w:rsidR="002E37DE">
      <w:pPr>
        <w:widowControl/>
        <w:numPr>
          <w:ilvl w:val="0"/>
          <w:numId w:val="33"/>
        </w:numPr>
        <w:jc w:val="left"/>
      </w:pPr>
      <w:r>
        <w:t>This action is taken under d</w:t>
      </w:r>
      <w:r w:rsidR="007F51AC">
        <w:t>elegated authority pursuant to s</w:t>
      </w:r>
      <w:r>
        <w:t>ections 0.131 and 0.331 of the Commission’s Rules, 47 C.F.R. §§ 0.131, 0.331.</w:t>
      </w:r>
    </w:p>
    <w:p w:rsidR="002E37DE">
      <w:pPr>
        <w:widowControl/>
        <w:ind w:left="1440" w:firstLine="720"/>
        <w:jc w:val="left"/>
      </w:pPr>
    </w:p>
    <w:p w:rsidR="002E37DE">
      <w:pPr>
        <w:widowControl/>
        <w:ind w:left="1440" w:firstLine="720"/>
        <w:jc w:val="left"/>
      </w:pPr>
      <w:r>
        <w:tab/>
      </w:r>
      <w:r>
        <w:tab/>
      </w:r>
      <w:r>
        <w:tab/>
        <w:t>FEDERAL COMMUNICATIONS COMMISSION</w:t>
      </w:r>
    </w:p>
    <w:p w:rsidR="002E37DE">
      <w:pPr>
        <w:widowControl/>
        <w:jc w:val="left"/>
      </w:pPr>
    </w:p>
    <w:p w:rsidR="007F51AC">
      <w:pPr>
        <w:widowControl/>
        <w:jc w:val="left"/>
      </w:pPr>
    </w:p>
    <w:p w:rsidR="003E3D87">
      <w:pPr>
        <w:widowControl/>
        <w:jc w:val="left"/>
      </w:pPr>
    </w:p>
    <w:p w:rsidR="002E37DE">
      <w:pPr>
        <w:widowControl/>
        <w:ind w:left="720" w:firstLine="720"/>
        <w:jc w:val="left"/>
      </w:pPr>
      <w:r>
        <w:tab/>
      </w:r>
      <w:r>
        <w:tab/>
      </w:r>
      <w:r>
        <w:tab/>
      </w:r>
      <w:r>
        <w:tab/>
        <w:t>Scot Stone</w:t>
      </w:r>
    </w:p>
    <w:p w:rsidR="002E37DE">
      <w:pPr>
        <w:widowControl/>
        <w:ind w:firstLine="720"/>
        <w:jc w:val="left"/>
      </w:pPr>
      <w:r>
        <w:tab/>
      </w:r>
      <w:r>
        <w:tab/>
      </w:r>
      <w:r>
        <w:tab/>
      </w:r>
      <w:r>
        <w:tab/>
      </w:r>
      <w:r>
        <w:tab/>
        <w:t>Deputy Chief, Mobility Division</w:t>
      </w:r>
    </w:p>
    <w:p w:rsidR="002E37DE">
      <w:pPr>
        <w:widowControl/>
        <w:jc w:val="left"/>
      </w:pPr>
      <w:r>
        <w:tab/>
      </w:r>
      <w:r>
        <w:tab/>
      </w:r>
      <w:r>
        <w:tab/>
      </w:r>
      <w:r>
        <w:tab/>
      </w:r>
      <w:r>
        <w:tab/>
      </w:r>
      <w:r>
        <w:tab/>
        <w:t>Wireless Telecommunications Bureau</w:t>
      </w:r>
    </w:p>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C7D">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2A2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C7D">
    <w:pPr>
      <w:pStyle w:val="Footer"/>
      <w:framePr w:wrap="around" w:vAnchor="text" w:hAnchor="margin" w:xAlign="center" w:y="1"/>
    </w:pPr>
    <w:r>
      <w:fldChar w:fldCharType="begin"/>
    </w:r>
    <w:r>
      <w:instrText xml:space="preserve">PAGE  </w:instrText>
    </w:r>
    <w:r>
      <w:fldChar w:fldCharType="separate"/>
    </w:r>
    <w:r w:rsidR="00EE18BD">
      <w:rPr>
        <w:noProof/>
      </w:rPr>
      <w:t>2</w:t>
    </w:r>
    <w:r>
      <w:fldChar w:fldCharType="end"/>
    </w:r>
  </w:p>
  <w:p w:rsidR="002A2C7D">
    <w:pPr>
      <w:spacing w:before="140" w:line="100" w:lineRule="exac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26D8">
      <w:r>
        <w:separator/>
      </w:r>
    </w:p>
  </w:footnote>
  <w:footnote w:type="continuationSeparator" w:id="1">
    <w:p w:rsidR="00FF26D8">
      <w:pPr>
        <w:rPr>
          <w:sz w:val="20"/>
        </w:rPr>
      </w:pPr>
      <w:r>
        <w:rPr>
          <w:sz w:val="20"/>
        </w:rPr>
        <w:t xml:space="preserve">(Continued from previous page)  </w:t>
      </w:r>
      <w:r>
        <w:rPr>
          <w:sz w:val="20"/>
        </w:rPr>
        <w:separator/>
      </w:r>
    </w:p>
  </w:footnote>
  <w:footnote w:type="continuationNotice" w:id="2">
    <w:p w:rsidR="00FF26D8">
      <w:pPr>
        <w:rPr>
          <w:sz w:val="20"/>
        </w:rPr>
      </w:pPr>
      <w:r>
        <w:rPr>
          <w:sz w:val="20"/>
        </w:rPr>
        <w:t>(continued….)</w:t>
      </w:r>
    </w:p>
  </w:footnote>
  <w:footnote w:id="3">
    <w:p w:rsidR="002A2C7D">
      <w:pPr>
        <w:pStyle w:val="FootnoteText"/>
      </w:pPr>
      <w:r>
        <w:rPr>
          <w:rStyle w:val="FootnoteReference"/>
        </w:rPr>
        <w:footnoteRef/>
      </w:r>
      <w:r>
        <w:t xml:space="preserve"> </w:t>
      </w:r>
      <w:r>
        <w:rPr>
          <w:i/>
        </w:rPr>
        <w:t>See</w:t>
      </w:r>
      <w:r>
        <w:t xml:space="preserve"> File No. 0007</w:t>
      </w:r>
      <w:r w:rsidR="00103096">
        <w:t>68882</w:t>
      </w:r>
      <w:r w:rsidR="00585E45">
        <w:t>8</w:t>
      </w:r>
      <w:r>
        <w:t xml:space="preserve"> (filed </w:t>
      </w:r>
      <w:r w:rsidR="00103096">
        <w:t>Ma</w:t>
      </w:r>
      <w:r w:rsidR="00585E45">
        <w:t>r</w:t>
      </w:r>
      <w:r>
        <w:t xml:space="preserve">. </w:t>
      </w:r>
      <w:r w:rsidR="00103096">
        <w:t>7</w:t>
      </w:r>
      <w:r>
        <w:t>, 201</w:t>
      </w:r>
      <w:r w:rsidR="00585E45">
        <w:t>7</w:t>
      </w:r>
      <w:r>
        <w:t xml:space="preserve">). </w:t>
      </w:r>
    </w:p>
  </w:footnote>
  <w:footnote w:id="4">
    <w:p w:rsidR="002A2C7D">
      <w:pPr>
        <w:pStyle w:val="FootnoteText"/>
      </w:pPr>
      <w:r>
        <w:rPr>
          <w:rStyle w:val="FootnoteReference"/>
        </w:rPr>
        <w:footnoteRef/>
      </w:r>
      <w:r>
        <w:t xml:space="preserve"> </w:t>
      </w:r>
      <w:r>
        <w:rPr>
          <w:i/>
        </w:rPr>
        <w:t xml:space="preserve">See </w:t>
      </w:r>
      <w:r>
        <w:t>47 CFR § 97.301(</w:t>
      </w:r>
      <w:r w:rsidR="00585E45">
        <w:t>d</w:t>
      </w:r>
      <w:r>
        <w:t>).</w:t>
      </w:r>
    </w:p>
  </w:footnote>
  <w:footnote w:id="5">
    <w:p w:rsidR="002A2C7D">
      <w:pPr>
        <w:pStyle w:val="FootnoteText"/>
      </w:pPr>
      <w:r>
        <w:rPr>
          <w:rStyle w:val="FootnoteReference"/>
        </w:rPr>
        <w:footnoteRef/>
      </w:r>
      <w:r w:rsidR="00103096">
        <w:t xml:space="preserve"> E-mail </w:t>
      </w:r>
      <w:r>
        <w:t xml:space="preserve">from Amanda Grimaldi, </w:t>
      </w:r>
      <w:r w:rsidR="00103096">
        <w:t>VEC Assistant Manager</w:t>
      </w:r>
      <w:r>
        <w:t>, ARRL VEC, to Rebecca Williams</w:t>
      </w:r>
      <w:r w:rsidR="00585E45">
        <w:t xml:space="preserve"> et al.</w:t>
      </w:r>
      <w:r>
        <w:t xml:space="preserve"> (</w:t>
      </w:r>
      <w:r w:rsidR="00103096">
        <w:t>Apr. 11</w:t>
      </w:r>
      <w:r w:rsidR="00585E45">
        <w:t>, 201</w:t>
      </w:r>
      <w:r w:rsidR="00103096">
        <w:t>8</w:t>
      </w:r>
      <w:r>
        <w:t xml:space="preserve"> </w:t>
      </w:r>
      <w:r w:rsidR="00585E45">
        <w:t>1</w:t>
      </w:r>
      <w:r>
        <w:t>2:</w:t>
      </w:r>
      <w:r w:rsidR="00103096">
        <w:t>1</w:t>
      </w:r>
      <w:r w:rsidR="00585E45">
        <w:t>2</w:t>
      </w:r>
      <w:r>
        <w:t xml:space="preserve"> p.m.).</w:t>
      </w:r>
    </w:p>
  </w:footnote>
  <w:footnote w:id="6">
    <w:p w:rsidR="002A2C7D">
      <w:pPr>
        <w:pStyle w:val="FootnoteText"/>
      </w:pPr>
      <w:r>
        <w:rPr>
          <w:rStyle w:val="FootnoteReference"/>
        </w:rPr>
        <w:footnoteRef/>
      </w:r>
      <w:r>
        <w:t xml:space="preserve"> 47 CFR § 1.41.</w:t>
      </w:r>
    </w:p>
  </w:footnote>
  <w:footnote w:id="7">
    <w:p w:rsidR="002A2C7D">
      <w:pPr>
        <w:pStyle w:val="FootnoteText"/>
      </w:pPr>
      <w:r>
        <w:rPr>
          <w:rStyle w:val="FootnoteReference"/>
        </w:rPr>
        <w:footnoteRef/>
      </w:r>
      <w:r>
        <w:t xml:space="preserve"> 47 U.S.C. § 316(a)(1).</w:t>
      </w:r>
    </w:p>
  </w:footnote>
  <w:footnote w:id="8">
    <w:p w:rsidR="002A2C7D">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9">
    <w:p w:rsidR="002A2C7D">
      <w:pPr>
        <w:pStyle w:val="FootnoteText"/>
        <w:ind w:right="0"/>
        <w:jc w:val="both"/>
      </w:pPr>
      <w:r>
        <w:rPr>
          <w:rStyle w:val="FootnoteReference"/>
        </w:rPr>
        <w:footnoteRef/>
      </w:r>
      <w:r>
        <w:t xml:space="preserve"> 47 CFR § 1.87(a).</w:t>
      </w:r>
    </w:p>
  </w:footnote>
  <w:footnote w:id="10">
    <w:p w:rsidR="002A2C7D">
      <w:pPr>
        <w:widowControl/>
        <w:autoSpaceDE w:val="0"/>
        <w:autoSpaceDN w:val="0"/>
        <w:adjustRightInd w:val="0"/>
        <w:jc w:val="left"/>
        <w:rPr>
          <w:rFonts w:ascii="Microsoft Sans Serif" w:hAnsi="Microsoft Sans Serif" w:cs="Microsoft Sans Serif"/>
          <w:snapToGrid/>
          <w:kern w:val="0"/>
          <w:sz w:val="20"/>
        </w:rPr>
      </w:pPr>
      <w:r>
        <w:rPr>
          <w:rStyle w:val="FootnoteReference"/>
        </w:rPr>
        <w:footnoteRef/>
      </w:r>
      <w:r>
        <w:t xml:space="preserve"> </w:t>
      </w:r>
      <w:r>
        <w:rPr>
          <w:snapToGrid/>
          <w:kern w:val="0"/>
          <w:sz w:val="20"/>
        </w:rPr>
        <w:t>Th</w:t>
      </w:r>
      <w:r w:rsidR="003E3D87">
        <w:rPr>
          <w:snapToGrid/>
          <w:kern w:val="0"/>
          <w:sz w:val="20"/>
        </w:rPr>
        <w:t>is</w:t>
      </w:r>
      <w:r>
        <w:rPr>
          <w:snapToGrid/>
          <w:kern w:val="0"/>
          <w:sz w:val="20"/>
        </w:rPr>
        <w:t xml:space="preserve"> address should be used only for documents filed by United States Postal Service first-class mail, Express Mail, and Priority Mail</w:t>
      </w:r>
      <w:r w:rsidR="003E3D87">
        <w:rPr>
          <w:snapToGrid/>
          <w:kern w:val="0"/>
          <w:sz w:val="20"/>
        </w:rPr>
        <w:t>, and ha</w:t>
      </w:r>
      <w:r>
        <w:rPr>
          <w:snapToGrid/>
          <w:kern w:val="0"/>
          <w:sz w:val="20"/>
        </w:rPr>
        <w:t xml:space="preserve">nd-delivered or messenger-delivered documents.  Other messenger-delivered documents, including documents sent by overnight mail (other than United States Postal Service, Express Mail, and Priority Mail) should be addressed for delivery to </w:t>
      </w:r>
      <w:r w:rsidR="008115BD">
        <w:rPr>
          <w:snapToGrid/>
          <w:kern w:val="0"/>
          <w:sz w:val="20"/>
        </w:rPr>
        <w:t>9050 Junction Drive, Annapolis Junction, MD  20701</w:t>
      </w:r>
      <w:r>
        <w:rPr>
          <w:snapToGrid/>
          <w:kern w:val="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C7D">
    <w:pPr>
      <w:tabs>
        <w:tab w:val="center" w:pos="4680"/>
        <w:tab w:val="right" w:pos="9360"/>
      </w:tabs>
      <w:suppressAutoHyphens/>
      <w:spacing w:line="227" w:lineRule="auto"/>
      <w:rPr>
        <w:spacing w:val="-2"/>
      </w:rPr>
    </w:pPr>
    <w:r>
      <w:rPr>
        <w:b/>
        <w:spacing w:val="-2"/>
      </w:rPr>
      <w:tab/>
      <w:t>Federal Communications Commission</w:t>
    </w:r>
    <w:r>
      <w:rPr>
        <w:spacing w:val="-2"/>
      </w:rPr>
      <w:tab/>
    </w:r>
    <w:r w:rsidR="00103096">
      <w:rPr>
        <w:b/>
        <w:spacing w:val="-2"/>
      </w:rPr>
      <w:t>DA 18</w:t>
    </w:r>
    <w:r>
      <w:rPr>
        <w:b/>
        <w:spacing w:val="-2"/>
      </w:rPr>
      <w:t>-</w:t>
    </w:r>
    <w:r w:rsidR="00BB3454">
      <w:rPr>
        <w:b/>
        <w:spacing w:val="-2"/>
      </w:rPr>
      <w:t>362</w:t>
    </w:r>
  </w:p>
  <w:p w:rsidR="002A2C7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txbx>
                      <w:txbxContent>
                        <w:p w:rsidR="002A2C7D"/>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2A2C7D"/>
                </w:txbxContent>
              </v:textbox>
              <w10:wrap anchorx="margin"/>
            </v:rect>
          </w:pict>
        </mc:Fallback>
      </mc:AlternateContent>
    </w:r>
  </w:p>
  <w:p w:rsidR="002A2C7D">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C7D">
    <w:pPr>
      <w:pStyle w:val="Header"/>
      <w:pBdr>
        <w:bottom w:val="single" w:sz="12" w:space="1" w:color="auto"/>
      </w:pBdr>
      <w:rPr>
        <w:b w:val="0"/>
      </w:rPr>
    </w:pPr>
    <w:r>
      <w:tab/>
      <w:t>Federal</w:t>
    </w:r>
    <w:r w:rsidR="00585E45">
      <w:t xml:space="preserve"> Communications Commission</w:t>
    </w:r>
    <w:r w:rsidR="00585E45">
      <w:tab/>
      <w:t>DA 1</w:t>
    </w:r>
    <w:r w:rsidR="00103096">
      <w:t>8</w:t>
    </w:r>
    <w:r>
      <w:t>-</w:t>
    </w:r>
    <w:r w:rsidR="00BB3454">
      <w:t>362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48BCB83E"/>
    <w:lvl w:ilvl="0">
      <w:start w:val="3"/>
      <w:numFmt w:val="decimal"/>
      <w:pStyle w:val="BodyText"/>
      <w:lvlText w:val="%1."/>
      <w:lvlJc w:val="left"/>
      <w:pPr>
        <w:tabs>
          <w:tab w:val="num" w:pos="1080"/>
        </w:tabs>
        <w:ind w:left="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3E61A1"/>
    <w:multiLevelType w:val="singleLevel"/>
    <w:tmpl w:val="0DDC1D58"/>
    <w:lvl w:ilvl="0">
      <w:start w:val="13"/>
      <w:numFmt w:val="decimal"/>
      <w:lvlText w:val="%1."/>
      <w:lvlJc w:val="left"/>
      <w:pPr>
        <w:tabs>
          <w:tab w:val="num" w:pos="1080"/>
        </w:tabs>
        <w:ind w:left="0" w:firstLine="720"/>
      </w:pPr>
      <w:rPr>
        <w:b w:val="0"/>
        <w:i w:val="0"/>
      </w:rPr>
    </w:lvl>
  </w:abstractNum>
  <w:abstractNum w:abstractNumId="5">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6">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21E507CA"/>
    <w:multiLevelType w:val="singleLevel"/>
    <w:tmpl w:val="ECC02806"/>
    <w:lvl w:ilvl="0">
      <w:start w:val="1"/>
      <w:numFmt w:val="upperRoman"/>
      <w:lvlText w:val="%1."/>
      <w:lvlJc w:val="left"/>
      <w:pPr>
        <w:tabs>
          <w:tab w:val="num" w:pos="720"/>
        </w:tabs>
        <w:ind w:left="720" w:hanging="720"/>
      </w:pPr>
      <w:rPr>
        <w:rFonts w:hint="default"/>
      </w:r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314EA4"/>
    <w:multiLevelType w:val="singleLevel"/>
    <w:tmpl w:val="DCAC5B10"/>
    <w:lvl w:ilvl="0">
      <w:start w:val="1"/>
      <w:numFmt w:val="upperRoman"/>
      <w:lvlText w:val="%1."/>
      <w:lvlJc w:val="left"/>
      <w:pPr>
        <w:tabs>
          <w:tab w:val="num" w:pos="1440"/>
        </w:tabs>
        <w:ind w:left="0" w:firstLine="720"/>
      </w:pPr>
      <w:rPr>
        <w:rFonts w:ascii="Times New Roman" w:hAnsi="Times New Roman" w:hint="default"/>
        <w:b/>
        <w:i w:val="0"/>
        <w:sz w:val="22"/>
        <w:u w:val="none"/>
      </w:rPr>
    </w:lvl>
  </w:abstractNum>
  <w:abstractNum w:abstractNumId="1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4">
    <w:nsid w:val="305E3024"/>
    <w:multiLevelType w:val="singleLevel"/>
    <w:tmpl w:val="EA9E5D9A"/>
    <w:lvl w:ilvl="0">
      <w:start w:val="2"/>
      <w:numFmt w:val="decimal"/>
      <w:lvlText w:val="%1."/>
      <w:lvlJc w:val="left"/>
      <w:pPr>
        <w:tabs>
          <w:tab w:val="num" w:pos="1080"/>
        </w:tabs>
        <w:ind w:left="0" w:firstLine="720"/>
      </w:pPr>
    </w:lvl>
  </w:abstractNum>
  <w:abstractNum w:abstractNumId="15">
    <w:nsid w:val="31567AA9"/>
    <w:multiLevelType w:val="singleLevel"/>
    <w:tmpl w:val="8612C2A2"/>
    <w:lvl w:ilvl="0">
      <w:start w:val="1"/>
      <w:numFmt w:val="decimal"/>
      <w:lvlText w:val="%1."/>
      <w:lvlJc w:val="left"/>
      <w:pPr>
        <w:tabs>
          <w:tab w:val="num" w:pos="1080"/>
        </w:tabs>
        <w:ind w:left="0" w:firstLine="720"/>
      </w:pPr>
      <w:rPr>
        <w:b w:val="0"/>
        <w:i w:val="0"/>
      </w:rPr>
    </w:lvl>
  </w:abstractNum>
  <w:abstractNum w:abstractNumId="16">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7">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8">
    <w:nsid w:val="43D27EFD"/>
    <w:multiLevelType w:val="singleLevel"/>
    <w:tmpl w:val="42701C86"/>
    <w:lvl w:ilvl="0">
      <w:start w:val="1"/>
      <w:numFmt w:val="decimal"/>
      <w:lvlText w:val="%1."/>
      <w:lvlJc w:val="left"/>
      <w:pPr>
        <w:tabs>
          <w:tab w:val="num" w:pos="1440"/>
        </w:tabs>
        <w:ind w:left="1440" w:hanging="720"/>
      </w:pPr>
    </w:lvl>
  </w:abstractNum>
  <w:abstractNum w:abstractNumId="19">
    <w:nsid w:val="4A880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1">
    <w:nsid w:val="5A105ECF"/>
    <w:multiLevelType w:val="singleLevel"/>
    <w:tmpl w:val="D1A68880"/>
    <w:lvl w:ilvl="0">
      <w:start w:val="13"/>
      <w:numFmt w:val="decimal"/>
      <w:lvlText w:val="%1."/>
      <w:lvlJc w:val="left"/>
      <w:pPr>
        <w:tabs>
          <w:tab w:val="num" w:pos="1440"/>
        </w:tabs>
        <w:ind w:left="1440" w:hanging="720"/>
      </w:pPr>
      <w:rPr>
        <w:rFonts w:hint="default"/>
      </w:rPr>
    </w:lvl>
  </w:abstractNum>
  <w:abstractNum w:abstractNumId="22">
    <w:nsid w:val="5FFF125B"/>
    <w:multiLevelType w:val="singleLevel"/>
    <w:tmpl w:val="B1F45678"/>
    <w:lvl w:ilvl="0">
      <w:start w:val="1"/>
      <w:numFmt w:val="decimal"/>
      <w:lvlText w:val="%1."/>
      <w:lvlJc w:val="left"/>
      <w:pPr>
        <w:tabs>
          <w:tab w:val="num" w:pos="1080"/>
        </w:tabs>
        <w:ind w:left="0" w:firstLine="720"/>
      </w:pPr>
    </w:lvl>
  </w:abstractNum>
  <w:abstractNum w:abstractNumId="23">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03621C9"/>
    <w:multiLevelType w:val="singleLevel"/>
    <w:tmpl w:val="373411A8"/>
    <w:lvl w:ilvl="0">
      <w:start w:val="1"/>
      <w:numFmt w:val="decimal"/>
      <w:lvlText w:val="%1."/>
      <w:lvlJc w:val="left"/>
      <w:pPr>
        <w:tabs>
          <w:tab w:val="num" w:pos="1080"/>
        </w:tabs>
        <w:ind w:left="0" w:firstLine="720"/>
      </w:pPr>
    </w:lvl>
  </w:abstractNum>
  <w:abstractNum w:abstractNumId="26">
    <w:nsid w:val="75993104"/>
    <w:multiLevelType w:val="singleLevel"/>
    <w:tmpl w:val="8612C2A2"/>
    <w:lvl w:ilvl="0">
      <w:start w:val="1"/>
      <w:numFmt w:val="decimal"/>
      <w:lvlText w:val="%1."/>
      <w:lvlJc w:val="left"/>
      <w:pPr>
        <w:tabs>
          <w:tab w:val="num" w:pos="1080"/>
        </w:tabs>
        <w:ind w:left="0" w:firstLine="720"/>
      </w:pPr>
      <w:rPr>
        <w:b w:val="0"/>
        <w:i w:val="0"/>
      </w:rPr>
    </w:lvl>
  </w:abstractNum>
  <w:abstractNum w:abstractNumId="27">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8">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4"/>
  </w:num>
  <w:num w:numId="2">
    <w:abstractNumId w:val="10"/>
  </w:num>
  <w:num w:numId="3">
    <w:abstractNumId w:val="3"/>
  </w:num>
  <w:num w:numId="4">
    <w:abstractNumId w:val="22"/>
  </w:num>
  <w:num w:numId="5">
    <w:abstractNumId w:val="25"/>
  </w:num>
  <w:num w:numId="6">
    <w:abstractNumId w:val="14"/>
  </w:num>
  <w:num w:numId="7">
    <w:abstractNumId w:val="16"/>
  </w:num>
  <w:num w:numId="8">
    <w:abstractNumId w:val="18"/>
  </w:num>
  <w:num w:numId="9">
    <w:abstractNumId w:val="1"/>
  </w:num>
  <w:num w:numId="10">
    <w:abstractNumId w:val="0"/>
  </w:num>
  <w:num w:numId="11">
    <w:abstractNumId w:val="5"/>
  </w:num>
  <w:num w:numId="12">
    <w:abstractNumId w:val="13"/>
  </w:num>
  <w:num w:numId="13">
    <w:abstractNumId w:val="3"/>
  </w:num>
  <w:num w:numId="14">
    <w:abstractNumId w:val="20"/>
  </w:num>
  <w:num w:numId="15">
    <w:abstractNumId w:val="6"/>
  </w:num>
  <w:num w:numId="16">
    <w:abstractNumId w:val="17"/>
  </w:num>
  <w:num w:numId="17">
    <w:abstractNumId w:val="7"/>
  </w:num>
  <w:num w:numId="18">
    <w:abstractNumId w:val="27"/>
  </w:num>
  <w:num w:numId="19">
    <w:abstractNumId w:val="2"/>
  </w:num>
  <w:num w:numId="20">
    <w:abstractNumId w:val="23"/>
  </w:num>
  <w:num w:numId="21">
    <w:abstractNumId w:val="12"/>
  </w:num>
  <w:num w:numId="22">
    <w:abstractNumId w:val="2"/>
  </w:num>
  <w:num w:numId="23">
    <w:abstractNumId w:val="23"/>
  </w:num>
  <w:num w:numId="24">
    <w:abstractNumId w:val="23"/>
  </w:num>
  <w:num w:numId="25">
    <w:abstractNumId w:val="23"/>
  </w:num>
  <w:num w:numId="26">
    <w:abstractNumId w:val="28"/>
  </w:num>
  <w:num w:numId="27">
    <w:abstractNumId w:val="9"/>
  </w:num>
  <w:num w:numId="28">
    <w:abstractNumId w:val="12"/>
  </w:num>
  <w:num w:numId="29">
    <w:abstractNumId w:val="19"/>
  </w:num>
  <w:num w:numId="30">
    <w:abstractNumId w:val="4"/>
  </w:num>
  <w:num w:numId="31">
    <w:abstractNumId w:val="11"/>
  </w:num>
  <w:num w:numId="32">
    <w:abstractNumId w:val="15"/>
  </w:num>
  <w:num w:numId="33">
    <w:abstractNumId w:val="26"/>
  </w:num>
  <w:num w:numId="34">
    <w:abstractNumId w:val="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D1"/>
    <w:rsid w:val="000029EC"/>
    <w:rsid w:val="00003578"/>
    <w:rsid w:val="00020222"/>
    <w:rsid w:val="00061BDF"/>
    <w:rsid w:val="00103096"/>
    <w:rsid w:val="002076D1"/>
    <w:rsid w:val="002A2C7D"/>
    <w:rsid w:val="002D7835"/>
    <w:rsid w:val="002E37DE"/>
    <w:rsid w:val="0035042D"/>
    <w:rsid w:val="003E3D87"/>
    <w:rsid w:val="003F0464"/>
    <w:rsid w:val="004D0A71"/>
    <w:rsid w:val="0050628E"/>
    <w:rsid w:val="00585E45"/>
    <w:rsid w:val="005B13F6"/>
    <w:rsid w:val="005D4B47"/>
    <w:rsid w:val="0068350F"/>
    <w:rsid w:val="007F51AC"/>
    <w:rsid w:val="008115BD"/>
    <w:rsid w:val="00812601"/>
    <w:rsid w:val="00831E33"/>
    <w:rsid w:val="0092009A"/>
    <w:rsid w:val="00A85DD1"/>
    <w:rsid w:val="00BB3454"/>
    <w:rsid w:val="00CA479B"/>
    <w:rsid w:val="00D14083"/>
    <w:rsid w:val="00D81C32"/>
    <w:rsid w:val="00E04802"/>
    <w:rsid w:val="00E61AC6"/>
    <w:rsid w:val="00E77B53"/>
    <w:rsid w:val="00EE18BD"/>
    <w:rsid w:val="00FF26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spacing w:after="220"/>
      <w:ind w:firstLine="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0"/>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Title">
    <w:name w:val="Title"/>
    <w:basedOn w:val="Normal"/>
    <w:qFormat/>
    <w:pPr>
      <w:jc w:val="center"/>
    </w:pPr>
    <w:rPr>
      <w:b/>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widowControl/>
      <w:numPr>
        <w:numId w:val="22"/>
      </w:numPr>
    </w:pPr>
    <w:rPr>
      <w:snapToGrid/>
      <w:kern w:val="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E3D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2018-04-12T13:08:49Z</dcterms:created>
  <dcterms:modified xsi:type="dcterms:W3CDTF">2018-04-12T13:08:49Z</dcterms:modified>
</cp:coreProperties>
</file>