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583458" w:rsidRPr="00B570EB" w:rsidP="00E34125" w14:paraId="402086EE" w14:textId="77777777">
      <w:pPr>
        <w:rPr>
          <w:sz w:val="22"/>
          <w:szCs w:val="22"/>
        </w:rPr>
      </w:pPr>
      <w:bookmarkStart w:id="0" w:name="_GoBack"/>
      <w:bookmarkEnd w:id="0"/>
    </w:p>
    <w:p w:rsidR="00583458" w:rsidRPr="00B570EB" w:rsidP="00E34125" w14:paraId="3AE51C0C" w14:textId="3321BB96">
      <w:pPr>
        <w:jc w:val="right"/>
        <w:rPr>
          <w:sz w:val="22"/>
          <w:szCs w:val="22"/>
        </w:rPr>
      </w:pPr>
      <w:r w:rsidRPr="00B570EB">
        <w:rPr>
          <w:b/>
          <w:sz w:val="22"/>
          <w:szCs w:val="22"/>
        </w:rPr>
        <w:t>DA</w:t>
      </w:r>
      <w:r w:rsidRPr="00B570EB" w:rsidR="004D7CC1">
        <w:rPr>
          <w:sz w:val="22"/>
          <w:szCs w:val="22"/>
        </w:rPr>
        <w:t xml:space="preserve"> </w:t>
      </w:r>
      <w:r w:rsidRPr="00B570EB" w:rsidR="0059603D">
        <w:rPr>
          <w:b/>
          <w:sz w:val="22"/>
          <w:szCs w:val="22"/>
        </w:rPr>
        <w:t>18-</w:t>
      </w:r>
      <w:r w:rsidR="009356FE">
        <w:rPr>
          <w:b/>
          <w:sz w:val="22"/>
          <w:szCs w:val="22"/>
        </w:rPr>
        <w:t>374</w:t>
      </w:r>
    </w:p>
    <w:p w:rsidR="00FF48A1" w:rsidRPr="00B570EB" w:rsidP="00E34125" w14:paraId="0271CC0F" w14:textId="77777777">
      <w:pPr>
        <w:jc w:val="center"/>
        <w:rPr>
          <w:b/>
          <w:sz w:val="22"/>
          <w:szCs w:val="22"/>
        </w:rPr>
      </w:pPr>
    </w:p>
    <w:p w:rsidR="00583458" w:rsidRPr="00DD2020" w:rsidP="00E34125" w14:paraId="62AE0ACD" w14:textId="77777777">
      <w:pPr>
        <w:jc w:val="center"/>
        <w:rPr>
          <w:b/>
          <w:sz w:val="28"/>
          <w:szCs w:val="28"/>
        </w:rPr>
      </w:pPr>
      <w:r w:rsidRPr="00DD2020">
        <w:rPr>
          <w:b/>
          <w:sz w:val="28"/>
          <w:szCs w:val="28"/>
        </w:rPr>
        <w:t>Small Entity Compliance Guide</w:t>
      </w:r>
    </w:p>
    <w:p w:rsidR="00583458" w:rsidRPr="00B570EB" w:rsidP="00E34125" w14:paraId="49E152E2" w14:textId="77777777">
      <w:pPr>
        <w:rPr>
          <w:sz w:val="22"/>
          <w:szCs w:val="22"/>
        </w:rPr>
      </w:pPr>
    </w:p>
    <w:p w:rsidR="008B4AFB" w:rsidRPr="00DD2020" w:rsidP="00E34125" w14:paraId="643594F8" w14:textId="77777777">
      <w:pPr>
        <w:jc w:val="center"/>
        <w:rPr>
          <w:snapToGrid w:val="0"/>
          <w:spacing w:val="-2"/>
          <w:sz w:val="22"/>
          <w:szCs w:val="22"/>
        </w:rPr>
      </w:pPr>
      <w:bookmarkStart w:id="1" w:name="_Hlk506531057"/>
      <w:r w:rsidRPr="00DD2020">
        <w:rPr>
          <w:snapToGrid w:val="0"/>
          <w:spacing w:val="-2"/>
          <w:sz w:val="22"/>
          <w:szCs w:val="22"/>
        </w:rPr>
        <w:t>Amendment of Part 11 of the Commission’s Rules Regarding Emergency Alert System</w:t>
      </w:r>
    </w:p>
    <w:p w:rsidR="00583458" w:rsidRPr="002D791F" w:rsidP="00E34125" w14:paraId="76A0EB5F" w14:textId="77777777">
      <w:pPr>
        <w:rPr>
          <w:sz w:val="22"/>
          <w:szCs w:val="22"/>
        </w:rPr>
      </w:pPr>
      <w:bookmarkEnd w:id="1"/>
    </w:p>
    <w:p w:rsidR="00583458" w:rsidRPr="002D791F" w:rsidP="00E34125" w14:paraId="16729054" w14:textId="77777777">
      <w:pPr>
        <w:jc w:val="center"/>
        <w:rPr>
          <w:bCs/>
          <w:sz w:val="22"/>
          <w:szCs w:val="22"/>
        </w:rPr>
      </w:pPr>
      <w:r w:rsidRPr="002D791F">
        <w:rPr>
          <w:bCs/>
          <w:sz w:val="22"/>
          <w:szCs w:val="22"/>
        </w:rPr>
        <w:t>FCC 1</w:t>
      </w:r>
      <w:r w:rsidRPr="002D791F" w:rsidR="00F730AB">
        <w:rPr>
          <w:bCs/>
          <w:sz w:val="22"/>
          <w:szCs w:val="22"/>
        </w:rPr>
        <w:t>7</w:t>
      </w:r>
      <w:r w:rsidRPr="002D791F">
        <w:rPr>
          <w:bCs/>
          <w:sz w:val="22"/>
          <w:szCs w:val="22"/>
        </w:rPr>
        <w:t>-</w:t>
      </w:r>
      <w:r w:rsidRPr="002D791F" w:rsidR="00C33B91">
        <w:rPr>
          <w:bCs/>
          <w:sz w:val="22"/>
          <w:szCs w:val="22"/>
        </w:rPr>
        <w:t>170</w:t>
      </w:r>
    </w:p>
    <w:p w:rsidR="00C33B91" w:rsidRPr="002D791F" w:rsidP="00E34125" w14:paraId="4417A0E3" w14:textId="77777777">
      <w:pPr>
        <w:jc w:val="center"/>
        <w:rPr>
          <w:spacing w:val="-2"/>
          <w:sz w:val="22"/>
          <w:szCs w:val="22"/>
        </w:rPr>
      </w:pPr>
      <w:r w:rsidRPr="002D791F">
        <w:rPr>
          <w:spacing w:val="-2"/>
          <w:sz w:val="22"/>
          <w:szCs w:val="22"/>
        </w:rPr>
        <w:t>PS Docket No. 15-94</w:t>
      </w:r>
    </w:p>
    <w:p w:rsidR="007B6800" w:rsidRPr="002D791F" w:rsidP="00E34125" w14:paraId="5983EB0C" w14:textId="77777777">
      <w:pPr>
        <w:jc w:val="center"/>
        <w:rPr>
          <w:sz w:val="22"/>
          <w:szCs w:val="22"/>
        </w:rPr>
      </w:pPr>
      <w:r w:rsidRPr="002D791F">
        <w:rPr>
          <w:spacing w:val="-2"/>
          <w:sz w:val="22"/>
          <w:szCs w:val="22"/>
        </w:rPr>
        <w:t xml:space="preserve">Released </w:t>
      </w:r>
      <w:r w:rsidRPr="002D791F" w:rsidR="00C33B91">
        <w:rPr>
          <w:spacing w:val="-2"/>
          <w:sz w:val="22"/>
          <w:szCs w:val="22"/>
        </w:rPr>
        <w:t>December 14</w:t>
      </w:r>
      <w:r w:rsidRPr="002D791F">
        <w:rPr>
          <w:spacing w:val="-2"/>
          <w:sz w:val="22"/>
          <w:szCs w:val="22"/>
        </w:rPr>
        <w:t>, 2017</w:t>
      </w:r>
    </w:p>
    <w:p w:rsidR="00583458" w:rsidRPr="00B570EB" w:rsidP="00E34125" w14:paraId="34DD093F" w14:textId="77777777">
      <w:pPr>
        <w:rPr>
          <w:sz w:val="22"/>
          <w:szCs w:val="22"/>
        </w:rPr>
      </w:pPr>
    </w:p>
    <w:p w:rsidR="00583458" w:rsidRPr="00B570EB" w:rsidP="004D7CC1" w14:paraId="1EB88038" w14:textId="373DA079">
      <w:pPr>
        <w:ind w:left="720"/>
        <w:jc w:val="both"/>
        <w:rPr>
          <w:b/>
          <w:sz w:val="22"/>
          <w:szCs w:val="22"/>
        </w:rPr>
      </w:pPr>
      <w:r w:rsidRPr="00B570EB">
        <w:rPr>
          <w:b/>
          <w:sz w:val="22"/>
          <w:szCs w:val="22"/>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jurisdictions—to comply with the </w:t>
      </w:r>
      <w:r w:rsidRPr="00B570EB" w:rsidR="00F01236">
        <w:rPr>
          <w:b/>
          <w:sz w:val="22"/>
          <w:szCs w:val="22"/>
        </w:rPr>
        <w:t xml:space="preserve">revised </w:t>
      </w:r>
      <w:r w:rsidRPr="00B570EB">
        <w:rPr>
          <w:b/>
          <w:sz w:val="22"/>
          <w:szCs w:val="22"/>
        </w:rPr>
        <w:t xml:space="preserve">rule adopted in the above-referenced </w:t>
      </w:r>
      <w:r w:rsidRPr="00B570EB" w:rsidR="00F01236">
        <w:rPr>
          <w:b/>
          <w:sz w:val="22"/>
          <w:szCs w:val="22"/>
        </w:rPr>
        <w:t>Federal Communications Commission (</w:t>
      </w:r>
      <w:r w:rsidRPr="00B570EB">
        <w:rPr>
          <w:b/>
          <w:sz w:val="22"/>
          <w:szCs w:val="22"/>
        </w:rPr>
        <w:t>FCC</w:t>
      </w:r>
      <w:r w:rsidRPr="00B570EB" w:rsidR="00F01236">
        <w:rPr>
          <w:b/>
          <w:sz w:val="22"/>
          <w:szCs w:val="22"/>
        </w:rPr>
        <w:t xml:space="preserve"> or Commission)</w:t>
      </w:r>
      <w:r w:rsidRPr="00B570EB">
        <w:rPr>
          <w:b/>
          <w:sz w:val="22"/>
          <w:szCs w:val="22"/>
        </w:rPr>
        <w:t xml:space="preserve"> rulemaking docket.  This Guide is not intended to replace </w:t>
      </w:r>
      <w:r w:rsidRPr="00B570EB" w:rsidR="00F01236">
        <w:rPr>
          <w:b/>
          <w:sz w:val="22"/>
          <w:szCs w:val="22"/>
        </w:rPr>
        <w:t xml:space="preserve">or supersede </w:t>
      </w:r>
      <w:r w:rsidRPr="00B570EB">
        <w:rPr>
          <w:b/>
          <w:sz w:val="22"/>
          <w:szCs w:val="22"/>
        </w:rPr>
        <w:t>the</w:t>
      </w:r>
      <w:r w:rsidRPr="00B570EB" w:rsidR="00F01236">
        <w:rPr>
          <w:b/>
          <w:sz w:val="22"/>
          <w:szCs w:val="22"/>
        </w:rPr>
        <w:t>se</w:t>
      </w:r>
      <w:r w:rsidRPr="00B570EB">
        <w:rPr>
          <w:b/>
          <w:sz w:val="22"/>
          <w:szCs w:val="22"/>
        </w:rPr>
        <w:t xml:space="preserve"> rules </w:t>
      </w:r>
      <w:r w:rsidRPr="00B570EB" w:rsidR="00F01236">
        <w:rPr>
          <w:b/>
          <w:sz w:val="22"/>
          <w:szCs w:val="22"/>
        </w:rPr>
        <w:t xml:space="preserve">but to facilitate compliance </w:t>
      </w:r>
      <w:r w:rsidRPr="00B570EB">
        <w:rPr>
          <w:b/>
          <w:sz w:val="22"/>
          <w:szCs w:val="22"/>
        </w:rPr>
        <w:t>with the rules.  Although we have attempted to cover all parts of the rule that might be especially important to small entities, the cov</w:t>
      </w:r>
      <w:r w:rsidR="00A54D5D">
        <w:rPr>
          <w:b/>
          <w:sz w:val="22"/>
          <w:szCs w:val="22"/>
        </w:rPr>
        <w:t xml:space="preserve">erage may not be exhaustive.  </w:t>
      </w:r>
      <w:r w:rsidRPr="00B570EB">
        <w:rPr>
          <w:b/>
          <w:sz w:val="22"/>
          <w:szCs w:val="22"/>
        </w:rPr>
        <w:t xml:space="preserve">This Guide </w:t>
      </w:r>
      <w:r w:rsidRPr="00B570EB" w:rsidR="00F01236">
        <w:rPr>
          <w:b/>
          <w:sz w:val="22"/>
          <w:szCs w:val="22"/>
        </w:rPr>
        <w:t>cannot anticipate all situations in which the rule appl</w:t>
      </w:r>
      <w:r w:rsidR="00F80A40">
        <w:rPr>
          <w:b/>
          <w:sz w:val="22"/>
          <w:szCs w:val="22"/>
        </w:rPr>
        <w:t>ies</w:t>
      </w:r>
      <w:r w:rsidRPr="00B570EB" w:rsidR="00F01236">
        <w:rPr>
          <w:b/>
          <w:sz w:val="22"/>
          <w:szCs w:val="22"/>
        </w:rPr>
        <w:t xml:space="preserve">.  Furthermore, </w:t>
      </w:r>
      <w:r w:rsidRPr="00B570EB">
        <w:rPr>
          <w:b/>
          <w:sz w:val="22"/>
          <w:szCs w:val="22"/>
        </w:rPr>
        <w:t xml:space="preserve">the </w:t>
      </w:r>
      <w:r w:rsidRPr="00B570EB" w:rsidR="00F01236">
        <w:rPr>
          <w:b/>
          <w:sz w:val="22"/>
          <w:szCs w:val="22"/>
        </w:rPr>
        <w:t xml:space="preserve">Commission </w:t>
      </w:r>
      <w:r w:rsidRPr="00B570EB">
        <w:rPr>
          <w:b/>
          <w:sz w:val="22"/>
          <w:szCs w:val="22"/>
        </w:rPr>
        <w:t xml:space="preserve">retains the discretion to adopt case-by-case </w:t>
      </w:r>
      <w:r w:rsidRPr="00B570EB" w:rsidR="00F01236">
        <w:rPr>
          <w:b/>
          <w:sz w:val="22"/>
          <w:szCs w:val="22"/>
        </w:rPr>
        <w:t xml:space="preserve">approaches, where appropriate, </w:t>
      </w:r>
      <w:r w:rsidRPr="00B570EB">
        <w:rPr>
          <w:b/>
          <w:sz w:val="22"/>
          <w:szCs w:val="22"/>
        </w:rPr>
        <w:t xml:space="preserve">that may differ from this Guide.  Any decisions regarding a particular small entity will be based on the statute and </w:t>
      </w:r>
      <w:r w:rsidRPr="00B570EB" w:rsidR="00F01236">
        <w:rPr>
          <w:b/>
          <w:sz w:val="22"/>
          <w:szCs w:val="22"/>
        </w:rPr>
        <w:t>any relevant rules</w:t>
      </w:r>
      <w:r w:rsidRPr="00B570EB">
        <w:rPr>
          <w:b/>
          <w:sz w:val="22"/>
          <w:szCs w:val="22"/>
        </w:rPr>
        <w:t>.</w:t>
      </w:r>
    </w:p>
    <w:p w:rsidR="00583458" w:rsidRPr="00B570EB" w:rsidP="004D7CC1" w14:paraId="271B9F04" w14:textId="77777777">
      <w:pPr>
        <w:ind w:left="720"/>
        <w:jc w:val="both"/>
        <w:rPr>
          <w:b/>
          <w:sz w:val="22"/>
          <w:szCs w:val="22"/>
        </w:rPr>
      </w:pPr>
    </w:p>
    <w:p w:rsidR="00583458" w:rsidRPr="00B570EB" w:rsidP="004D7CC1" w14:paraId="69B0188B" w14:textId="77777777">
      <w:pPr>
        <w:ind w:left="720"/>
        <w:jc w:val="both"/>
        <w:rPr>
          <w:b/>
          <w:sz w:val="22"/>
          <w:szCs w:val="22"/>
        </w:rPr>
      </w:pPr>
      <w:r w:rsidRPr="00B570EB">
        <w:rPr>
          <w:b/>
          <w:sz w:val="22"/>
          <w:szCs w:val="22"/>
        </w:rPr>
        <w:t>In any civil or administrative action against a small entity for a violation of rules, the content of the Small Entity Compliance Guide maybe considered as evidence of the reasonableness or appropriateness of proposed fines, penalties and damages.  Interested parties are free to file comments regarding this Guide and the appropriateness of its application to a particular situation</w:t>
      </w:r>
      <w:r w:rsidRPr="00B570EB" w:rsidR="004D7CC1">
        <w:rPr>
          <w:b/>
          <w:sz w:val="22"/>
          <w:szCs w:val="22"/>
        </w:rPr>
        <w:t>.</w:t>
      </w:r>
      <w:r w:rsidRPr="00B570EB">
        <w:rPr>
          <w:b/>
          <w:sz w:val="22"/>
          <w:szCs w:val="22"/>
        </w:rPr>
        <w:t xml:space="preserve"> </w:t>
      </w:r>
      <w:r w:rsidRPr="00B570EB" w:rsidR="004D7CC1">
        <w:rPr>
          <w:b/>
          <w:sz w:val="22"/>
          <w:szCs w:val="22"/>
        </w:rPr>
        <w:t>T</w:t>
      </w:r>
      <w:r w:rsidRPr="00B570EB">
        <w:rPr>
          <w:b/>
          <w:sz w:val="22"/>
          <w:szCs w:val="22"/>
        </w:rPr>
        <w:t>he FCC will</w:t>
      </w:r>
      <w:r w:rsidRPr="00B570EB" w:rsidR="004D7CC1">
        <w:rPr>
          <w:b/>
          <w:sz w:val="22"/>
          <w:szCs w:val="22"/>
        </w:rPr>
        <w:t xml:space="preserve"> then</w:t>
      </w:r>
      <w:r w:rsidRPr="00B570EB">
        <w:rPr>
          <w:b/>
          <w:sz w:val="22"/>
          <w:szCs w:val="22"/>
        </w:rPr>
        <w:t xml:space="preserve"> consider whether the recommendations or interpretations in the Guide are appropriate in that situation. The FCC may decide to revise this Guide without public notice to reflect changes in the FCC’s approach to implementing a rule, or </w:t>
      </w:r>
      <w:r w:rsidRPr="00B570EB" w:rsidR="004D7CC1">
        <w:rPr>
          <w:b/>
          <w:sz w:val="22"/>
          <w:szCs w:val="22"/>
        </w:rPr>
        <w:t xml:space="preserve">it may </w:t>
      </w:r>
      <w:r w:rsidRPr="00B570EB">
        <w:rPr>
          <w:b/>
          <w:sz w:val="22"/>
          <w:szCs w:val="22"/>
        </w:rPr>
        <w:t>clarify or update the text of the Guide.  Direct your comments and recommendations, or calls for further assistance, to the FCC’s Consumer Center:</w:t>
      </w:r>
    </w:p>
    <w:p w:rsidR="00583458" w:rsidRPr="00B570EB" w:rsidP="004D7CC1" w14:paraId="23AA8043" w14:textId="77777777">
      <w:pPr>
        <w:rPr>
          <w:sz w:val="22"/>
          <w:szCs w:val="22"/>
        </w:rPr>
      </w:pPr>
    </w:p>
    <w:p w:rsidR="00583458" w:rsidRPr="00B570EB" w:rsidP="004D7CC1" w14:paraId="5F07562A" w14:textId="77777777">
      <w:pPr>
        <w:spacing w:after="60"/>
        <w:jc w:val="center"/>
        <w:rPr>
          <w:color w:val="000000"/>
          <w:sz w:val="22"/>
          <w:szCs w:val="22"/>
        </w:rPr>
      </w:pPr>
      <w:r w:rsidRPr="00B570EB">
        <w:rPr>
          <w:b/>
          <w:color w:val="000000"/>
          <w:sz w:val="22"/>
          <w:szCs w:val="22"/>
        </w:rPr>
        <w:t>1-888-CALL-FCC (1-888-225-5322)</w:t>
      </w:r>
    </w:p>
    <w:p w:rsidR="00F81419" w:rsidRPr="00B570EB" w:rsidP="006D255C" w14:paraId="37818291" w14:textId="77777777">
      <w:pPr>
        <w:tabs>
          <w:tab w:val="left" w:pos="5925"/>
        </w:tabs>
        <w:spacing w:after="60"/>
        <w:jc w:val="center"/>
        <w:rPr>
          <w:b/>
          <w:color w:val="000000"/>
          <w:sz w:val="22"/>
          <w:szCs w:val="22"/>
        </w:rPr>
      </w:pPr>
      <w:r w:rsidRPr="00B570EB">
        <w:rPr>
          <w:b/>
          <w:color w:val="000000"/>
          <w:sz w:val="22"/>
          <w:szCs w:val="22"/>
        </w:rPr>
        <w:t>TTY: 1-888-TELL-FCC (1-888-835-5322)</w:t>
      </w:r>
    </w:p>
    <w:p w:rsidR="00F81419" w:rsidRPr="00B570EB" w:rsidP="004D7CC1" w14:paraId="7E7AD16F" w14:textId="77777777">
      <w:pPr>
        <w:tabs>
          <w:tab w:val="left" w:pos="5925"/>
        </w:tabs>
        <w:spacing w:after="60"/>
        <w:jc w:val="center"/>
        <w:rPr>
          <w:b/>
          <w:sz w:val="22"/>
          <w:szCs w:val="22"/>
        </w:rPr>
      </w:pPr>
      <w:r w:rsidRPr="00B570EB">
        <w:rPr>
          <w:b/>
          <w:sz w:val="22"/>
          <w:szCs w:val="22"/>
        </w:rPr>
        <w:t>Videophone: 1-844-4-FCC-ASL (1-844-432-2275)</w:t>
      </w:r>
    </w:p>
    <w:p w:rsidR="004D7CC1" w:rsidRPr="00B570EB" w:rsidP="00E34125" w14:paraId="48C18A95" w14:textId="77777777">
      <w:pPr>
        <w:spacing w:after="60"/>
        <w:jc w:val="center"/>
        <w:rPr>
          <w:b/>
          <w:color w:val="000000"/>
          <w:sz w:val="22"/>
          <w:szCs w:val="22"/>
        </w:rPr>
      </w:pPr>
      <w:r w:rsidRPr="00B570EB">
        <w:rPr>
          <w:b/>
          <w:color w:val="000000"/>
          <w:sz w:val="22"/>
          <w:szCs w:val="22"/>
        </w:rPr>
        <w:t xml:space="preserve">Fax: </w:t>
      </w:r>
      <w:r w:rsidRPr="00B570EB" w:rsidR="00E059A0">
        <w:rPr>
          <w:b/>
          <w:color w:val="000000"/>
          <w:sz w:val="22"/>
          <w:szCs w:val="22"/>
        </w:rPr>
        <w:t>1-866</w:t>
      </w:r>
      <w:r w:rsidRPr="00B570EB">
        <w:rPr>
          <w:b/>
          <w:color w:val="000000"/>
          <w:sz w:val="22"/>
          <w:szCs w:val="22"/>
        </w:rPr>
        <w:t>-418-0232</w:t>
      </w:r>
    </w:p>
    <w:p w:rsidR="004D7CC1" w:rsidRPr="00B570EB" w14:paraId="43EE4853" w14:textId="77777777">
      <w:pPr>
        <w:rPr>
          <w:b/>
          <w:color w:val="000000"/>
          <w:sz w:val="22"/>
          <w:szCs w:val="22"/>
        </w:rPr>
      </w:pPr>
      <w:r w:rsidRPr="00B570EB">
        <w:rPr>
          <w:b/>
          <w:color w:val="000000"/>
          <w:sz w:val="22"/>
          <w:szCs w:val="22"/>
        </w:rPr>
        <w:br w:type="page"/>
      </w:r>
    </w:p>
    <w:p w:rsidR="00583458" w:rsidRPr="00B570EB" w:rsidP="00E34125" w14:paraId="27597BF5" w14:textId="77777777">
      <w:pPr>
        <w:spacing w:after="60"/>
        <w:jc w:val="center"/>
        <w:rPr>
          <w:b/>
          <w:color w:val="000000"/>
          <w:sz w:val="22"/>
          <w:szCs w:val="22"/>
        </w:rPr>
      </w:pPr>
    </w:p>
    <w:p w:rsidR="006D255C" w:rsidRPr="00B570EB" w:rsidP="004D7CC1" w14:paraId="2EF53DBF" w14:textId="77777777">
      <w:pPr>
        <w:tabs>
          <w:tab w:val="center" w:pos="4680"/>
          <w:tab w:val="left" w:pos="6540"/>
        </w:tabs>
        <w:rPr>
          <w:sz w:val="22"/>
          <w:szCs w:val="22"/>
        </w:rPr>
      </w:pPr>
      <w:r w:rsidRPr="00B570EB">
        <w:rPr>
          <w:sz w:val="22"/>
          <w:szCs w:val="22"/>
        </w:rPr>
        <w:tab/>
      </w:r>
    </w:p>
    <w:sdt>
      <w:sdtPr>
        <w:rPr>
          <w:rFonts w:asciiTheme="minorHAnsi" w:eastAsiaTheme="minorEastAsia" w:hAnsiTheme="minorHAnsi"/>
          <w:sz w:val="22"/>
          <w:szCs w:val="22"/>
        </w:rPr>
        <w:id w:val="1661814058"/>
        <w:docPartObj>
          <w:docPartGallery w:val="Table of Contents"/>
          <w:docPartUnique/>
        </w:docPartObj>
      </w:sdtPr>
      <w:sdtContent>
        <w:p w:rsidR="004D7CC1" w:rsidRPr="00B570EB" w:rsidP="00DD2020" w14:paraId="114E96C4" w14:textId="77777777">
          <w:pPr>
            <w:tabs>
              <w:tab w:val="center" w:pos="4680"/>
              <w:tab w:val="left" w:pos="6540"/>
            </w:tabs>
            <w:jc w:val="center"/>
            <w:rPr>
              <w:b/>
              <w:caps/>
              <w:sz w:val="22"/>
              <w:szCs w:val="22"/>
              <w:u w:val="single"/>
            </w:rPr>
          </w:pPr>
          <w:r w:rsidRPr="00B570EB">
            <w:rPr>
              <w:b/>
              <w:caps/>
              <w:sz w:val="22"/>
              <w:szCs w:val="22"/>
              <w:u w:val="single"/>
            </w:rPr>
            <w:t>Table of Contents</w:t>
          </w:r>
        </w:p>
        <w:p w:rsidR="004D7CC1" w:rsidRPr="00B570EB" w:rsidP="004D7CC1" w14:paraId="0EFA9088" w14:textId="77777777">
          <w:pPr>
            <w:rPr>
              <w:sz w:val="22"/>
              <w:szCs w:val="22"/>
            </w:rPr>
          </w:pPr>
        </w:p>
        <w:p w:rsidR="004D7CC1" w:rsidRPr="00B570EB" w:rsidP="004D7CC1" w14:paraId="3D877524" w14:textId="77777777">
          <w:pPr>
            <w:rPr>
              <w:sz w:val="22"/>
              <w:szCs w:val="22"/>
            </w:rPr>
          </w:pPr>
        </w:p>
        <w:p w:rsidR="004D7CC1" w:rsidRPr="00B570EB" w:rsidP="004D7CC1" w14:paraId="10A5C7B7" w14:textId="77777777">
          <w:pPr>
            <w:pStyle w:val="TOC1"/>
            <w:rPr>
              <w:rFonts w:ascii="Times New Roman" w:hAnsi="Times New Roman"/>
            </w:rPr>
          </w:pPr>
          <w:r w:rsidRPr="00B570EB">
            <w:rPr>
              <w:rFonts w:ascii="Times New Roman" w:hAnsi="Times New Roman"/>
              <w:b/>
            </w:rPr>
            <w:t>I.</w:t>
          </w:r>
          <w:r w:rsidRPr="00B570EB">
            <w:rPr>
              <w:rFonts w:ascii="Times New Roman" w:hAnsi="Times New Roman"/>
              <w:b/>
            </w:rPr>
            <w:tab/>
            <w:t>OBJECTIVES OF THE PROCEEDING</w:t>
          </w:r>
          <w:r w:rsidRPr="00B570EB">
            <w:rPr>
              <w:rFonts w:ascii="Times New Roman" w:hAnsi="Times New Roman"/>
            </w:rPr>
            <w:t xml:space="preserve"> </w:t>
          </w:r>
          <w:r>
            <w:ptab w:relativeTo="margin" w:alignment="right" w:leader="dot"/>
          </w:r>
          <w:r w:rsidRPr="00B570EB">
            <w:rPr>
              <w:rFonts w:ascii="Times New Roman" w:hAnsi="Times New Roman"/>
              <w:b/>
              <w:bCs/>
            </w:rPr>
            <w:t>1</w:t>
          </w:r>
        </w:p>
        <w:p w:rsidR="004D7CC1" w:rsidRPr="00B570EB" w:rsidP="004D7CC1" w14:paraId="42EB5E98" w14:textId="77777777">
          <w:pPr>
            <w:pStyle w:val="TOC1"/>
            <w:rPr>
              <w:rFonts w:ascii="Times New Roman" w:hAnsi="Times New Roman"/>
              <w:b/>
              <w:bCs/>
            </w:rPr>
          </w:pPr>
          <w:r w:rsidRPr="00B570EB">
            <w:rPr>
              <w:rFonts w:ascii="Times New Roman" w:hAnsi="Times New Roman"/>
              <w:b/>
            </w:rPr>
            <w:t>II.</w:t>
          </w:r>
          <w:r w:rsidRPr="00B570EB">
            <w:rPr>
              <w:rFonts w:ascii="Times New Roman" w:hAnsi="Times New Roman"/>
              <w:b/>
            </w:rPr>
            <w:tab/>
            <w:t>COMPLIANCE REQUIREMENTS</w:t>
          </w:r>
          <w:r w:rsidRPr="00B570EB">
            <w:rPr>
              <w:rFonts w:ascii="Times New Roman" w:hAnsi="Times New Roman"/>
            </w:rPr>
            <w:t xml:space="preserve"> </w:t>
          </w:r>
          <w:r>
            <w:ptab w:relativeTo="margin" w:alignment="right" w:leader="dot"/>
          </w:r>
          <w:r w:rsidRPr="00B570EB">
            <w:rPr>
              <w:rFonts w:ascii="Times New Roman" w:hAnsi="Times New Roman"/>
              <w:b/>
              <w:bCs/>
            </w:rPr>
            <w:t>1</w:t>
          </w:r>
        </w:p>
        <w:p w:rsidR="004D7CC1" w:rsidRPr="00B570EB" w:rsidP="004D7CC1" w14:paraId="5A98C003" w14:textId="31DC65DD">
          <w:pPr>
            <w:pStyle w:val="TOC1"/>
            <w:rPr>
              <w:rFonts w:ascii="Times New Roman" w:hAnsi="Times New Roman"/>
              <w:b/>
              <w:bCs/>
            </w:rPr>
          </w:pPr>
          <w:r w:rsidRPr="00B570EB">
            <w:rPr>
              <w:rFonts w:ascii="Times New Roman" w:hAnsi="Times New Roman"/>
              <w:b/>
            </w:rPr>
            <w:t>III.</w:t>
          </w:r>
          <w:r w:rsidRPr="00B570EB">
            <w:rPr>
              <w:rFonts w:ascii="Times New Roman" w:hAnsi="Times New Roman"/>
              <w:b/>
            </w:rPr>
            <w:tab/>
            <w:t>RECORDKEEPING AND REPORTING REQUIREMENTS</w:t>
          </w:r>
          <w:r w:rsidRPr="00B570EB">
            <w:rPr>
              <w:rFonts w:ascii="Times New Roman" w:hAnsi="Times New Roman"/>
            </w:rPr>
            <w:t xml:space="preserve"> </w:t>
          </w:r>
          <w:r>
            <w:ptab w:relativeTo="margin" w:alignment="right" w:leader="dot"/>
          </w:r>
          <w:r w:rsidR="004B3F1A">
            <w:rPr>
              <w:rFonts w:ascii="Times New Roman" w:hAnsi="Times New Roman"/>
              <w:b/>
            </w:rPr>
            <w:t>3</w:t>
          </w:r>
        </w:p>
        <w:p w:rsidR="004D7CC1" w:rsidRPr="00B570EB" w:rsidP="004D7CC1" w14:paraId="310B2847" w14:textId="6F3CA05B">
          <w:pPr>
            <w:pStyle w:val="TOC1"/>
            <w:rPr>
              <w:rFonts w:ascii="Times New Roman" w:hAnsi="Times New Roman"/>
              <w:b/>
              <w:bCs/>
            </w:rPr>
          </w:pPr>
          <w:r w:rsidRPr="00B570EB">
            <w:rPr>
              <w:rFonts w:ascii="Times New Roman" w:hAnsi="Times New Roman"/>
              <w:b/>
            </w:rPr>
            <w:t xml:space="preserve">IV.       </w:t>
          </w:r>
          <w:r w:rsidR="00CC57D0">
            <w:rPr>
              <w:rFonts w:ascii="Times New Roman" w:hAnsi="Times New Roman"/>
              <w:b/>
            </w:rPr>
            <w:t xml:space="preserve"> </w:t>
          </w:r>
          <w:r w:rsidRPr="00B570EB">
            <w:rPr>
              <w:rFonts w:ascii="Times New Roman" w:hAnsi="Times New Roman"/>
              <w:b/>
            </w:rPr>
            <w:t>IMPLEMENTATION DATE</w:t>
          </w:r>
          <w:r w:rsidRPr="00B570EB" w:rsidR="00912C21">
            <w:rPr>
              <w:rFonts w:ascii="Times New Roman" w:hAnsi="Times New Roman"/>
              <w:b/>
            </w:rPr>
            <w:t>S</w:t>
          </w:r>
          <w:r w:rsidRPr="00B570EB">
            <w:rPr>
              <w:rFonts w:ascii="Times New Roman" w:hAnsi="Times New Roman"/>
            </w:rPr>
            <w:t xml:space="preserve"> </w:t>
          </w:r>
          <w:r>
            <w:ptab w:relativeTo="margin" w:alignment="right" w:leader="dot"/>
          </w:r>
          <w:r w:rsidR="004B3F1A">
            <w:rPr>
              <w:rFonts w:ascii="Times New Roman" w:hAnsi="Times New Roman"/>
              <w:b/>
            </w:rPr>
            <w:t>3</w:t>
          </w:r>
        </w:p>
        <w:p w:rsidR="004D7CC1" w:rsidRPr="00B570EB" w:rsidP="004D7CC1" w14:paraId="141508EF" w14:textId="03E0B16F">
          <w:pPr>
            <w:pStyle w:val="TOC1"/>
            <w:rPr>
              <w:rFonts w:ascii="Times New Roman" w:hAnsi="Times New Roman" w:eastAsiaTheme="minorHAnsi"/>
            </w:rPr>
          </w:pPr>
          <w:r w:rsidRPr="00B570EB">
            <w:rPr>
              <w:rFonts w:ascii="Times New Roman" w:hAnsi="Times New Roman"/>
              <w:b/>
            </w:rPr>
            <w:t xml:space="preserve">V.        </w:t>
          </w:r>
          <w:r w:rsidR="00CC57D0">
            <w:rPr>
              <w:rFonts w:ascii="Times New Roman" w:hAnsi="Times New Roman"/>
              <w:b/>
            </w:rPr>
            <w:t xml:space="preserve"> </w:t>
          </w:r>
          <w:r w:rsidRPr="00B570EB">
            <w:rPr>
              <w:rFonts w:ascii="Times New Roman" w:hAnsi="Times New Roman"/>
              <w:b/>
            </w:rPr>
            <w:t>INTERNET LINKS</w:t>
          </w:r>
          <w:r w:rsidRPr="00B570EB">
            <w:rPr>
              <w:rFonts w:ascii="Times New Roman" w:hAnsi="Times New Roman"/>
            </w:rPr>
            <w:t xml:space="preserve"> </w:t>
          </w:r>
          <w:r>
            <w:ptab w:relativeTo="margin" w:alignment="right" w:leader="dot"/>
          </w:r>
          <w:r w:rsidR="004B3F1A">
            <w:rPr>
              <w:rFonts w:ascii="Times New Roman" w:hAnsi="Times New Roman"/>
              <w:b/>
            </w:rPr>
            <w:t>3</w:t>
          </w:r>
        </w:p>
      </w:sdtContent>
    </w:sdt>
    <w:p w:rsidR="00964F8D" w:rsidRPr="00B570EB" w:rsidP="00964F8D" w14:paraId="060463D6" w14:textId="77777777">
      <w:pPr>
        <w:pStyle w:val="TOC1"/>
        <w:rPr>
          <w:rFonts w:ascii="Times New Roman" w:hAnsi="Times New Roman"/>
        </w:rPr>
      </w:pPr>
      <w:r w:rsidRPr="00B570EB">
        <w:rPr>
          <w:rStyle w:val="Hyperlink"/>
          <w:rFonts w:ascii="Times New Roman" w:hAnsi="Times New Roman"/>
          <w:b/>
        </w:rPr>
        <w:t xml:space="preserve"> </w:t>
      </w:r>
    </w:p>
    <w:p w:rsidR="00964F8D" w:rsidRPr="00B570EB" w14:paraId="7176C641" w14:textId="77777777">
      <w:pPr>
        <w:rPr>
          <w:rStyle w:val="Hyperlink"/>
          <w:b/>
          <w:sz w:val="22"/>
          <w:szCs w:val="22"/>
        </w:rPr>
      </w:pPr>
    </w:p>
    <w:p w:rsidR="00C84D7C" w:rsidRPr="00B570EB" w14:paraId="74A0B0AF" w14:textId="77777777">
      <w:pPr>
        <w:rPr>
          <w:rStyle w:val="Hyperlink"/>
          <w:b/>
          <w:sz w:val="22"/>
          <w:szCs w:val="22"/>
        </w:rPr>
        <w:sectPr w:rsidSect="00C84D7C">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pgNumType w:start="0"/>
          <w:cols w:space="720"/>
          <w:titlePg/>
          <w:docGrid w:linePitch="272"/>
        </w:sectPr>
      </w:pPr>
    </w:p>
    <w:p w:rsidR="00964F8D" w:rsidRPr="00B570EB" w14:paraId="53A71A31" w14:textId="77777777">
      <w:pPr>
        <w:rPr>
          <w:rStyle w:val="Hyperlink"/>
          <w:b/>
          <w:sz w:val="22"/>
          <w:szCs w:val="22"/>
        </w:rPr>
      </w:pPr>
      <w:r w:rsidRPr="00B570EB">
        <w:rPr>
          <w:rStyle w:val="Hyperlink"/>
          <w:b/>
          <w:sz w:val="22"/>
          <w:szCs w:val="22"/>
        </w:rPr>
        <w:br w:type="page"/>
      </w:r>
    </w:p>
    <w:p w:rsidR="00583458" w:rsidRPr="00B570EB" w:rsidP="00E34125" w14:paraId="4CA4A3F0" w14:textId="77777777">
      <w:pPr>
        <w:rPr>
          <w:color w:val="000000"/>
          <w:sz w:val="22"/>
          <w:szCs w:val="22"/>
        </w:rPr>
      </w:pPr>
      <w:r w:rsidRPr="00B570EB">
        <w:rPr>
          <w:b/>
          <w:sz w:val="22"/>
          <w:szCs w:val="22"/>
        </w:rPr>
        <w:t>I.</w:t>
      </w:r>
      <w:r w:rsidRPr="00B570EB">
        <w:rPr>
          <w:b/>
          <w:sz w:val="22"/>
          <w:szCs w:val="22"/>
        </w:rPr>
        <w:tab/>
      </w:r>
      <w:r w:rsidRPr="00B570EB">
        <w:rPr>
          <w:b/>
          <w:color w:val="000000"/>
          <w:sz w:val="22"/>
          <w:szCs w:val="22"/>
        </w:rPr>
        <w:t>OBJECTIVES OF THE PROCEEDING</w:t>
      </w:r>
    </w:p>
    <w:p w:rsidR="00583458" w:rsidRPr="00B570EB" w:rsidP="00E34125" w14:paraId="63321BBB" w14:textId="77777777">
      <w:pPr>
        <w:rPr>
          <w:sz w:val="22"/>
          <w:szCs w:val="22"/>
        </w:rPr>
      </w:pPr>
    </w:p>
    <w:p w:rsidR="00997D13" w:rsidRPr="00DD2020" w:rsidP="00C32130" w14:paraId="145EC435" w14:textId="139CBFE2">
      <w:pPr>
        <w:widowControl w:val="0"/>
        <w:tabs>
          <w:tab w:val="num" w:pos="1440"/>
        </w:tabs>
        <w:spacing w:after="120"/>
        <w:ind w:firstLine="720"/>
        <w:rPr>
          <w:i/>
          <w:snapToGrid w:val="0"/>
          <w:kern w:val="28"/>
          <w:sz w:val="22"/>
          <w:szCs w:val="22"/>
        </w:rPr>
      </w:pPr>
      <w:r>
        <w:rPr>
          <w:snapToGrid w:val="0"/>
          <w:kern w:val="28"/>
          <w:sz w:val="22"/>
          <w:szCs w:val="22"/>
        </w:rPr>
        <w:t>Th</w:t>
      </w:r>
      <w:r w:rsidR="008B4AFB">
        <w:rPr>
          <w:snapToGrid w:val="0"/>
          <w:kern w:val="28"/>
          <w:sz w:val="22"/>
          <w:szCs w:val="22"/>
        </w:rPr>
        <w:t>e</w:t>
      </w:r>
      <w:r>
        <w:rPr>
          <w:snapToGrid w:val="0"/>
          <w:kern w:val="28"/>
          <w:sz w:val="22"/>
          <w:szCs w:val="22"/>
        </w:rPr>
        <w:t xml:space="preserve"> </w:t>
      </w:r>
      <w:r w:rsidRPr="00DD2020" w:rsidR="008B4AFB">
        <w:rPr>
          <w:i/>
          <w:snapToGrid w:val="0"/>
          <w:spacing w:val="-2"/>
          <w:sz w:val="22"/>
          <w:szCs w:val="22"/>
        </w:rPr>
        <w:t>Amendment of Part 11 of the Commission’s Rules Regarding Emergency Alert System</w:t>
      </w:r>
      <w:r w:rsidR="008B4AFB">
        <w:rPr>
          <w:snapToGrid w:val="0"/>
          <w:spacing w:val="-2"/>
          <w:szCs w:val="22"/>
        </w:rPr>
        <w:t xml:space="preserve"> </w:t>
      </w:r>
      <w:r w:rsidRPr="00B84001">
        <w:rPr>
          <w:i/>
          <w:snapToGrid w:val="0"/>
          <w:kern w:val="28"/>
          <w:sz w:val="22"/>
          <w:szCs w:val="22"/>
        </w:rPr>
        <w:t>Report and Order</w:t>
      </w:r>
      <w:r w:rsidR="00F87BE4">
        <w:rPr>
          <w:i/>
          <w:snapToGrid w:val="0"/>
          <w:kern w:val="28"/>
          <w:sz w:val="22"/>
          <w:szCs w:val="22"/>
        </w:rPr>
        <w:t xml:space="preserve"> </w:t>
      </w:r>
      <w:r w:rsidR="008B4AFB">
        <w:rPr>
          <w:i/>
          <w:snapToGrid w:val="0"/>
          <w:kern w:val="28"/>
          <w:sz w:val="22"/>
          <w:szCs w:val="22"/>
        </w:rPr>
        <w:t>(Report and Order)</w:t>
      </w:r>
      <w:r w:rsidRPr="00B570EB" w:rsidR="00D67720">
        <w:rPr>
          <w:snapToGrid w:val="0"/>
          <w:kern w:val="28"/>
          <w:sz w:val="22"/>
          <w:szCs w:val="22"/>
        </w:rPr>
        <w:t xml:space="preserve"> advance</w:t>
      </w:r>
      <w:r>
        <w:rPr>
          <w:snapToGrid w:val="0"/>
          <w:kern w:val="28"/>
          <w:sz w:val="22"/>
          <w:szCs w:val="22"/>
        </w:rPr>
        <w:t>s</w:t>
      </w:r>
      <w:r w:rsidRPr="00B570EB" w:rsidR="00D67720">
        <w:rPr>
          <w:snapToGrid w:val="0"/>
          <w:kern w:val="28"/>
          <w:sz w:val="22"/>
          <w:szCs w:val="22"/>
        </w:rPr>
        <w:t xml:space="preserve"> the important public policy of protecting our nation’s law enforcement officials and the communities they serve</w:t>
      </w:r>
      <w:r w:rsidR="002E1BDF">
        <w:rPr>
          <w:snapToGrid w:val="0"/>
          <w:kern w:val="28"/>
          <w:sz w:val="22"/>
          <w:szCs w:val="22"/>
        </w:rPr>
        <w:t>.</w:t>
      </w:r>
      <w:r w:rsidRPr="00B570EB" w:rsidR="00D67720">
        <w:rPr>
          <w:snapToGrid w:val="0"/>
          <w:kern w:val="28"/>
          <w:sz w:val="22"/>
          <w:szCs w:val="22"/>
        </w:rPr>
        <w:t xml:space="preserve"> </w:t>
      </w:r>
      <w:r w:rsidR="002E1BDF">
        <w:rPr>
          <w:snapToGrid w:val="0"/>
          <w:kern w:val="28"/>
          <w:sz w:val="22"/>
          <w:szCs w:val="22"/>
        </w:rPr>
        <w:t xml:space="preserve"> </w:t>
      </w:r>
      <w:r w:rsidRPr="002E1BDF" w:rsidR="002E1BDF">
        <w:rPr>
          <w:snapToGrid w:val="0"/>
          <w:kern w:val="28"/>
          <w:sz w:val="22"/>
          <w:szCs w:val="22"/>
        </w:rPr>
        <w:t xml:space="preserve">Specifically, the </w:t>
      </w:r>
      <w:r w:rsidRPr="00D0331D" w:rsidR="002E1BDF">
        <w:rPr>
          <w:i/>
          <w:snapToGrid w:val="0"/>
          <w:kern w:val="28"/>
          <w:sz w:val="22"/>
          <w:szCs w:val="22"/>
        </w:rPr>
        <w:t>Report and Order</w:t>
      </w:r>
      <w:r w:rsidRPr="002E1BDF" w:rsidR="002E1BDF">
        <w:rPr>
          <w:snapToGrid w:val="0"/>
          <w:kern w:val="28"/>
          <w:sz w:val="22"/>
          <w:szCs w:val="22"/>
        </w:rPr>
        <w:t xml:space="preserve"> </w:t>
      </w:r>
      <w:r w:rsidRPr="002E1BDF" w:rsidR="00D67720">
        <w:rPr>
          <w:snapToGrid w:val="0"/>
          <w:kern w:val="28"/>
          <w:sz w:val="22"/>
          <w:szCs w:val="22"/>
        </w:rPr>
        <w:t>revis</w:t>
      </w:r>
      <w:r w:rsidRPr="002E1BDF" w:rsidR="002E1BDF">
        <w:rPr>
          <w:snapToGrid w:val="0"/>
          <w:kern w:val="28"/>
          <w:sz w:val="22"/>
          <w:szCs w:val="22"/>
        </w:rPr>
        <w:t>es</w:t>
      </w:r>
      <w:r w:rsidRPr="002E1BDF" w:rsidR="00D67720">
        <w:rPr>
          <w:snapToGrid w:val="0"/>
          <w:kern w:val="28"/>
          <w:sz w:val="22"/>
          <w:szCs w:val="22"/>
        </w:rPr>
        <w:t xml:space="preserve"> </w:t>
      </w:r>
      <w:r w:rsidRPr="00275CD4" w:rsidR="00D67720">
        <w:rPr>
          <w:snapToGrid w:val="0"/>
          <w:kern w:val="28"/>
          <w:sz w:val="22"/>
          <w:szCs w:val="22"/>
        </w:rPr>
        <w:t>the Federal Communications Commission’s (FCC) Emergency Alert System (EAS) rules to adopt the three-character code BLU as a new EAS event code</w:t>
      </w:r>
      <w:r w:rsidRPr="00275CD4" w:rsidR="00C05C44">
        <w:rPr>
          <w:snapToGrid w:val="0"/>
          <w:kern w:val="28"/>
          <w:sz w:val="22"/>
          <w:szCs w:val="22"/>
        </w:rPr>
        <w:t>,</w:t>
      </w:r>
      <w:r w:rsidRPr="00275CD4" w:rsidR="00D67720">
        <w:rPr>
          <w:snapToGrid w:val="0"/>
          <w:kern w:val="28"/>
          <w:sz w:val="22"/>
          <w:szCs w:val="22"/>
        </w:rPr>
        <w:t xml:space="preserve"> </w:t>
      </w:r>
      <w:r w:rsidRPr="00D0331D" w:rsidR="002E1BDF">
        <w:rPr>
          <w:snapToGrid w:val="0"/>
          <w:kern w:val="28"/>
          <w:sz w:val="22"/>
          <w:szCs w:val="22"/>
        </w:rPr>
        <w:t xml:space="preserve">thereby </w:t>
      </w:r>
      <w:r w:rsidRPr="002E1BDF" w:rsidR="00D67720">
        <w:rPr>
          <w:snapToGrid w:val="0"/>
          <w:kern w:val="28"/>
          <w:sz w:val="22"/>
          <w:szCs w:val="22"/>
        </w:rPr>
        <w:t>enabl</w:t>
      </w:r>
      <w:r w:rsidRPr="00D0331D" w:rsidR="002E1BDF">
        <w:rPr>
          <w:snapToGrid w:val="0"/>
          <w:kern w:val="28"/>
          <w:sz w:val="22"/>
          <w:szCs w:val="22"/>
        </w:rPr>
        <w:t>ing</w:t>
      </w:r>
      <w:r w:rsidRPr="002E1BDF" w:rsidR="00D67720">
        <w:rPr>
          <w:snapToGrid w:val="0"/>
          <w:kern w:val="28"/>
          <w:sz w:val="22"/>
          <w:szCs w:val="22"/>
        </w:rPr>
        <w:t xml:space="preserve"> the delivery of </w:t>
      </w:r>
      <w:r w:rsidR="00373CBD">
        <w:rPr>
          <w:snapToGrid w:val="0"/>
          <w:kern w:val="28"/>
          <w:sz w:val="22"/>
          <w:szCs w:val="22"/>
        </w:rPr>
        <w:t>“</w:t>
      </w:r>
      <w:r w:rsidRPr="002E1BDF" w:rsidR="00D67720">
        <w:rPr>
          <w:snapToGrid w:val="0"/>
          <w:kern w:val="28"/>
          <w:sz w:val="22"/>
          <w:szCs w:val="22"/>
        </w:rPr>
        <w:t>Blue Alerts</w:t>
      </w:r>
      <w:r w:rsidR="00373CBD">
        <w:rPr>
          <w:snapToGrid w:val="0"/>
          <w:kern w:val="28"/>
          <w:sz w:val="22"/>
          <w:szCs w:val="22"/>
        </w:rPr>
        <w:t>”</w:t>
      </w:r>
      <w:r w:rsidRPr="002E1BDF" w:rsidR="00D67720">
        <w:rPr>
          <w:snapToGrid w:val="0"/>
          <w:kern w:val="28"/>
          <w:sz w:val="22"/>
          <w:szCs w:val="22"/>
        </w:rPr>
        <w:t xml:space="preserve"> over the EAS</w:t>
      </w:r>
      <w:r w:rsidRPr="00D0331D" w:rsidR="002E1BDF">
        <w:rPr>
          <w:snapToGrid w:val="0"/>
          <w:kern w:val="28"/>
          <w:sz w:val="22"/>
          <w:szCs w:val="22"/>
        </w:rPr>
        <w:t>,</w:t>
      </w:r>
      <w:r w:rsidRPr="002E1BDF" w:rsidR="00D67720">
        <w:rPr>
          <w:snapToGrid w:val="0"/>
          <w:kern w:val="28"/>
          <w:sz w:val="22"/>
          <w:szCs w:val="22"/>
        </w:rPr>
        <w:t xml:space="preserve"> and </w:t>
      </w:r>
      <w:r w:rsidRPr="00D0331D" w:rsidR="002E1BDF">
        <w:rPr>
          <w:sz w:val="22"/>
          <w:szCs w:val="22"/>
        </w:rPr>
        <w:t xml:space="preserve">permits </w:t>
      </w:r>
      <w:r w:rsidR="00EE5AF9">
        <w:rPr>
          <w:sz w:val="22"/>
          <w:szCs w:val="22"/>
        </w:rPr>
        <w:t>Blue Alerts</w:t>
      </w:r>
      <w:r w:rsidRPr="00D0331D" w:rsidR="002E1BDF">
        <w:rPr>
          <w:sz w:val="22"/>
          <w:szCs w:val="22"/>
        </w:rPr>
        <w:t xml:space="preserve"> </w:t>
      </w:r>
      <w:r w:rsidR="00EE5AF9">
        <w:rPr>
          <w:sz w:val="22"/>
          <w:szCs w:val="22"/>
        </w:rPr>
        <w:t xml:space="preserve">to be delivered </w:t>
      </w:r>
      <w:r w:rsidRPr="00D0331D" w:rsidR="002E1BDF">
        <w:rPr>
          <w:sz w:val="22"/>
          <w:szCs w:val="22"/>
        </w:rPr>
        <w:t>over</w:t>
      </w:r>
      <w:r w:rsidR="002E1BDF">
        <w:rPr>
          <w:sz w:val="24"/>
          <w:szCs w:val="24"/>
        </w:rPr>
        <w:t xml:space="preserve"> </w:t>
      </w:r>
      <w:r w:rsidRPr="00827B54" w:rsidR="00D67720">
        <w:rPr>
          <w:snapToGrid w:val="0"/>
          <w:kern w:val="28"/>
          <w:sz w:val="22"/>
          <w:szCs w:val="22"/>
        </w:rPr>
        <w:t>Wireless Emergency Alerts (WEA</w:t>
      </w:r>
      <w:r w:rsidRPr="00B570EB" w:rsidR="00D67720">
        <w:rPr>
          <w:snapToGrid w:val="0"/>
          <w:kern w:val="28"/>
          <w:sz w:val="22"/>
          <w:szCs w:val="22"/>
        </w:rPr>
        <w:t>)</w:t>
      </w:r>
      <w:r w:rsidR="00EE5AF9">
        <w:rPr>
          <w:snapToGrid w:val="0"/>
          <w:kern w:val="28"/>
          <w:sz w:val="22"/>
          <w:szCs w:val="22"/>
        </w:rPr>
        <w:t xml:space="preserve"> (as one type of “Imminent Threat” Alert)</w:t>
      </w:r>
      <w:r w:rsidRPr="00B570EB" w:rsidR="00D67720">
        <w:rPr>
          <w:snapToGrid w:val="0"/>
          <w:kern w:val="28"/>
          <w:sz w:val="22"/>
          <w:szCs w:val="22"/>
        </w:rPr>
        <w:t>.</w:t>
      </w:r>
      <w:r>
        <w:rPr>
          <w:rStyle w:val="FootnoteReference"/>
          <w:snapToGrid w:val="0"/>
          <w:kern w:val="28"/>
          <w:sz w:val="22"/>
          <w:szCs w:val="22"/>
        </w:rPr>
        <w:footnoteReference w:id="2"/>
      </w:r>
      <w:r w:rsidRPr="00B570EB" w:rsidR="00D67720">
        <w:rPr>
          <w:snapToGrid w:val="0"/>
          <w:kern w:val="28"/>
          <w:sz w:val="22"/>
          <w:szCs w:val="22"/>
        </w:rPr>
        <w:t xml:space="preserve">  </w:t>
      </w:r>
      <w:r w:rsidR="008B4AFB">
        <w:rPr>
          <w:snapToGrid w:val="0"/>
          <w:kern w:val="28"/>
          <w:sz w:val="22"/>
          <w:szCs w:val="22"/>
        </w:rPr>
        <w:t xml:space="preserve">The Commission’s </w:t>
      </w:r>
      <w:r w:rsidRPr="00B570EB" w:rsidR="00D67720">
        <w:rPr>
          <w:snapToGrid w:val="0"/>
          <w:kern w:val="28"/>
          <w:sz w:val="22"/>
          <w:szCs w:val="22"/>
        </w:rPr>
        <w:t xml:space="preserve">actions </w:t>
      </w:r>
      <w:r w:rsidR="008B4AFB">
        <w:rPr>
          <w:snapToGrid w:val="0"/>
          <w:kern w:val="28"/>
          <w:sz w:val="22"/>
          <w:szCs w:val="22"/>
        </w:rPr>
        <w:t xml:space="preserve">in the </w:t>
      </w:r>
      <w:r w:rsidR="008B4AFB">
        <w:rPr>
          <w:i/>
          <w:snapToGrid w:val="0"/>
          <w:kern w:val="28"/>
          <w:sz w:val="22"/>
          <w:szCs w:val="22"/>
        </w:rPr>
        <w:t>Report and Order</w:t>
      </w:r>
      <w:r w:rsidR="008B4AFB">
        <w:rPr>
          <w:snapToGrid w:val="0"/>
          <w:kern w:val="28"/>
          <w:sz w:val="22"/>
          <w:szCs w:val="22"/>
        </w:rPr>
        <w:t xml:space="preserve"> </w:t>
      </w:r>
      <w:r w:rsidRPr="00B570EB" w:rsidR="00D67720">
        <w:rPr>
          <w:snapToGrid w:val="0"/>
          <w:kern w:val="28"/>
          <w:sz w:val="22"/>
          <w:szCs w:val="22"/>
        </w:rPr>
        <w:t>promote the development of compatible and integrated Blue Alert plans throughout the United States, consistent with the Rafael Ramos and Wenjian Liu National Blue Alert Act of 2015 (Blue Alert Act)</w:t>
      </w:r>
      <w:r w:rsidR="00F9724B">
        <w:rPr>
          <w:snapToGrid w:val="0"/>
          <w:kern w:val="28"/>
          <w:sz w:val="22"/>
          <w:szCs w:val="22"/>
        </w:rPr>
        <w:t>,</w:t>
      </w:r>
      <w:r>
        <w:rPr>
          <w:rStyle w:val="FootnoteReference"/>
          <w:snapToGrid w:val="0"/>
          <w:kern w:val="28"/>
          <w:sz w:val="22"/>
          <w:szCs w:val="22"/>
        </w:rPr>
        <w:footnoteReference w:id="3"/>
      </w:r>
      <w:r w:rsidRPr="00B570EB" w:rsidR="00D67720">
        <w:rPr>
          <w:snapToGrid w:val="0"/>
          <w:kern w:val="28"/>
          <w:sz w:val="22"/>
          <w:szCs w:val="22"/>
        </w:rPr>
        <w:t xml:space="preserve"> and support the need for a dedicated EAS event code for Blue Alerts</w:t>
      </w:r>
      <w:r w:rsidRPr="00B570EB" w:rsidR="00C05C44">
        <w:rPr>
          <w:snapToGrid w:val="0"/>
          <w:kern w:val="28"/>
          <w:sz w:val="22"/>
          <w:szCs w:val="22"/>
        </w:rPr>
        <w:t>, which was</w:t>
      </w:r>
      <w:r w:rsidRPr="00B570EB" w:rsidR="00D67720">
        <w:rPr>
          <w:snapToGrid w:val="0"/>
          <w:kern w:val="28"/>
          <w:sz w:val="22"/>
          <w:szCs w:val="22"/>
        </w:rPr>
        <w:t xml:space="preserve"> identified by the Office of Community Oriented Policing Service (COPS Office) of the United States Department of Justice (DOJ). </w:t>
      </w:r>
      <w:r w:rsidRPr="00B570EB" w:rsidR="00E1597E">
        <w:rPr>
          <w:snapToGrid w:val="0"/>
          <w:kern w:val="28"/>
          <w:sz w:val="22"/>
          <w:szCs w:val="22"/>
        </w:rPr>
        <w:t xml:space="preserve">The </w:t>
      </w:r>
      <w:r w:rsidRPr="00B570EB" w:rsidR="00E1597E">
        <w:rPr>
          <w:i/>
          <w:snapToGrid w:val="0"/>
          <w:kern w:val="28"/>
          <w:sz w:val="22"/>
          <w:szCs w:val="22"/>
        </w:rPr>
        <w:t>Report and Order</w:t>
      </w:r>
      <w:r w:rsidRPr="00B570EB" w:rsidR="00E1597E">
        <w:rPr>
          <w:snapToGrid w:val="0"/>
          <w:kern w:val="28"/>
          <w:sz w:val="22"/>
          <w:szCs w:val="22"/>
        </w:rPr>
        <w:t xml:space="preserve"> adopted in this proceeding gives </w:t>
      </w:r>
      <w:r w:rsidRPr="00B570EB" w:rsidR="00E1597E">
        <w:rPr>
          <w:color w:val="212121"/>
          <w:sz w:val="22"/>
          <w:szCs w:val="22"/>
          <w:shd w:val="clear" w:color="auto" w:fill="FFFFFF"/>
        </w:rPr>
        <w:t xml:space="preserve">State and local agencies the option to </w:t>
      </w:r>
      <w:r w:rsidRPr="00B570EB" w:rsidR="00C05C44">
        <w:rPr>
          <w:color w:val="212121"/>
          <w:sz w:val="22"/>
          <w:szCs w:val="22"/>
          <w:shd w:val="clear" w:color="auto" w:fill="FFFFFF"/>
        </w:rPr>
        <w:t xml:space="preserve">notify </w:t>
      </w:r>
      <w:r w:rsidRPr="00B570EB" w:rsidR="00E1597E">
        <w:rPr>
          <w:sz w:val="22"/>
          <w:szCs w:val="22"/>
        </w:rPr>
        <w:t>the public of threats to law enforcement</w:t>
      </w:r>
      <w:r w:rsidRPr="00B570EB" w:rsidR="00C05C44">
        <w:rPr>
          <w:sz w:val="22"/>
          <w:szCs w:val="22"/>
        </w:rPr>
        <w:t>,</w:t>
      </w:r>
      <w:r w:rsidRPr="00B570EB" w:rsidR="00E1597E">
        <w:rPr>
          <w:sz w:val="22"/>
          <w:szCs w:val="22"/>
        </w:rPr>
        <w:t xml:space="preserve"> and help apprehend dangerous suspects</w:t>
      </w:r>
      <w:r w:rsidRPr="00B570EB" w:rsidR="00C05C44">
        <w:rPr>
          <w:sz w:val="22"/>
          <w:szCs w:val="22"/>
        </w:rPr>
        <w:t>,</w:t>
      </w:r>
      <w:r w:rsidRPr="00B570EB" w:rsidR="00E1597E">
        <w:rPr>
          <w:color w:val="212121"/>
          <w:sz w:val="22"/>
          <w:szCs w:val="22"/>
          <w:shd w:val="clear" w:color="auto" w:fill="FFFFFF"/>
        </w:rPr>
        <w:t xml:space="preserve"> </w:t>
      </w:r>
      <w:r w:rsidRPr="00B570EB" w:rsidR="00C05C44">
        <w:rPr>
          <w:color w:val="212121"/>
          <w:sz w:val="22"/>
          <w:szCs w:val="22"/>
          <w:shd w:val="clear" w:color="auto" w:fill="FFFFFF"/>
        </w:rPr>
        <w:t>by issuing</w:t>
      </w:r>
      <w:r w:rsidRPr="00B570EB" w:rsidR="00E1597E">
        <w:rPr>
          <w:color w:val="212121"/>
          <w:sz w:val="22"/>
          <w:szCs w:val="22"/>
          <w:shd w:val="clear" w:color="auto" w:fill="FFFFFF"/>
        </w:rPr>
        <w:t xml:space="preserve"> warnings to the public through broadcast, cable, satellite, and wireline </w:t>
      </w:r>
      <w:r w:rsidR="00EA49AB">
        <w:rPr>
          <w:color w:val="212121"/>
          <w:sz w:val="22"/>
          <w:szCs w:val="22"/>
          <w:shd w:val="clear" w:color="auto" w:fill="FFFFFF"/>
        </w:rPr>
        <w:t xml:space="preserve">and wireless </w:t>
      </w:r>
      <w:r w:rsidRPr="00B570EB" w:rsidR="00E1597E">
        <w:rPr>
          <w:color w:val="212121"/>
          <w:sz w:val="22"/>
          <w:szCs w:val="22"/>
          <w:shd w:val="clear" w:color="auto" w:fill="FFFFFF"/>
        </w:rPr>
        <w:t xml:space="preserve">video </w:t>
      </w:r>
      <w:r w:rsidR="00827B54">
        <w:rPr>
          <w:color w:val="212121"/>
          <w:sz w:val="22"/>
          <w:szCs w:val="22"/>
          <w:shd w:val="clear" w:color="auto" w:fill="FFFFFF"/>
        </w:rPr>
        <w:t xml:space="preserve">system </w:t>
      </w:r>
      <w:r w:rsidRPr="00B570EB" w:rsidR="00E1597E">
        <w:rPr>
          <w:color w:val="212121"/>
          <w:sz w:val="22"/>
          <w:szCs w:val="22"/>
          <w:shd w:val="clear" w:color="auto" w:fill="FFFFFF"/>
        </w:rPr>
        <w:t>providers</w:t>
      </w:r>
      <w:r w:rsidR="00770FE3">
        <w:rPr>
          <w:color w:val="212121"/>
          <w:sz w:val="22"/>
          <w:szCs w:val="22"/>
          <w:shd w:val="clear" w:color="auto" w:fill="FFFFFF"/>
        </w:rPr>
        <w:t xml:space="preserve"> (EAS Participants)</w:t>
      </w:r>
      <w:r w:rsidRPr="00B570EB" w:rsidR="00E1597E">
        <w:rPr>
          <w:color w:val="212121"/>
          <w:sz w:val="22"/>
          <w:szCs w:val="22"/>
          <w:shd w:val="clear" w:color="auto" w:fill="FFFFFF"/>
        </w:rPr>
        <w:t>.  Officials may also send Blue Alerts through WEA to consumers’ wireless phones.</w:t>
      </w:r>
      <w:r w:rsidR="00166302">
        <w:rPr>
          <w:color w:val="212121"/>
          <w:sz w:val="22"/>
          <w:szCs w:val="22"/>
          <w:shd w:val="clear" w:color="auto" w:fill="FFFFFF"/>
        </w:rPr>
        <w:t xml:space="preserve">  </w:t>
      </w:r>
      <w:r w:rsidRPr="00166302" w:rsidR="00166302">
        <w:rPr>
          <w:color w:val="212121"/>
          <w:sz w:val="22"/>
          <w:szCs w:val="22"/>
          <w:shd w:val="clear" w:color="auto" w:fill="FFFFFF"/>
        </w:rPr>
        <w:t xml:space="preserve">The Commission </w:t>
      </w:r>
      <w:r w:rsidR="00C85FAF">
        <w:rPr>
          <w:color w:val="212121"/>
          <w:sz w:val="22"/>
          <w:szCs w:val="22"/>
          <w:shd w:val="clear" w:color="auto" w:fill="FFFFFF"/>
        </w:rPr>
        <w:t xml:space="preserve">believes </w:t>
      </w:r>
      <w:r w:rsidRPr="00DD2020" w:rsidR="00166302">
        <w:rPr>
          <w:sz w:val="22"/>
          <w:szCs w:val="22"/>
        </w:rPr>
        <w:t xml:space="preserve">that establishing the BLU event code </w:t>
      </w:r>
      <w:r w:rsidR="00166302">
        <w:rPr>
          <w:sz w:val="22"/>
          <w:szCs w:val="22"/>
        </w:rPr>
        <w:t xml:space="preserve">is in the public interest as </w:t>
      </w:r>
      <w:r w:rsidR="00C85FAF">
        <w:rPr>
          <w:sz w:val="22"/>
          <w:szCs w:val="22"/>
        </w:rPr>
        <w:t xml:space="preserve">a means to </w:t>
      </w:r>
      <w:r w:rsidRPr="00DD2020" w:rsidR="00166302">
        <w:rPr>
          <w:sz w:val="22"/>
          <w:szCs w:val="22"/>
        </w:rPr>
        <w:t xml:space="preserve">improve emergency alerting during </w:t>
      </w:r>
      <w:r w:rsidR="00C85FAF">
        <w:rPr>
          <w:sz w:val="22"/>
          <w:szCs w:val="22"/>
        </w:rPr>
        <w:t>emergency events such as those</w:t>
      </w:r>
      <w:r w:rsidRPr="00DD2020" w:rsidR="00166302">
        <w:rPr>
          <w:sz w:val="22"/>
          <w:szCs w:val="22"/>
        </w:rPr>
        <w:t xml:space="preserve"> described in the</w:t>
      </w:r>
      <w:r w:rsidR="00166302">
        <w:rPr>
          <w:sz w:val="22"/>
          <w:szCs w:val="22"/>
        </w:rPr>
        <w:t xml:space="preserve"> </w:t>
      </w:r>
      <w:r w:rsidRPr="00B570EB" w:rsidR="00166302">
        <w:rPr>
          <w:snapToGrid w:val="0"/>
          <w:kern w:val="28"/>
          <w:sz w:val="22"/>
          <w:szCs w:val="22"/>
        </w:rPr>
        <w:t>COPS Office</w:t>
      </w:r>
      <w:r w:rsidRPr="00DD2020" w:rsidR="00166302">
        <w:rPr>
          <w:sz w:val="22"/>
          <w:szCs w:val="22"/>
        </w:rPr>
        <w:t xml:space="preserve"> </w:t>
      </w:r>
      <w:r w:rsidRPr="00DD2020" w:rsidR="00166302">
        <w:rPr>
          <w:i/>
          <w:sz w:val="22"/>
          <w:szCs w:val="22"/>
        </w:rPr>
        <w:t>Blue Alert Guideline</w:t>
      </w:r>
      <w:r w:rsidR="00F87BE4">
        <w:rPr>
          <w:i/>
          <w:sz w:val="22"/>
          <w:szCs w:val="22"/>
        </w:rPr>
        <w:t>.</w:t>
      </w:r>
      <w:r>
        <w:rPr>
          <w:rStyle w:val="FootnoteReference"/>
          <w:sz w:val="22"/>
          <w:szCs w:val="22"/>
        </w:rPr>
        <w:footnoteReference w:id="4"/>
      </w:r>
      <w:r w:rsidR="00166302">
        <w:rPr>
          <w:sz w:val="22"/>
          <w:szCs w:val="22"/>
        </w:rPr>
        <w:t xml:space="preserve"> </w:t>
      </w:r>
    </w:p>
    <w:p w:rsidR="006E7116" w:rsidRPr="00B570EB" w:rsidP="00E34125" w14:paraId="1299CE9E" w14:textId="77777777">
      <w:pPr>
        <w:rPr>
          <w:color w:val="000000"/>
          <w:sz w:val="22"/>
          <w:szCs w:val="22"/>
        </w:rPr>
      </w:pPr>
    </w:p>
    <w:p w:rsidR="006E7116" w:rsidRPr="00B570EB" w:rsidP="006E7116" w14:paraId="31984111" w14:textId="77777777">
      <w:pPr>
        <w:rPr>
          <w:b/>
          <w:sz w:val="22"/>
          <w:szCs w:val="22"/>
        </w:rPr>
      </w:pPr>
      <w:r w:rsidRPr="00B570EB">
        <w:rPr>
          <w:b/>
          <w:sz w:val="22"/>
          <w:szCs w:val="22"/>
        </w:rPr>
        <w:t>II.</w:t>
      </w:r>
      <w:r w:rsidRPr="00B570EB">
        <w:rPr>
          <w:b/>
          <w:sz w:val="22"/>
          <w:szCs w:val="22"/>
        </w:rPr>
        <w:tab/>
        <w:t>COMPLIANCE REQUIREMENTS</w:t>
      </w:r>
    </w:p>
    <w:p w:rsidR="00C44144" w:rsidRPr="00B570EB" w:rsidP="00E34125" w14:paraId="3904EF76" w14:textId="77777777">
      <w:pPr>
        <w:rPr>
          <w:color w:val="000000"/>
          <w:sz w:val="22"/>
          <w:szCs w:val="22"/>
        </w:rPr>
      </w:pPr>
      <w:r w:rsidRPr="00B570EB">
        <w:rPr>
          <w:color w:val="000000"/>
          <w:sz w:val="22"/>
          <w:szCs w:val="22"/>
        </w:rPr>
        <w:tab/>
      </w:r>
    </w:p>
    <w:p w:rsidR="00A8094E" w:rsidRPr="00B570EB" w:rsidP="006E23BB" w14:paraId="0D6343E2" w14:textId="77777777">
      <w:pPr>
        <w:pStyle w:val="ListParagraph"/>
        <w:numPr>
          <w:ilvl w:val="0"/>
          <w:numId w:val="17"/>
        </w:numPr>
        <w:ind w:left="1080"/>
        <w:rPr>
          <w:b/>
          <w:color w:val="000000"/>
          <w:sz w:val="22"/>
          <w:szCs w:val="22"/>
        </w:rPr>
      </w:pPr>
      <w:r w:rsidRPr="00B570EB">
        <w:rPr>
          <w:b/>
          <w:color w:val="000000"/>
          <w:sz w:val="22"/>
          <w:szCs w:val="22"/>
        </w:rPr>
        <w:t>A</w:t>
      </w:r>
      <w:r w:rsidRPr="00B570EB" w:rsidR="0018790D">
        <w:rPr>
          <w:b/>
          <w:sz w:val="22"/>
          <w:szCs w:val="22"/>
        </w:rPr>
        <w:t>mendment of the EAS Rules to Create and Add the Dedicated BLU Event Code to the EAS Protocol for Blue Alerts</w:t>
      </w:r>
      <w:r w:rsidRPr="00B570EB" w:rsidR="00550C4E">
        <w:rPr>
          <w:b/>
          <w:color w:val="000000"/>
          <w:sz w:val="22"/>
          <w:szCs w:val="22"/>
        </w:rPr>
        <w:t xml:space="preserve"> </w:t>
      </w:r>
      <w:r w:rsidRPr="00B570EB" w:rsidR="00550C4E">
        <w:rPr>
          <w:rFonts w:eastAsia="Calibri"/>
          <w:b/>
          <w:sz w:val="22"/>
          <w:szCs w:val="22"/>
        </w:rPr>
        <w:t>(</w:t>
      </w:r>
      <w:r w:rsidRPr="00B570EB" w:rsidR="00550C4E">
        <w:rPr>
          <w:b/>
          <w:sz w:val="22"/>
          <w:szCs w:val="22"/>
        </w:rPr>
        <w:t>47 CFR §</w:t>
      </w:r>
      <w:r w:rsidRPr="00B570EB" w:rsidR="0018790D">
        <w:rPr>
          <w:rFonts w:eastAsia="Calibri"/>
          <w:b/>
          <w:color w:val="000000"/>
          <w:sz w:val="22"/>
          <w:szCs w:val="22"/>
        </w:rPr>
        <w:t>11.31(e))</w:t>
      </w:r>
      <w:r w:rsidRPr="00B570EB" w:rsidR="00550C4E">
        <w:rPr>
          <w:b/>
          <w:sz w:val="22"/>
          <w:szCs w:val="22"/>
        </w:rPr>
        <w:t xml:space="preserve"> </w:t>
      </w:r>
    </w:p>
    <w:p w:rsidR="00A8094E" w:rsidRPr="00B570EB" w:rsidP="00E34125" w14:paraId="342FE98D" w14:textId="77777777">
      <w:pPr>
        <w:rPr>
          <w:color w:val="000000"/>
          <w:sz w:val="22"/>
          <w:szCs w:val="22"/>
        </w:rPr>
      </w:pPr>
    </w:p>
    <w:p w:rsidR="00275CD4" w:rsidP="00C05C44" w14:paraId="2D1FA5C2" w14:textId="77777777">
      <w:pPr>
        <w:pStyle w:val="ListParagraph"/>
        <w:numPr>
          <w:ilvl w:val="0"/>
          <w:numId w:val="15"/>
        </w:numPr>
        <w:ind w:left="1440"/>
        <w:rPr>
          <w:sz w:val="22"/>
          <w:szCs w:val="22"/>
        </w:rPr>
      </w:pPr>
      <w:r w:rsidRPr="00B570EB">
        <w:rPr>
          <w:sz w:val="22"/>
          <w:szCs w:val="22"/>
        </w:rPr>
        <w:t xml:space="preserve">The dedicated </w:t>
      </w:r>
      <w:r w:rsidRPr="00B570EB" w:rsidR="002C4501">
        <w:rPr>
          <w:sz w:val="22"/>
          <w:szCs w:val="22"/>
        </w:rPr>
        <w:t>B</w:t>
      </w:r>
      <w:r w:rsidRPr="00B570EB">
        <w:rPr>
          <w:sz w:val="22"/>
          <w:szCs w:val="22"/>
        </w:rPr>
        <w:t>LU event code</w:t>
      </w:r>
      <w:r w:rsidRPr="00B570EB" w:rsidR="002C4501">
        <w:rPr>
          <w:sz w:val="22"/>
          <w:szCs w:val="22"/>
        </w:rPr>
        <w:t xml:space="preserve"> can only be used </w:t>
      </w:r>
      <w:r w:rsidRPr="00B570EB">
        <w:rPr>
          <w:sz w:val="22"/>
          <w:szCs w:val="22"/>
        </w:rPr>
        <w:t xml:space="preserve">pursuant to the Blue Alert Act as implemented by the Office of Community Oriented Policing Services (COPS Office) of the United States Department of Justice (DOJ), </w:t>
      </w:r>
      <w:r w:rsidRPr="00B570EB" w:rsidR="002C4501">
        <w:rPr>
          <w:sz w:val="22"/>
          <w:szCs w:val="22"/>
        </w:rPr>
        <w:t>to facilitate the dissemination of information in a consistent manner</w:t>
      </w:r>
      <w:r w:rsidRPr="00B570EB">
        <w:rPr>
          <w:sz w:val="22"/>
          <w:szCs w:val="22"/>
        </w:rPr>
        <w:t>,</w:t>
      </w:r>
      <w:r w:rsidRPr="00B570EB" w:rsidR="002C4501">
        <w:rPr>
          <w:sz w:val="22"/>
          <w:szCs w:val="22"/>
        </w:rPr>
        <w:t xml:space="preserve"> when a law enforcement officer is</w:t>
      </w:r>
      <w:r w:rsidRPr="00B570EB" w:rsidR="00C05C44">
        <w:rPr>
          <w:sz w:val="22"/>
          <w:szCs w:val="22"/>
        </w:rPr>
        <w:t xml:space="preserve"> </w:t>
      </w:r>
      <w:r w:rsidR="00654D74">
        <w:rPr>
          <w:sz w:val="22"/>
          <w:szCs w:val="22"/>
        </w:rPr>
        <w:t xml:space="preserve">(1) </w:t>
      </w:r>
      <w:r w:rsidRPr="00B570EB" w:rsidR="00C05C44">
        <w:rPr>
          <w:sz w:val="22"/>
          <w:szCs w:val="22"/>
        </w:rPr>
        <w:t>seriously injured or killed in the line of duty</w:t>
      </w:r>
      <w:r w:rsidR="00654D74">
        <w:rPr>
          <w:sz w:val="22"/>
          <w:szCs w:val="22"/>
        </w:rPr>
        <w:t>;</w:t>
      </w:r>
      <w:r w:rsidRPr="00B570EB" w:rsidR="00C05C44">
        <w:rPr>
          <w:sz w:val="22"/>
          <w:szCs w:val="22"/>
        </w:rPr>
        <w:t xml:space="preserve"> </w:t>
      </w:r>
      <w:r w:rsidR="00654D74">
        <w:rPr>
          <w:sz w:val="22"/>
          <w:szCs w:val="22"/>
        </w:rPr>
        <w:t>(2)</w:t>
      </w:r>
      <w:r w:rsidRPr="00B570EB" w:rsidR="00C05C44">
        <w:rPr>
          <w:sz w:val="22"/>
          <w:szCs w:val="22"/>
        </w:rPr>
        <w:t xml:space="preserve"> when there is an imminent credible threat </w:t>
      </w:r>
      <w:r w:rsidR="00654D74">
        <w:rPr>
          <w:sz w:val="22"/>
          <w:szCs w:val="22"/>
        </w:rPr>
        <w:t xml:space="preserve">of death or serious injury </w:t>
      </w:r>
      <w:r w:rsidRPr="00B570EB" w:rsidR="00C05C44">
        <w:rPr>
          <w:sz w:val="22"/>
          <w:szCs w:val="22"/>
        </w:rPr>
        <w:t>to a</w:t>
      </w:r>
      <w:r w:rsidRPr="00B570EB" w:rsidR="00B570EB">
        <w:rPr>
          <w:sz w:val="22"/>
          <w:szCs w:val="22"/>
        </w:rPr>
        <w:t xml:space="preserve"> law enforcement</w:t>
      </w:r>
      <w:r w:rsidRPr="00B570EB" w:rsidR="00C05C44">
        <w:rPr>
          <w:sz w:val="22"/>
          <w:szCs w:val="22"/>
        </w:rPr>
        <w:t xml:space="preserve"> officer</w:t>
      </w:r>
      <w:r w:rsidR="00654D74">
        <w:rPr>
          <w:sz w:val="22"/>
          <w:szCs w:val="22"/>
        </w:rPr>
        <w:t>; or (3) when a law enforcement officer is missing in connection with official duties</w:t>
      </w:r>
      <w:r w:rsidRPr="00B570EB" w:rsidR="002C4501">
        <w:rPr>
          <w:sz w:val="22"/>
          <w:szCs w:val="22"/>
        </w:rPr>
        <w:t>.</w:t>
      </w:r>
      <w:r>
        <w:rPr>
          <w:sz w:val="22"/>
          <w:szCs w:val="22"/>
        </w:rPr>
        <w:t xml:space="preserve">  </w:t>
      </w:r>
    </w:p>
    <w:p w:rsidR="00950175" w:rsidP="00D0331D" w14:paraId="3226CDA8" w14:textId="77777777">
      <w:pPr>
        <w:pStyle w:val="ListParagraph"/>
        <w:ind w:left="1440"/>
        <w:rPr>
          <w:sz w:val="22"/>
          <w:szCs w:val="22"/>
        </w:rPr>
      </w:pPr>
    </w:p>
    <w:p w:rsidR="00AA5A4E" w:rsidP="00D0331D" w14:paraId="15AC7921" w14:textId="77777777">
      <w:pPr>
        <w:pStyle w:val="ListParagraph"/>
        <w:numPr>
          <w:ilvl w:val="2"/>
          <w:numId w:val="15"/>
        </w:numPr>
        <w:rPr>
          <w:sz w:val="22"/>
          <w:szCs w:val="22"/>
        </w:rPr>
      </w:pPr>
      <w:r w:rsidRPr="00D0331D">
        <w:rPr>
          <w:sz w:val="22"/>
          <w:szCs w:val="22"/>
        </w:rPr>
        <w:t xml:space="preserve">If a Blue Alert is based on the first of the criteria </w:t>
      </w:r>
      <w:r w:rsidR="00D87C8C">
        <w:rPr>
          <w:sz w:val="22"/>
          <w:szCs w:val="22"/>
        </w:rPr>
        <w:t>listed</w:t>
      </w:r>
      <w:r w:rsidRPr="00D0331D">
        <w:rPr>
          <w:sz w:val="22"/>
          <w:szCs w:val="22"/>
        </w:rPr>
        <w:t xml:space="preserve"> above, the law enforcement agency must confirm that a law enforcement officer has been killed, seriously injured, or attacked, and there are indications of death or serious injury.  </w:t>
      </w:r>
    </w:p>
    <w:p w:rsidR="00AA5A4E" w:rsidP="00D0331D" w14:paraId="14AFAB53" w14:textId="77777777">
      <w:pPr>
        <w:pStyle w:val="ListParagraph"/>
        <w:numPr>
          <w:ilvl w:val="2"/>
          <w:numId w:val="15"/>
        </w:numPr>
        <w:rPr>
          <w:sz w:val="22"/>
          <w:szCs w:val="22"/>
        </w:rPr>
      </w:pPr>
      <w:r w:rsidRPr="00D0331D">
        <w:rPr>
          <w:sz w:val="22"/>
          <w:szCs w:val="22"/>
        </w:rPr>
        <w:t xml:space="preserve">If a Blue Alert is based on the second of the criteria </w:t>
      </w:r>
      <w:r w:rsidR="00D87C8C">
        <w:rPr>
          <w:sz w:val="22"/>
          <w:szCs w:val="22"/>
        </w:rPr>
        <w:t>listed</w:t>
      </w:r>
      <w:r w:rsidRPr="00D0331D">
        <w:rPr>
          <w:sz w:val="22"/>
          <w:szCs w:val="22"/>
        </w:rPr>
        <w:t xml:space="preserve"> above, the law enforcement agency must confirm that the threat is imminent and credible, and at the time of receipt of the threat, any suspect involved is wanted by a law enforcement agency.  </w:t>
      </w:r>
    </w:p>
    <w:p w:rsidR="00C05C44" w:rsidRPr="00275CD4" w:rsidP="00D0331D" w14:paraId="324C5BCE" w14:textId="77777777">
      <w:pPr>
        <w:pStyle w:val="ListParagraph"/>
        <w:numPr>
          <w:ilvl w:val="2"/>
          <w:numId w:val="15"/>
        </w:numPr>
        <w:rPr>
          <w:sz w:val="22"/>
          <w:szCs w:val="22"/>
        </w:rPr>
      </w:pPr>
      <w:r w:rsidRPr="00AA5A4E">
        <w:rPr>
          <w:sz w:val="22"/>
          <w:szCs w:val="22"/>
        </w:rPr>
        <w:t>I</w:t>
      </w:r>
      <w:r w:rsidRPr="00D0331D" w:rsidR="00275CD4">
        <w:rPr>
          <w:sz w:val="22"/>
          <w:szCs w:val="22"/>
        </w:rPr>
        <w:t xml:space="preserve">f a Blue Alert is based on the third of the criteria </w:t>
      </w:r>
      <w:r w:rsidR="00D87C8C">
        <w:rPr>
          <w:sz w:val="22"/>
          <w:szCs w:val="22"/>
        </w:rPr>
        <w:t>listed</w:t>
      </w:r>
      <w:r w:rsidRPr="00D0331D" w:rsidR="00275CD4">
        <w:rPr>
          <w:sz w:val="22"/>
          <w:szCs w:val="22"/>
        </w:rPr>
        <w:t xml:space="preserve"> above, the agency must have concluded that there is indication of serious injury to, or death of the missing law enforcement officer.</w:t>
      </w:r>
      <w:r>
        <w:rPr>
          <w:rStyle w:val="FootnoteReference"/>
          <w:sz w:val="22"/>
          <w:szCs w:val="22"/>
        </w:rPr>
        <w:footnoteReference w:id="5"/>
      </w:r>
      <w:r w:rsidRPr="00D0331D" w:rsidR="00275CD4">
        <w:rPr>
          <w:sz w:val="22"/>
          <w:szCs w:val="22"/>
        </w:rPr>
        <w:t xml:space="preserve">  </w:t>
      </w:r>
    </w:p>
    <w:p w:rsidR="00912C21" w:rsidRPr="00B570EB" w:rsidP="00C05C44" w14:paraId="366AC0B5" w14:textId="77777777">
      <w:pPr>
        <w:pStyle w:val="ListParagraph"/>
        <w:ind w:left="1440"/>
        <w:rPr>
          <w:sz w:val="22"/>
          <w:szCs w:val="22"/>
        </w:rPr>
      </w:pPr>
      <w:r w:rsidRPr="00B570EB">
        <w:rPr>
          <w:sz w:val="22"/>
          <w:szCs w:val="22"/>
        </w:rPr>
        <w:t xml:space="preserve"> </w:t>
      </w:r>
    </w:p>
    <w:p w:rsidR="00912C21" w:rsidRPr="00B570EB" w:rsidP="00912C21" w14:paraId="386FB58C" w14:textId="77777777">
      <w:pPr>
        <w:pStyle w:val="ListParagraph"/>
        <w:numPr>
          <w:ilvl w:val="0"/>
          <w:numId w:val="15"/>
        </w:numPr>
        <w:ind w:left="1440"/>
        <w:rPr>
          <w:color w:val="000000"/>
          <w:sz w:val="22"/>
          <w:szCs w:val="22"/>
        </w:rPr>
      </w:pPr>
      <w:r w:rsidRPr="002A3392">
        <w:rPr>
          <w:sz w:val="22"/>
          <w:szCs w:val="22"/>
        </w:rPr>
        <w:t xml:space="preserve">Blue Alerts </w:t>
      </w:r>
      <w:r w:rsidRPr="002A3392" w:rsidR="00C05C44">
        <w:rPr>
          <w:sz w:val="22"/>
          <w:szCs w:val="22"/>
        </w:rPr>
        <w:t xml:space="preserve">may only be used to </w:t>
      </w:r>
      <w:r w:rsidRPr="002A3392">
        <w:rPr>
          <w:sz w:val="22"/>
          <w:szCs w:val="22"/>
        </w:rPr>
        <w:t xml:space="preserve">warn the public when there is actionable information related to a law enforcement officer </w:t>
      </w:r>
      <w:r w:rsidRPr="002A3392" w:rsidR="00B84001">
        <w:rPr>
          <w:sz w:val="22"/>
          <w:szCs w:val="22"/>
        </w:rPr>
        <w:t>as described above</w:t>
      </w:r>
      <w:r w:rsidRPr="002A3392" w:rsidR="000A786F">
        <w:rPr>
          <w:sz w:val="22"/>
          <w:szCs w:val="22"/>
        </w:rPr>
        <w:t>, and in all cases</w:t>
      </w:r>
      <w:r w:rsidR="002A3392">
        <w:rPr>
          <w:sz w:val="22"/>
          <w:szCs w:val="22"/>
        </w:rPr>
        <w:t>,</w:t>
      </w:r>
      <w:r w:rsidRPr="002A3392" w:rsidR="000A786F">
        <w:rPr>
          <w:sz w:val="22"/>
          <w:szCs w:val="22"/>
        </w:rPr>
        <w:t xml:space="preserve"> </w:t>
      </w:r>
      <w:r w:rsidRPr="00DD2020" w:rsidR="000A786F">
        <w:rPr>
          <w:sz w:val="22"/>
          <w:szCs w:val="22"/>
        </w:rPr>
        <w:t>the agency issuing the alert must confirm that any suspect involved has not been apprehended and there is sufficient descriptive information of the suspect</w:t>
      </w:r>
      <w:r w:rsidR="00B154EC">
        <w:rPr>
          <w:sz w:val="22"/>
          <w:szCs w:val="22"/>
        </w:rPr>
        <w:t>, including any relevant vehicle and license tag information</w:t>
      </w:r>
      <w:r w:rsidR="00B84001">
        <w:rPr>
          <w:sz w:val="22"/>
          <w:szCs w:val="22"/>
        </w:rPr>
        <w:t>.</w:t>
      </w:r>
      <w:r w:rsidRPr="00B570EB">
        <w:rPr>
          <w:sz w:val="22"/>
          <w:szCs w:val="22"/>
        </w:rPr>
        <w:t xml:space="preserve">  </w:t>
      </w:r>
    </w:p>
    <w:p w:rsidR="00912C21" w:rsidRPr="00B570EB" w:rsidP="00912C21" w14:paraId="309494E0" w14:textId="77777777">
      <w:pPr>
        <w:pStyle w:val="ListParagraph"/>
        <w:rPr>
          <w:sz w:val="22"/>
          <w:szCs w:val="22"/>
        </w:rPr>
      </w:pPr>
    </w:p>
    <w:p w:rsidR="004D6541" w:rsidRPr="00DD2020" w:rsidP="00C05C44" w14:paraId="4F20271F" w14:textId="77777777">
      <w:pPr>
        <w:pStyle w:val="ListParagraph"/>
        <w:numPr>
          <w:ilvl w:val="0"/>
          <w:numId w:val="25"/>
        </w:numPr>
        <w:rPr>
          <w:color w:val="000000"/>
          <w:sz w:val="22"/>
          <w:szCs w:val="22"/>
        </w:rPr>
      </w:pPr>
      <w:r w:rsidRPr="00B570EB">
        <w:rPr>
          <w:sz w:val="22"/>
          <w:szCs w:val="22"/>
        </w:rPr>
        <w:t xml:space="preserve">Blue Alerts to the public over the EAS </w:t>
      </w:r>
      <w:r w:rsidRPr="00B570EB" w:rsidR="00912C21">
        <w:rPr>
          <w:sz w:val="22"/>
          <w:szCs w:val="22"/>
        </w:rPr>
        <w:t>must</w:t>
      </w:r>
      <w:r w:rsidRPr="00B570EB">
        <w:rPr>
          <w:sz w:val="22"/>
          <w:szCs w:val="22"/>
        </w:rPr>
        <w:t xml:space="preserve"> </w:t>
      </w:r>
      <w:r w:rsidRPr="00B570EB" w:rsidR="00C05C44">
        <w:rPr>
          <w:sz w:val="22"/>
          <w:szCs w:val="22"/>
        </w:rPr>
        <w:t xml:space="preserve">otherwise </w:t>
      </w:r>
      <w:r w:rsidRPr="00B570EB">
        <w:rPr>
          <w:sz w:val="22"/>
          <w:szCs w:val="22"/>
        </w:rPr>
        <w:t xml:space="preserve">satisfy the </w:t>
      </w:r>
      <w:r w:rsidRPr="00B570EB" w:rsidR="002C4501">
        <w:rPr>
          <w:sz w:val="22"/>
          <w:szCs w:val="22"/>
        </w:rPr>
        <w:t>requirements</w:t>
      </w:r>
      <w:r w:rsidRPr="00B570EB">
        <w:rPr>
          <w:sz w:val="22"/>
          <w:szCs w:val="22"/>
        </w:rPr>
        <w:t xml:space="preserve"> articulated by the COPS Office </w:t>
      </w:r>
      <w:r w:rsidRPr="00B570EB" w:rsidR="00E1597E">
        <w:rPr>
          <w:sz w:val="22"/>
          <w:szCs w:val="22"/>
        </w:rPr>
        <w:t xml:space="preserve">in </w:t>
      </w:r>
      <w:r w:rsidRPr="00B570EB" w:rsidR="00C05C44">
        <w:rPr>
          <w:sz w:val="22"/>
          <w:szCs w:val="22"/>
        </w:rPr>
        <w:t>its</w:t>
      </w:r>
      <w:r w:rsidRPr="00B570EB" w:rsidR="00E1597E">
        <w:rPr>
          <w:sz w:val="22"/>
          <w:szCs w:val="22"/>
        </w:rPr>
        <w:t xml:space="preserve"> </w:t>
      </w:r>
      <w:r w:rsidR="004263BD">
        <w:rPr>
          <w:sz w:val="22"/>
          <w:szCs w:val="22"/>
        </w:rPr>
        <w:t xml:space="preserve">voluntary </w:t>
      </w:r>
      <w:r w:rsidRPr="00B570EB" w:rsidR="00E1597E">
        <w:rPr>
          <w:sz w:val="22"/>
          <w:szCs w:val="22"/>
        </w:rPr>
        <w:t>Blue Alert Guidelines including</w:t>
      </w:r>
      <w:r w:rsidRPr="00B570EB" w:rsidR="00C05C44">
        <w:rPr>
          <w:sz w:val="22"/>
          <w:szCs w:val="22"/>
        </w:rPr>
        <w:t xml:space="preserve"> </w:t>
      </w:r>
      <w:r w:rsidRPr="00B570EB" w:rsidR="00894AC3">
        <w:rPr>
          <w:sz w:val="22"/>
          <w:szCs w:val="22"/>
        </w:rPr>
        <w:t>focus</w:t>
      </w:r>
      <w:r w:rsidRPr="00B570EB" w:rsidR="00E1597E">
        <w:rPr>
          <w:sz w:val="22"/>
          <w:szCs w:val="22"/>
        </w:rPr>
        <w:t>ing</w:t>
      </w:r>
      <w:r w:rsidRPr="00B570EB" w:rsidR="00894AC3">
        <w:rPr>
          <w:sz w:val="22"/>
          <w:szCs w:val="22"/>
        </w:rPr>
        <w:t xml:space="preserve"> </w:t>
      </w:r>
      <w:r w:rsidRPr="002A3392" w:rsidR="00C05C44">
        <w:rPr>
          <w:sz w:val="22"/>
          <w:szCs w:val="22"/>
        </w:rPr>
        <w:t>on</w:t>
      </w:r>
      <w:r w:rsidRPr="002A3392" w:rsidR="00894AC3">
        <w:rPr>
          <w:sz w:val="22"/>
          <w:szCs w:val="22"/>
        </w:rPr>
        <w:t xml:space="preserve"> an appropriately narrow geographic area</w:t>
      </w:r>
      <w:r w:rsidRPr="002A3392" w:rsidR="00654D74">
        <w:rPr>
          <w:sz w:val="22"/>
          <w:szCs w:val="22"/>
        </w:rPr>
        <w:t xml:space="preserve"> and providing information </w:t>
      </w:r>
      <w:r w:rsidRPr="002A3392" w:rsidR="000A786F">
        <w:rPr>
          <w:sz w:val="22"/>
          <w:szCs w:val="22"/>
        </w:rPr>
        <w:t>i</w:t>
      </w:r>
      <w:r w:rsidRPr="002A3392" w:rsidR="00654D74">
        <w:rPr>
          <w:sz w:val="22"/>
          <w:szCs w:val="22"/>
        </w:rPr>
        <w:t xml:space="preserve">n </w:t>
      </w:r>
      <w:r w:rsidRPr="00DD2020" w:rsidR="00654D74">
        <w:rPr>
          <w:sz w:val="22"/>
          <w:szCs w:val="22"/>
        </w:rPr>
        <w:t xml:space="preserve">the message </w:t>
      </w:r>
      <w:r w:rsidRPr="00DD2020" w:rsidR="00CA201A">
        <w:rPr>
          <w:sz w:val="22"/>
          <w:szCs w:val="22"/>
        </w:rPr>
        <w:t xml:space="preserve">on </w:t>
      </w:r>
      <w:r w:rsidRPr="00DD2020" w:rsidR="00654D74">
        <w:rPr>
          <w:sz w:val="22"/>
          <w:szCs w:val="22"/>
        </w:rPr>
        <w:t>the suspect’s last known location, direction of travel, and possible destination</w:t>
      </w:r>
      <w:r w:rsidRPr="002A3392">
        <w:rPr>
          <w:sz w:val="22"/>
          <w:szCs w:val="22"/>
        </w:rPr>
        <w:t>.</w:t>
      </w:r>
    </w:p>
    <w:p w:rsidR="00B154EC" w:rsidRPr="002A3392" w:rsidP="00DD2020" w14:paraId="1F89B09F" w14:textId="77777777">
      <w:pPr>
        <w:pStyle w:val="ListParagraph"/>
        <w:ind w:left="1440"/>
        <w:rPr>
          <w:color w:val="000000"/>
          <w:sz w:val="22"/>
          <w:szCs w:val="22"/>
        </w:rPr>
      </w:pPr>
    </w:p>
    <w:p w:rsidR="00E1597E" w:rsidRPr="002A3392" w:rsidP="006E23BB" w14:paraId="00498DDF" w14:textId="77777777">
      <w:pPr>
        <w:pStyle w:val="ListParagraph"/>
        <w:numPr>
          <w:ilvl w:val="0"/>
          <w:numId w:val="15"/>
        </w:numPr>
        <w:ind w:left="1440"/>
        <w:rPr>
          <w:color w:val="000000"/>
          <w:sz w:val="22"/>
          <w:szCs w:val="22"/>
        </w:rPr>
      </w:pPr>
      <w:bookmarkStart w:id="2" w:name="_Hlk500335970"/>
      <w:r w:rsidRPr="002A3392">
        <w:rPr>
          <w:sz w:val="22"/>
          <w:szCs w:val="22"/>
        </w:rPr>
        <w:t>A</w:t>
      </w:r>
      <w:r w:rsidRPr="002A3392" w:rsidR="00894AC3">
        <w:rPr>
          <w:sz w:val="22"/>
          <w:szCs w:val="22"/>
        </w:rPr>
        <w:t xml:space="preserve">lert originators </w:t>
      </w:r>
      <w:r w:rsidRPr="002A3392">
        <w:rPr>
          <w:sz w:val="22"/>
          <w:szCs w:val="22"/>
        </w:rPr>
        <w:t xml:space="preserve">should </w:t>
      </w:r>
      <w:r w:rsidRPr="002A3392" w:rsidR="00894AC3">
        <w:rPr>
          <w:sz w:val="22"/>
          <w:szCs w:val="22"/>
        </w:rPr>
        <w:t xml:space="preserve">initiate Blue Alerts via </w:t>
      </w:r>
      <w:r w:rsidRPr="00DD2020" w:rsidR="0027466A">
        <w:rPr>
          <w:sz w:val="22"/>
          <w:szCs w:val="22"/>
        </w:rPr>
        <w:t xml:space="preserve">the Integrated Public Alert and Warning System </w:t>
      </w:r>
      <w:r w:rsidRPr="002A3392" w:rsidR="0027466A">
        <w:rPr>
          <w:sz w:val="22"/>
          <w:szCs w:val="22"/>
        </w:rPr>
        <w:t>(</w:t>
      </w:r>
      <w:r w:rsidRPr="002A3392" w:rsidR="00894AC3">
        <w:rPr>
          <w:sz w:val="22"/>
          <w:szCs w:val="22"/>
        </w:rPr>
        <w:t>IPAWS</w:t>
      </w:r>
      <w:r w:rsidRPr="002A3392" w:rsidR="0027466A">
        <w:rPr>
          <w:sz w:val="22"/>
          <w:szCs w:val="22"/>
        </w:rPr>
        <w:t>)</w:t>
      </w:r>
      <w:r w:rsidRPr="002A3392" w:rsidR="00894AC3">
        <w:rPr>
          <w:sz w:val="22"/>
          <w:szCs w:val="22"/>
        </w:rPr>
        <w:t xml:space="preserve"> </w:t>
      </w:r>
      <w:bookmarkEnd w:id="2"/>
      <w:r w:rsidRPr="002A3392" w:rsidR="00894AC3">
        <w:rPr>
          <w:sz w:val="22"/>
          <w:szCs w:val="22"/>
        </w:rPr>
        <w:t xml:space="preserve">and include detailed information as part of each Blue Alert for which it is available.  </w:t>
      </w:r>
    </w:p>
    <w:p w:rsidR="00E1597E" w:rsidRPr="002A3392" w:rsidP="00E1597E" w14:paraId="20D449C7" w14:textId="77777777">
      <w:pPr>
        <w:pStyle w:val="ListParagraph"/>
        <w:ind w:left="1440"/>
        <w:rPr>
          <w:sz w:val="22"/>
          <w:szCs w:val="22"/>
        </w:rPr>
      </w:pPr>
    </w:p>
    <w:p w:rsidR="00E1597E" w:rsidRPr="002A3392" w:rsidP="00E1597E" w14:paraId="0B1F1FC1" w14:textId="77777777">
      <w:pPr>
        <w:pStyle w:val="ListParagraph"/>
        <w:numPr>
          <w:ilvl w:val="0"/>
          <w:numId w:val="23"/>
        </w:numPr>
        <w:rPr>
          <w:color w:val="000000"/>
          <w:sz w:val="22"/>
          <w:szCs w:val="22"/>
        </w:rPr>
      </w:pPr>
      <w:r w:rsidRPr="002A3392">
        <w:rPr>
          <w:sz w:val="22"/>
          <w:szCs w:val="22"/>
        </w:rPr>
        <w:t xml:space="preserve">EAS Participants are required to create video crawls based upon the enhanced text contained within the </w:t>
      </w:r>
      <w:r w:rsidRPr="00DD2020" w:rsidR="0027466A">
        <w:rPr>
          <w:sz w:val="22"/>
          <w:szCs w:val="22"/>
        </w:rPr>
        <w:t>Common Alerting Protocol (</w:t>
      </w:r>
      <w:r w:rsidRPr="002A3392">
        <w:rPr>
          <w:sz w:val="22"/>
          <w:szCs w:val="22"/>
        </w:rPr>
        <w:t>CAP</w:t>
      </w:r>
      <w:r w:rsidRPr="002A3392" w:rsidR="0027466A">
        <w:rPr>
          <w:sz w:val="22"/>
          <w:szCs w:val="22"/>
        </w:rPr>
        <w:t>)</w:t>
      </w:r>
      <w:r w:rsidRPr="002A3392">
        <w:rPr>
          <w:sz w:val="22"/>
          <w:szCs w:val="22"/>
        </w:rPr>
        <w:t xml:space="preserve"> message.</w:t>
      </w:r>
      <w:r w:rsidRPr="002A3392" w:rsidR="009D5066">
        <w:rPr>
          <w:sz w:val="22"/>
          <w:szCs w:val="22"/>
        </w:rPr>
        <w:t xml:space="preserve"> </w:t>
      </w:r>
    </w:p>
    <w:p w:rsidR="00894AC3" w:rsidRPr="002A3392" w:rsidP="00E1597E" w14:paraId="4411E36A" w14:textId="77777777">
      <w:pPr>
        <w:pStyle w:val="ListParagraph"/>
        <w:numPr>
          <w:ilvl w:val="0"/>
          <w:numId w:val="23"/>
        </w:numPr>
        <w:rPr>
          <w:color w:val="000000"/>
          <w:sz w:val="22"/>
          <w:szCs w:val="22"/>
        </w:rPr>
      </w:pPr>
      <w:r w:rsidRPr="002A3392">
        <w:rPr>
          <w:sz w:val="22"/>
          <w:szCs w:val="22"/>
        </w:rPr>
        <w:t>T</w:t>
      </w:r>
      <w:r w:rsidRPr="002A3392">
        <w:rPr>
          <w:sz w:val="22"/>
          <w:szCs w:val="22"/>
        </w:rPr>
        <w:t xml:space="preserve">he last known location, direction of travel, and possible destinations of the suspect </w:t>
      </w:r>
      <w:r w:rsidRPr="002A3392">
        <w:rPr>
          <w:sz w:val="22"/>
          <w:szCs w:val="22"/>
        </w:rPr>
        <w:t xml:space="preserve">should </w:t>
      </w:r>
      <w:r w:rsidRPr="002A3392">
        <w:rPr>
          <w:sz w:val="22"/>
          <w:szCs w:val="22"/>
        </w:rPr>
        <w:t>be included as part of the alert message.</w:t>
      </w:r>
    </w:p>
    <w:p w:rsidR="00894AC3" w:rsidRPr="002A3392" w:rsidP="00894AC3" w14:paraId="7D4E2B1A" w14:textId="77777777">
      <w:pPr>
        <w:pStyle w:val="ListParagraph"/>
        <w:rPr>
          <w:color w:val="000000"/>
          <w:sz w:val="22"/>
          <w:szCs w:val="22"/>
        </w:rPr>
      </w:pPr>
    </w:p>
    <w:p w:rsidR="00894AC3" w:rsidRPr="002A3392" w:rsidP="006E23BB" w14:paraId="3AD87D3B" w14:textId="77777777">
      <w:pPr>
        <w:pStyle w:val="ListParagraph"/>
        <w:numPr>
          <w:ilvl w:val="0"/>
          <w:numId w:val="15"/>
        </w:numPr>
        <w:ind w:left="1440"/>
        <w:rPr>
          <w:color w:val="000000"/>
          <w:sz w:val="22"/>
          <w:szCs w:val="22"/>
        </w:rPr>
      </w:pPr>
      <w:r>
        <w:rPr>
          <w:sz w:val="22"/>
          <w:szCs w:val="22"/>
        </w:rPr>
        <w:t xml:space="preserve">In setting up the system for Blue Alerts, </w:t>
      </w:r>
      <w:r w:rsidRPr="002A3392">
        <w:rPr>
          <w:sz w:val="22"/>
          <w:szCs w:val="22"/>
        </w:rPr>
        <w:t xml:space="preserve">EAS manufacturers and EAS Participants </w:t>
      </w:r>
      <w:r w:rsidRPr="002A3392" w:rsidR="002C4501">
        <w:rPr>
          <w:sz w:val="22"/>
          <w:szCs w:val="22"/>
        </w:rPr>
        <w:t xml:space="preserve">are encouraged </w:t>
      </w:r>
      <w:r w:rsidRPr="002A3392">
        <w:rPr>
          <w:sz w:val="22"/>
          <w:szCs w:val="22"/>
        </w:rPr>
        <w:t>to take technical steps to facilitate the delivery of IPAWS-based EAS Blue Alerts to the public where an alert is</w:t>
      </w:r>
      <w:r w:rsidR="002A3392">
        <w:rPr>
          <w:sz w:val="22"/>
          <w:szCs w:val="22"/>
        </w:rPr>
        <w:t xml:space="preserve"> </w:t>
      </w:r>
      <w:r w:rsidRPr="002A3392">
        <w:rPr>
          <w:sz w:val="22"/>
          <w:szCs w:val="22"/>
        </w:rPr>
        <w:t>first delivered to an EAS Participant via broadcast.</w:t>
      </w:r>
    </w:p>
    <w:p w:rsidR="00CB7A44" w:rsidRPr="002A3392" w:rsidP="00CB7A44" w14:paraId="1E4912C8" w14:textId="77777777">
      <w:pPr>
        <w:pStyle w:val="ListParagraph"/>
        <w:rPr>
          <w:color w:val="000000"/>
          <w:sz w:val="22"/>
          <w:szCs w:val="22"/>
        </w:rPr>
      </w:pPr>
    </w:p>
    <w:p w:rsidR="00CB7A44" w:rsidRPr="002A3392" w:rsidP="006E23BB" w14:paraId="74624E08" w14:textId="77777777">
      <w:pPr>
        <w:pStyle w:val="ListParagraph"/>
        <w:numPr>
          <w:ilvl w:val="0"/>
          <w:numId w:val="15"/>
        </w:numPr>
        <w:ind w:left="1440"/>
        <w:rPr>
          <w:color w:val="000000"/>
          <w:sz w:val="22"/>
          <w:szCs w:val="22"/>
        </w:rPr>
      </w:pPr>
      <w:r w:rsidRPr="002A3392">
        <w:rPr>
          <w:color w:val="000000"/>
          <w:sz w:val="22"/>
          <w:szCs w:val="22"/>
        </w:rPr>
        <w:t xml:space="preserve">Blue Alerts </w:t>
      </w:r>
      <w:r w:rsidRPr="002A3392" w:rsidR="002C4501">
        <w:rPr>
          <w:color w:val="000000"/>
          <w:sz w:val="22"/>
          <w:szCs w:val="22"/>
        </w:rPr>
        <w:t>may</w:t>
      </w:r>
      <w:r w:rsidRPr="002A3392">
        <w:rPr>
          <w:color w:val="000000"/>
          <w:sz w:val="22"/>
          <w:szCs w:val="22"/>
        </w:rPr>
        <w:t xml:space="preserve"> be deployed via WEA using existing alerting methodologies and consistent with </w:t>
      </w:r>
      <w:r w:rsidRPr="002A3392" w:rsidR="00F51459">
        <w:rPr>
          <w:color w:val="000000"/>
          <w:sz w:val="22"/>
          <w:szCs w:val="22"/>
        </w:rPr>
        <w:t>the Commissio</w:t>
      </w:r>
      <w:r w:rsidRPr="002A3392" w:rsidR="00101128">
        <w:rPr>
          <w:color w:val="000000"/>
          <w:sz w:val="22"/>
          <w:szCs w:val="22"/>
        </w:rPr>
        <w:t>n</w:t>
      </w:r>
      <w:r w:rsidRPr="002A3392" w:rsidR="00F51459">
        <w:rPr>
          <w:color w:val="000000"/>
          <w:sz w:val="22"/>
          <w:szCs w:val="22"/>
        </w:rPr>
        <w:t xml:space="preserve">’s </w:t>
      </w:r>
      <w:r w:rsidRPr="002A3392">
        <w:rPr>
          <w:color w:val="000000"/>
          <w:sz w:val="22"/>
          <w:szCs w:val="22"/>
        </w:rPr>
        <w:t>WEA rules.</w:t>
      </w:r>
    </w:p>
    <w:p w:rsidR="00447650" w:rsidRPr="00DD2020" w:rsidP="00DD2020" w14:paraId="7A587EC4" w14:textId="77777777">
      <w:pPr>
        <w:pStyle w:val="ListParagraph"/>
        <w:rPr>
          <w:color w:val="000000"/>
          <w:sz w:val="22"/>
          <w:szCs w:val="22"/>
        </w:rPr>
      </w:pPr>
    </w:p>
    <w:p w:rsidR="00447650" w:rsidP="006E23BB" w14:paraId="30041AC4" w14:textId="6864C947">
      <w:pPr>
        <w:pStyle w:val="ListParagraph"/>
        <w:numPr>
          <w:ilvl w:val="0"/>
          <w:numId w:val="15"/>
        </w:numPr>
        <w:ind w:left="1440"/>
        <w:rPr>
          <w:color w:val="000000"/>
          <w:sz w:val="22"/>
          <w:szCs w:val="22"/>
        </w:rPr>
      </w:pPr>
      <w:r>
        <w:rPr>
          <w:color w:val="000000"/>
          <w:sz w:val="22"/>
          <w:szCs w:val="22"/>
        </w:rPr>
        <w:t>EAS Participants have a</w:t>
      </w:r>
      <w:r w:rsidR="007101EF">
        <w:rPr>
          <w:color w:val="000000"/>
          <w:sz w:val="22"/>
          <w:szCs w:val="22"/>
        </w:rPr>
        <w:t xml:space="preserve"> </w:t>
      </w:r>
      <w:r>
        <w:rPr>
          <w:color w:val="000000"/>
          <w:sz w:val="22"/>
          <w:szCs w:val="22"/>
        </w:rPr>
        <w:t>12</w:t>
      </w:r>
      <w:r>
        <w:rPr>
          <w:color w:val="000000"/>
          <w:sz w:val="22"/>
          <w:szCs w:val="22"/>
        </w:rPr>
        <w:t>-</w:t>
      </w:r>
      <w:r>
        <w:rPr>
          <w:color w:val="000000"/>
          <w:sz w:val="22"/>
          <w:szCs w:val="22"/>
        </w:rPr>
        <w:t>month</w:t>
      </w:r>
      <w:r>
        <w:rPr>
          <w:color w:val="000000"/>
          <w:sz w:val="22"/>
          <w:szCs w:val="22"/>
        </w:rPr>
        <w:t xml:space="preserve"> period</w:t>
      </w:r>
      <w:r>
        <w:rPr>
          <w:color w:val="000000"/>
          <w:sz w:val="22"/>
          <w:szCs w:val="22"/>
        </w:rPr>
        <w:t xml:space="preserve"> from the effective date of the </w:t>
      </w:r>
      <w:r w:rsidRPr="00DD2020" w:rsidR="006C6BB9">
        <w:rPr>
          <w:i/>
          <w:color w:val="000000"/>
          <w:sz w:val="22"/>
          <w:szCs w:val="22"/>
        </w:rPr>
        <w:t>Report and Order</w:t>
      </w:r>
      <w:r>
        <w:rPr>
          <w:color w:val="000000"/>
          <w:sz w:val="22"/>
          <w:szCs w:val="22"/>
        </w:rPr>
        <w:t>—until January 18, 201</w:t>
      </w:r>
      <w:r w:rsidR="009B0F64">
        <w:rPr>
          <w:color w:val="000000"/>
          <w:sz w:val="22"/>
          <w:szCs w:val="22"/>
        </w:rPr>
        <w:t>9</w:t>
      </w:r>
      <w:r>
        <w:rPr>
          <w:color w:val="000000"/>
          <w:sz w:val="22"/>
          <w:szCs w:val="22"/>
        </w:rPr>
        <w:t xml:space="preserve">— </w:t>
      </w:r>
      <w:r w:rsidRPr="00DD2020" w:rsidR="007101EF">
        <w:rPr>
          <w:color w:val="000000"/>
          <w:sz w:val="22"/>
          <w:szCs w:val="22"/>
        </w:rPr>
        <w:t xml:space="preserve">to </w:t>
      </w:r>
      <w:r>
        <w:rPr>
          <w:color w:val="000000"/>
          <w:sz w:val="22"/>
          <w:szCs w:val="22"/>
        </w:rPr>
        <w:t xml:space="preserve">ensure that their equipment is capable of </w:t>
      </w:r>
      <w:r w:rsidRPr="00DD2020" w:rsidR="007101EF">
        <w:rPr>
          <w:color w:val="000000"/>
          <w:sz w:val="22"/>
          <w:szCs w:val="22"/>
        </w:rPr>
        <w:t>deliver</w:t>
      </w:r>
      <w:r>
        <w:rPr>
          <w:color w:val="000000"/>
          <w:sz w:val="22"/>
          <w:szCs w:val="22"/>
        </w:rPr>
        <w:t>ing</w:t>
      </w:r>
      <w:r w:rsidRPr="00DD2020" w:rsidR="007101EF">
        <w:rPr>
          <w:color w:val="000000"/>
          <w:sz w:val="22"/>
          <w:szCs w:val="22"/>
        </w:rPr>
        <w:t xml:space="preserve"> of </w:t>
      </w:r>
      <w:r w:rsidR="007101EF">
        <w:rPr>
          <w:color w:val="000000"/>
          <w:sz w:val="22"/>
          <w:szCs w:val="22"/>
        </w:rPr>
        <w:t>Blue Alerts over EAS</w:t>
      </w:r>
      <w:r>
        <w:rPr>
          <w:color w:val="000000"/>
          <w:sz w:val="22"/>
          <w:szCs w:val="22"/>
        </w:rPr>
        <w:t>.</w:t>
      </w:r>
    </w:p>
    <w:p w:rsidR="00447650" w:rsidRPr="00DD2020" w:rsidP="00DD2020" w14:paraId="2883AAE5" w14:textId="77777777">
      <w:pPr>
        <w:pStyle w:val="ListParagraph"/>
        <w:rPr>
          <w:color w:val="000000"/>
          <w:sz w:val="22"/>
          <w:szCs w:val="22"/>
        </w:rPr>
      </w:pPr>
    </w:p>
    <w:p w:rsidR="00447650" w:rsidP="00447650" w14:paraId="5E3FD6ED" w14:textId="2285B774">
      <w:pPr>
        <w:pStyle w:val="ListParagraph"/>
        <w:numPr>
          <w:ilvl w:val="0"/>
          <w:numId w:val="15"/>
        </w:numPr>
        <w:ind w:left="1440"/>
        <w:rPr>
          <w:color w:val="000000"/>
          <w:sz w:val="22"/>
          <w:szCs w:val="22"/>
        </w:rPr>
      </w:pPr>
      <w:r>
        <w:rPr>
          <w:color w:val="000000"/>
          <w:sz w:val="22"/>
          <w:szCs w:val="22"/>
        </w:rPr>
        <w:t xml:space="preserve">Participating Commercial Mobile Service Providers have an </w:t>
      </w:r>
      <w:r w:rsidR="00EF4A33">
        <w:rPr>
          <w:color w:val="000000"/>
          <w:sz w:val="22"/>
          <w:szCs w:val="22"/>
        </w:rPr>
        <w:t>1</w:t>
      </w:r>
      <w:r>
        <w:rPr>
          <w:color w:val="000000"/>
          <w:sz w:val="22"/>
          <w:szCs w:val="22"/>
        </w:rPr>
        <w:t>8 month</w:t>
      </w:r>
      <w:r w:rsidR="00EF4A33">
        <w:rPr>
          <w:color w:val="000000"/>
          <w:sz w:val="22"/>
          <w:szCs w:val="22"/>
        </w:rPr>
        <w:t xml:space="preserve"> period</w:t>
      </w:r>
      <w:r>
        <w:rPr>
          <w:color w:val="000000"/>
          <w:sz w:val="22"/>
          <w:szCs w:val="22"/>
        </w:rPr>
        <w:t xml:space="preserve"> from the effective date of the </w:t>
      </w:r>
      <w:r w:rsidRPr="00DD2020" w:rsidR="006C6BB9">
        <w:rPr>
          <w:i/>
          <w:color w:val="000000"/>
          <w:sz w:val="22"/>
          <w:szCs w:val="22"/>
        </w:rPr>
        <w:t>Report and Orde</w:t>
      </w:r>
      <w:r w:rsidRPr="00DD2020">
        <w:rPr>
          <w:i/>
          <w:color w:val="000000"/>
          <w:sz w:val="22"/>
          <w:szCs w:val="22"/>
        </w:rPr>
        <w:t>r</w:t>
      </w:r>
      <w:r w:rsidR="007101EF">
        <w:rPr>
          <w:i/>
          <w:color w:val="000000"/>
          <w:sz w:val="22"/>
          <w:szCs w:val="22"/>
        </w:rPr>
        <w:t xml:space="preserve"> </w:t>
      </w:r>
      <w:r w:rsidR="00EF4A33">
        <w:rPr>
          <w:color w:val="000000"/>
          <w:sz w:val="22"/>
          <w:szCs w:val="22"/>
        </w:rPr>
        <w:t>—until July 18, 2019— to ensure that their equipment is capable of delivering</w:t>
      </w:r>
      <w:r w:rsidRPr="00DD2020" w:rsidR="007101EF">
        <w:rPr>
          <w:color w:val="000000"/>
          <w:sz w:val="22"/>
          <w:szCs w:val="22"/>
        </w:rPr>
        <w:t xml:space="preserve"> </w:t>
      </w:r>
      <w:r w:rsidR="007101EF">
        <w:rPr>
          <w:color w:val="000000"/>
          <w:sz w:val="22"/>
          <w:szCs w:val="22"/>
        </w:rPr>
        <w:t>Blue Alerts over WEA</w:t>
      </w:r>
      <w:r>
        <w:rPr>
          <w:color w:val="000000"/>
          <w:sz w:val="22"/>
          <w:szCs w:val="22"/>
        </w:rPr>
        <w:t>.</w:t>
      </w:r>
    </w:p>
    <w:p w:rsidR="00447650" w:rsidP="00DD2020" w14:paraId="522523BA" w14:textId="77777777">
      <w:pPr>
        <w:pStyle w:val="ListParagraph"/>
        <w:ind w:left="1440"/>
        <w:rPr>
          <w:color w:val="000000"/>
          <w:sz w:val="22"/>
          <w:szCs w:val="22"/>
        </w:rPr>
      </w:pPr>
      <w:r>
        <w:rPr>
          <w:color w:val="000000"/>
          <w:sz w:val="22"/>
          <w:szCs w:val="22"/>
        </w:rPr>
        <w:t xml:space="preserve"> </w:t>
      </w:r>
    </w:p>
    <w:p w:rsidR="004B3F1A" w:rsidP="006E23BB" w14:paraId="75D88A68" w14:textId="4B0DCF20">
      <w:pPr>
        <w:pStyle w:val="ListParagraph"/>
        <w:numPr>
          <w:ilvl w:val="0"/>
          <w:numId w:val="15"/>
        </w:numPr>
        <w:ind w:left="1440"/>
        <w:rPr>
          <w:sz w:val="22"/>
          <w:szCs w:val="22"/>
        </w:rPr>
      </w:pPr>
      <w:r>
        <w:rPr>
          <w:color w:val="000000"/>
          <w:sz w:val="22"/>
          <w:szCs w:val="22"/>
        </w:rPr>
        <w:t>The u</w:t>
      </w:r>
      <w:r w:rsidR="001F5ED7">
        <w:rPr>
          <w:color w:val="000000"/>
          <w:sz w:val="22"/>
          <w:szCs w:val="22"/>
        </w:rPr>
        <w:t>se of the BLU event code is voluntary</w:t>
      </w:r>
      <w:r w:rsidR="00D87C8C">
        <w:rPr>
          <w:color w:val="000000"/>
          <w:sz w:val="22"/>
          <w:szCs w:val="22"/>
        </w:rPr>
        <w:t>,</w:t>
      </w:r>
      <w:r w:rsidR="001F5ED7">
        <w:rPr>
          <w:color w:val="000000"/>
          <w:sz w:val="22"/>
          <w:szCs w:val="22"/>
        </w:rPr>
        <w:t xml:space="preserve"> and EAS </w:t>
      </w:r>
      <w:r w:rsidR="001443A8">
        <w:rPr>
          <w:color w:val="000000"/>
          <w:sz w:val="22"/>
          <w:szCs w:val="22"/>
        </w:rPr>
        <w:t>P</w:t>
      </w:r>
      <w:r w:rsidR="001F5ED7">
        <w:rPr>
          <w:color w:val="000000"/>
          <w:sz w:val="22"/>
          <w:szCs w:val="22"/>
        </w:rPr>
        <w:t xml:space="preserve">articipants may </w:t>
      </w:r>
      <w:r w:rsidRPr="00D0331D" w:rsidR="001F5ED7">
        <w:rPr>
          <w:sz w:val="22"/>
          <w:szCs w:val="22"/>
        </w:rPr>
        <w:t>update their software to add the BLU event code on a voluntary basis.</w:t>
      </w:r>
      <w:r w:rsidR="00770FE3">
        <w:rPr>
          <w:sz w:val="22"/>
          <w:szCs w:val="22"/>
        </w:rPr>
        <w:t xml:space="preserve">  Such software updates may be bundled with other routine software updates to minimize </w:t>
      </w:r>
      <w:r w:rsidR="00D87C8C">
        <w:rPr>
          <w:sz w:val="22"/>
          <w:szCs w:val="22"/>
        </w:rPr>
        <w:t xml:space="preserve">burden and </w:t>
      </w:r>
      <w:r w:rsidR="00770FE3">
        <w:rPr>
          <w:sz w:val="22"/>
          <w:szCs w:val="22"/>
        </w:rPr>
        <w:t xml:space="preserve">expense.  </w:t>
      </w:r>
    </w:p>
    <w:p w:rsidR="00A924BE" w:rsidRPr="00B570EB" w:rsidP="00E34125" w14:paraId="0C8ADC74" w14:textId="6BCFE9FF">
      <w:pPr>
        <w:rPr>
          <w:color w:val="000000"/>
          <w:sz w:val="22"/>
          <w:szCs w:val="22"/>
        </w:rPr>
      </w:pPr>
      <w:r>
        <w:rPr>
          <w:sz w:val="22"/>
          <w:szCs w:val="22"/>
        </w:rPr>
        <w:br w:type="page"/>
      </w:r>
    </w:p>
    <w:p w:rsidR="00476B58" w:rsidRPr="00B570EB" w:rsidP="00476B58" w14:paraId="46380BE2" w14:textId="77777777">
      <w:pPr>
        <w:rPr>
          <w:b/>
          <w:color w:val="000000"/>
          <w:sz w:val="22"/>
          <w:szCs w:val="22"/>
        </w:rPr>
      </w:pPr>
      <w:r w:rsidRPr="00B570EB">
        <w:rPr>
          <w:b/>
          <w:sz w:val="22"/>
          <w:szCs w:val="22"/>
        </w:rPr>
        <w:t>III.</w:t>
      </w:r>
      <w:r w:rsidRPr="00B570EB">
        <w:rPr>
          <w:b/>
          <w:sz w:val="22"/>
          <w:szCs w:val="22"/>
        </w:rPr>
        <w:tab/>
        <w:t>RECORDKEEPING AND REPORTING REQUIREMENTS</w:t>
      </w:r>
    </w:p>
    <w:p w:rsidR="00476B58" w:rsidRPr="00B570EB" w:rsidP="00E34125" w14:paraId="6F2CAA5A" w14:textId="77777777">
      <w:pPr>
        <w:rPr>
          <w:sz w:val="22"/>
          <w:szCs w:val="22"/>
        </w:rPr>
      </w:pPr>
    </w:p>
    <w:p w:rsidR="00476B58" w:rsidP="00CB7A44" w14:paraId="1F9022F4" w14:textId="77777777">
      <w:pPr>
        <w:rPr>
          <w:sz w:val="22"/>
          <w:szCs w:val="22"/>
        </w:rPr>
      </w:pPr>
      <w:r w:rsidRPr="00B570EB">
        <w:rPr>
          <w:sz w:val="22"/>
          <w:szCs w:val="22"/>
        </w:rPr>
        <w:tab/>
        <w:t xml:space="preserve">The </w:t>
      </w:r>
      <w:r w:rsidRPr="00B570EB">
        <w:rPr>
          <w:i/>
          <w:sz w:val="22"/>
          <w:szCs w:val="22"/>
        </w:rPr>
        <w:t xml:space="preserve">Report and Order </w:t>
      </w:r>
      <w:r w:rsidRPr="00B570EB" w:rsidR="00CB7A44">
        <w:rPr>
          <w:sz w:val="22"/>
          <w:szCs w:val="22"/>
        </w:rPr>
        <w:t>did not create any new reporting or recordkeeping requirements</w:t>
      </w:r>
      <w:r w:rsidRPr="00B570EB">
        <w:rPr>
          <w:sz w:val="22"/>
          <w:szCs w:val="22"/>
        </w:rPr>
        <w:t>.</w:t>
      </w:r>
    </w:p>
    <w:p w:rsidR="00162D44" w:rsidRPr="00B570EB" w:rsidP="00CB7A44" w14:paraId="77999F9D" w14:textId="77777777">
      <w:pPr>
        <w:rPr>
          <w:sz w:val="22"/>
          <w:szCs w:val="22"/>
        </w:rPr>
      </w:pPr>
    </w:p>
    <w:p w:rsidR="009B571E" w:rsidRPr="00B570EB" w:rsidP="00A63A39" w14:paraId="5B8D33FB" w14:textId="77777777">
      <w:pPr>
        <w:rPr>
          <w:b/>
          <w:color w:val="000000"/>
          <w:sz w:val="22"/>
          <w:szCs w:val="22"/>
        </w:rPr>
      </w:pPr>
      <w:r w:rsidRPr="00B570EB">
        <w:rPr>
          <w:b/>
          <w:sz w:val="22"/>
          <w:szCs w:val="22"/>
        </w:rPr>
        <w:t>IV.        IMPLEMENTATION DATE</w:t>
      </w:r>
    </w:p>
    <w:p w:rsidR="00A63A39" w:rsidP="00AE7203" w14:paraId="53101E64" w14:textId="77777777">
      <w:pPr>
        <w:pStyle w:val="ParaNum"/>
        <w:numPr>
          <w:ilvl w:val="0"/>
          <w:numId w:val="0"/>
        </w:numPr>
        <w:spacing w:after="0"/>
        <w:ind w:firstLine="720"/>
        <w:rPr>
          <w:b/>
          <w:color w:val="000000"/>
          <w:szCs w:val="22"/>
        </w:rPr>
      </w:pPr>
    </w:p>
    <w:p w:rsidR="00A63A39" w:rsidRPr="00FA7D6B" w:rsidP="00A63A39" w14:paraId="173A1E5B" w14:textId="673A4CD4">
      <w:pPr>
        <w:pStyle w:val="ParaNum"/>
        <w:numPr>
          <w:ilvl w:val="0"/>
          <w:numId w:val="0"/>
        </w:numPr>
        <w:ind w:firstLine="720"/>
        <w:rPr>
          <w:szCs w:val="22"/>
        </w:rPr>
      </w:pPr>
      <w:r w:rsidRPr="00FA7D6B">
        <w:rPr>
          <w:szCs w:val="22"/>
        </w:rPr>
        <w:t>EAS Participants</w:t>
      </w:r>
      <w:r w:rsidRPr="00FA7D6B" w:rsidR="00A120A3">
        <w:rPr>
          <w:szCs w:val="22"/>
        </w:rPr>
        <w:t xml:space="preserve"> choosing to offer Blue Alerts</w:t>
      </w:r>
      <w:r w:rsidRPr="00FA7D6B">
        <w:rPr>
          <w:szCs w:val="22"/>
        </w:rPr>
        <w:t xml:space="preserve"> </w:t>
      </w:r>
      <w:r w:rsidRPr="00FA7D6B" w:rsidR="00A120A3">
        <w:rPr>
          <w:szCs w:val="22"/>
        </w:rPr>
        <w:t xml:space="preserve">over EAS </w:t>
      </w:r>
      <w:r w:rsidRPr="00FA7D6B">
        <w:rPr>
          <w:szCs w:val="22"/>
        </w:rPr>
        <w:t xml:space="preserve">must render their equipment capable of delivering </w:t>
      </w:r>
      <w:r w:rsidRPr="00FA7D6B">
        <w:rPr>
          <w:szCs w:val="22"/>
        </w:rPr>
        <w:t xml:space="preserve">Blue Alerts over EAS </w:t>
      </w:r>
      <w:r w:rsidRPr="00FA7D6B" w:rsidR="00A87FEE">
        <w:rPr>
          <w:szCs w:val="22"/>
        </w:rPr>
        <w:t>by January 18, 2019</w:t>
      </w:r>
      <w:r w:rsidRPr="00FA7D6B" w:rsidR="00A120A3">
        <w:rPr>
          <w:szCs w:val="22"/>
        </w:rPr>
        <w:t xml:space="preserve"> (one year after the summary of the </w:t>
      </w:r>
      <w:r w:rsidRPr="00D0331D" w:rsidR="00A120A3">
        <w:rPr>
          <w:i/>
          <w:szCs w:val="22"/>
        </w:rPr>
        <w:t>Report and Order</w:t>
      </w:r>
      <w:r w:rsidRPr="00FA7D6B" w:rsidR="00A120A3">
        <w:rPr>
          <w:szCs w:val="22"/>
        </w:rPr>
        <w:t xml:space="preserve"> was published in the Federal Register)</w:t>
      </w:r>
      <w:r w:rsidRPr="00FA7D6B" w:rsidR="00A87FEE">
        <w:rPr>
          <w:szCs w:val="22"/>
        </w:rPr>
        <w:t>.</w:t>
      </w:r>
    </w:p>
    <w:p w:rsidR="009B571E" w:rsidRPr="00B570EB" w:rsidP="004A7B1D" w14:paraId="2BAB3950" w14:textId="39837923">
      <w:pPr>
        <w:pStyle w:val="ParaNum"/>
        <w:numPr>
          <w:ilvl w:val="0"/>
          <w:numId w:val="0"/>
        </w:numPr>
        <w:tabs>
          <w:tab w:val="left" w:pos="720"/>
        </w:tabs>
        <w:spacing w:after="0"/>
        <w:ind w:firstLine="720"/>
        <w:rPr>
          <w:b/>
          <w:color w:val="000000"/>
          <w:szCs w:val="22"/>
        </w:rPr>
      </w:pPr>
      <w:r w:rsidRPr="00FA7D6B">
        <w:rPr>
          <w:szCs w:val="22"/>
        </w:rPr>
        <w:t xml:space="preserve">Participating CMS Providers </w:t>
      </w:r>
      <w:r w:rsidRPr="00FA7D6B" w:rsidR="00A120A3">
        <w:rPr>
          <w:szCs w:val="22"/>
        </w:rPr>
        <w:t xml:space="preserve">choosing to offer Blue Alerts over WEA </w:t>
      </w:r>
      <w:r w:rsidRPr="00FA7D6B">
        <w:rPr>
          <w:szCs w:val="22"/>
        </w:rPr>
        <w:t>must render their equipment capable of d</w:t>
      </w:r>
      <w:r w:rsidRPr="00FA7D6B" w:rsidR="00A63A39">
        <w:rPr>
          <w:szCs w:val="22"/>
        </w:rPr>
        <w:t>eliver</w:t>
      </w:r>
      <w:r w:rsidRPr="00FA7D6B">
        <w:rPr>
          <w:szCs w:val="22"/>
        </w:rPr>
        <w:t>ing</w:t>
      </w:r>
      <w:r w:rsidRPr="00FA7D6B" w:rsidR="00A63A39">
        <w:rPr>
          <w:szCs w:val="22"/>
        </w:rPr>
        <w:t xml:space="preserve"> Blue Alerts over WEA by July 18, 2019</w:t>
      </w:r>
      <w:r w:rsidRPr="00FA7D6B" w:rsidR="00245F40">
        <w:rPr>
          <w:szCs w:val="22"/>
        </w:rPr>
        <w:t xml:space="preserve"> (eighteen months after the summary of the </w:t>
      </w:r>
      <w:r w:rsidRPr="00D0331D" w:rsidR="00245F40">
        <w:rPr>
          <w:i/>
          <w:szCs w:val="22"/>
        </w:rPr>
        <w:t>Report and Order</w:t>
      </w:r>
      <w:r w:rsidRPr="00FA7D6B" w:rsidR="00245F40">
        <w:rPr>
          <w:szCs w:val="22"/>
        </w:rPr>
        <w:t xml:space="preserve"> was published in the Federal Register)</w:t>
      </w:r>
      <w:r w:rsidRPr="00FA7D6B" w:rsidR="00A87FEE">
        <w:rPr>
          <w:szCs w:val="22"/>
        </w:rPr>
        <w:t>.</w:t>
      </w:r>
      <w:r w:rsidR="00A63A39">
        <w:rPr>
          <w:szCs w:val="22"/>
        </w:rPr>
        <w:t xml:space="preserve"> </w:t>
      </w:r>
    </w:p>
    <w:p w:rsidR="009B571E" w:rsidRPr="00820A79" w:rsidP="00994962" w14:paraId="62C28B00" w14:textId="77777777">
      <w:pPr>
        <w:pStyle w:val="ParaNum"/>
        <w:numPr>
          <w:ilvl w:val="0"/>
          <w:numId w:val="0"/>
        </w:numPr>
        <w:spacing w:after="0"/>
        <w:rPr>
          <w:b/>
          <w:color w:val="000000"/>
          <w:szCs w:val="22"/>
        </w:rPr>
      </w:pPr>
    </w:p>
    <w:p w:rsidR="00583458" w:rsidRPr="00B570EB" w:rsidP="00E34125" w14:paraId="5C5B7024" w14:textId="77777777">
      <w:pPr>
        <w:rPr>
          <w:color w:val="000000"/>
          <w:sz w:val="22"/>
          <w:szCs w:val="22"/>
        </w:rPr>
      </w:pPr>
      <w:r w:rsidRPr="00B570EB">
        <w:rPr>
          <w:b/>
          <w:sz w:val="22"/>
          <w:szCs w:val="22"/>
        </w:rPr>
        <w:t xml:space="preserve">V.         </w:t>
      </w:r>
      <w:r w:rsidRPr="00B570EB">
        <w:rPr>
          <w:b/>
          <w:color w:val="000000"/>
          <w:sz w:val="22"/>
          <w:szCs w:val="22"/>
        </w:rPr>
        <w:t>INTERNET LINKS</w:t>
      </w:r>
    </w:p>
    <w:p w:rsidR="009D5066" w:rsidRPr="00B570EB" w:rsidP="009D5066" w14:paraId="3AE9F98F" w14:textId="77777777">
      <w:pPr>
        <w:rPr>
          <w:color w:val="000000"/>
          <w:sz w:val="22"/>
          <w:szCs w:val="22"/>
        </w:rPr>
      </w:pPr>
    </w:p>
    <w:p w:rsidR="009D5066" w:rsidP="00DD2020" w14:paraId="3D17ACAE" w14:textId="77777777">
      <w:pPr>
        <w:ind w:firstLine="720"/>
        <w:rPr>
          <w:color w:val="000000"/>
          <w:sz w:val="22"/>
          <w:szCs w:val="22"/>
        </w:rPr>
      </w:pPr>
      <w:r w:rsidRPr="00B570EB">
        <w:rPr>
          <w:sz w:val="22"/>
          <w:szCs w:val="22"/>
        </w:rPr>
        <w:t>A copy of the</w:t>
      </w:r>
      <w:r w:rsidRPr="00B570EB">
        <w:rPr>
          <w:b/>
          <w:sz w:val="22"/>
          <w:szCs w:val="22"/>
        </w:rPr>
        <w:t xml:space="preserve"> </w:t>
      </w:r>
      <w:r w:rsidRPr="00B570EB">
        <w:rPr>
          <w:bCs/>
          <w:i/>
          <w:sz w:val="22"/>
          <w:szCs w:val="22"/>
        </w:rPr>
        <w:t>Amendment of Part 11 of the Commission's Rules Regarding Emergency Alert System</w:t>
      </w:r>
      <w:r w:rsidRPr="00B570EB">
        <w:rPr>
          <w:color w:val="000000"/>
          <w:sz w:val="22"/>
          <w:szCs w:val="22"/>
        </w:rPr>
        <w:t xml:space="preserve">, </w:t>
      </w:r>
      <w:r w:rsidRPr="00DD2020">
        <w:rPr>
          <w:i/>
          <w:color w:val="000000"/>
          <w:sz w:val="22"/>
          <w:szCs w:val="22"/>
        </w:rPr>
        <w:t>Report and Order</w:t>
      </w:r>
      <w:r w:rsidRPr="00B570EB">
        <w:rPr>
          <w:color w:val="000000"/>
          <w:sz w:val="22"/>
          <w:szCs w:val="22"/>
        </w:rPr>
        <w:t xml:space="preserve"> is available at:</w:t>
      </w:r>
    </w:p>
    <w:p w:rsidR="004B3F1A" w:rsidP="00D0331D" w14:paraId="50485EDC" w14:textId="77777777">
      <w:pPr>
        <w:ind w:firstLine="720"/>
        <w:rPr>
          <w:rStyle w:val="Hyperlink"/>
          <w:sz w:val="22"/>
          <w:szCs w:val="22"/>
        </w:rPr>
      </w:pPr>
      <w:r>
        <w:fldChar w:fldCharType="begin"/>
      </w:r>
      <w:r>
        <w:instrText xml:space="preserve"> HYPERLINK "https://apps.fcc.gov/edocs_public/attachmatch/FCC-17-170A1.docx" </w:instrText>
      </w:r>
      <w:r>
        <w:fldChar w:fldCharType="separate"/>
      </w:r>
      <w:r w:rsidRPr="00F245E3" w:rsidR="00061E8F">
        <w:rPr>
          <w:rStyle w:val="Hyperlink"/>
          <w:sz w:val="22"/>
          <w:szCs w:val="22"/>
        </w:rPr>
        <w:t>https://apps.fcc.gov/edocs_public/attachmatch/FCC-17-170A1.docx</w:t>
      </w:r>
      <w:r>
        <w:fldChar w:fldCharType="end"/>
      </w:r>
    </w:p>
    <w:p w:rsidR="004B3F1A" w:rsidP="004B3F1A" w14:paraId="036BFAFD" w14:textId="77777777">
      <w:pPr>
        <w:ind w:firstLine="720"/>
        <w:rPr>
          <w:color w:val="000000"/>
          <w:sz w:val="22"/>
          <w:szCs w:val="22"/>
        </w:rPr>
      </w:pPr>
      <w:r>
        <w:fldChar w:fldCharType="begin"/>
      </w:r>
      <w:r>
        <w:instrText xml:space="preserve"> HYPERLINK "https://apps.fcc.gov/edocs_public/attachmatch/FCC-17-170A1.pdf" </w:instrText>
      </w:r>
      <w:r>
        <w:fldChar w:fldCharType="separate"/>
      </w:r>
      <w:r w:rsidRPr="00013955">
        <w:rPr>
          <w:rStyle w:val="Hyperlink"/>
          <w:sz w:val="22"/>
          <w:szCs w:val="22"/>
        </w:rPr>
        <w:t>https://apps.fcc.gov/edocs_public/attachmatch/FCC-17-170A1.pdf</w:t>
      </w:r>
      <w:r>
        <w:fldChar w:fldCharType="end"/>
      </w:r>
    </w:p>
    <w:p w:rsidR="005200D0" w:rsidRPr="00B570EB" w:rsidP="00D0331D" w14:paraId="60885FF3" w14:textId="77777777">
      <w:pPr>
        <w:ind w:firstLine="720"/>
        <w:rPr>
          <w:color w:val="000000"/>
          <w:sz w:val="22"/>
          <w:szCs w:val="22"/>
        </w:rPr>
      </w:pPr>
      <w:r>
        <w:fldChar w:fldCharType="begin"/>
      </w:r>
      <w:r>
        <w:instrText xml:space="preserve"> HYPERLINK "https://apps.fcc.gov/edocs_public/attachmatch/FCC-17-170A1.txt" </w:instrText>
      </w:r>
      <w:r>
        <w:fldChar w:fldCharType="separate"/>
      </w:r>
      <w:r w:rsidRPr="00013955" w:rsidR="004B3F1A">
        <w:rPr>
          <w:rStyle w:val="Hyperlink"/>
          <w:sz w:val="22"/>
          <w:szCs w:val="22"/>
        </w:rPr>
        <w:t>https://apps.fcc.gov/edocs_public/attachmatch/FCC-17-170A1.txt</w:t>
      </w:r>
      <w:r>
        <w:fldChar w:fldCharType="end"/>
      </w:r>
      <w:r w:rsidR="00061E8F">
        <w:rPr>
          <w:color w:val="000000"/>
          <w:sz w:val="22"/>
          <w:szCs w:val="22"/>
        </w:rPr>
        <w:t xml:space="preserve"> </w:t>
      </w:r>
    </w:p>
    <w:p w:rsidR="009D5066" w:rsidRPr="00B570EB" w:rsidP="00B175B4" w14:paraId="6AD5D547" w14:textId="77777777">
      <w:pPr>
        <w:ind w:firstLine="720"/>
        <w:rPr>
          <w:color w:val="000000"/>
          <w:sz w:val="22"/>
          <w:szCs w:val="22"/>
        </w:rPr>
      </w:pPr>
    </w:p>
    <w:p w:rsidR="009D5066" w:rsidRPr="00B570EB" w:rsidP="009D5066" w14:paraId="2863E321" w14:textId="77777777">
      <w:pPr>
        <w:ind w:firstLine="720"/>
        <w:rPr>
          <w:color w:val="000000"/>
          <w:sz w:val="22"/>
          <w:szCs w:val="22"/>
        </w:rPr>
      </w:pPr>
      <w:r w:rsidRPr="00B570EB">
        <w:rPr>
          <w:sz w:val="22"/>
          <w:szCs w:val="22"/>
        </w:rPr>
        <w:t xml:space="preserve">A copy of the Federal Register Summary of the </w:t>
      </w:r>
      <w:r w:rsidRPr="00B570EB">
        <w:rPr>
          <w:bCs/>
          <w:i/>
          <w:sz w:val="22"/>
          <w:szCs w:val="22"/>
        </w:rPr>
        <w:t>Amendment of Part 11 of the Commission's Rules Regarding Emergency Alert System</w:t>
      </w:r>
      <w:r w:rsidRPr="00B570EB">
        <w:rPr>
          <w:color w:val="000000"/>
          <w:sz w:val="22"/>
          <w:szCs w:val="22"/>
        </w:rPr>
        <w:t xml:space="preserve">, </w:t>
      </w:r>
      <w:r w:rsidRPr="00DD2020">
        <w:rPr>
          <w:i/>
          <w:color w:val="000000"/>
          <w:sz w:val="22"/>
          <w:szCs w:val="22"/>
        </w:rPr>
        <w:t>Report and Order</w:t>
      </w:r>
      <w:r w:rsidRPr="00B570EB">
        <w:rPr>
          <w:color w:val="000000"/>
          <w:sz w:val="22"/>
          <w:szCs w:val="22"/>
        </w:rPr>
        <w:t xml:space="preserve"> is available at:</w:t>
      </w:r>
    </w:p>
    <w:p w:rsidR="009D5066" w:rsidRPr="00B570EB" w:rsidP="009D5066" w14:paraId="1B0D36D7" w14:textId="77777777">
      <w:pPr>
        <w:rPr>
          <w:rStyle w:val="Hyperlink"/>
          <w:color w:val="auto"/>
          <w:sz w:val="22"/>
          <w:szCs w:val="22"/>
          <w:u w:val="none"/>
        </w:rPr>
      </w:pPr>
      <w:r>
        <w:fldChar w:fldCharType="begin"/>
      </w:r>
      <w:r>
        <w:instrText xml:space="preserve"> HYPERLINK "https://www.federalregister.gov/documents/2018/01/18/2018-00595/blue-alert-eas-event-code" </w:instrText>
      </w:r>
      <w:r>
        <w:fldChar w:fldCharType="separate"/>
      </w:r>
      <w:r w:rsidRPr="00B570EB">
        <w:rPr>
          <w:rStyle w:val="Hyperlink"/>
          <w:sz w:val="22"/>
          <w:szCs w:val="22"/>
        </w:rPr>
        <w:t>https://www.federalregister.gov/documents/2018/01/18/2018-00595/blue-alert-eas-event-code</w:t>
      </w:r>
      <w:r>
        <w:fldChar w:fldCharType="end"/>
      </w:r>
    </w:p>
    <w:sectPr w:rsidSect="002127FE">
      <w:footerReference w:type="default" r:id="rId11"/>
      <w:type w:val="continuous"/>
      <w:pgSz w:w="12240" w:h="15840" w:code="1"/>
      <w:pgMar w:top="1440" w:right="1440" w:bottom="1440" w:left="1440" w:header="720" w:footer="720" w:gutter="0"/>
      <w:pgNumType w:start="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63D7" w14:paraId="2BF5207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3458" w:rsidRPr="00611EEF" w14:paraId="57192145" w14:textId="77777777">
    <w:pPr>
      <w:pStyle w:val="Footer"/>
      <w:jc w:val="center"/>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63D7" w14:paraId="73F9C8B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4D7C" w:rsidRPr="00611EEF" w14:paraId="5B38E03A" w14:textId="7CBDE5A6">
    <w:pPr>
      <w:pStyle w:val="Footer"/>
      <w:jc w:val="center"/>
      <w:rPr>
        <w:sz w:val="22"/>
      </w:rPr>
    </w:pPr>
    <w:r w:rsidRPr="00611EEF">
      <w:rPr>
        <w:sz w:val="22"/>
      </w:rPr>
      <w:fldChar w:fldCharType="begin"/>
    </w:r>
    <w:r w:rsidRPr="00611EEF">
      <w:rPr>
        <w:sz w:val="22"/>
      </w:rPr>
      <w:instrText xml:space="preserve"> PAGE   \* MERGEFORMAT </w:instrText>
    </w:r>
    <w:r w:rsidRPr="00611EEF">
      <w:rPr>
        <w:sz w:val="22"/>
      </w:rPr>
      <w:fldChar w:fldCharType="separate"/>
    </w:r>
    <w:r w:rsidR="009356FE">
      <w:rPr>
        <w:noProof/>
        <w:sz w:val="22"/>
      </w:rPr>
      <w:t>4</w:t>
    </w:r>
    <w:r w:rsidRPr="00611EEF">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133F" w14:paraId="1CEE79C2" w14:textId="77777777">
      <w:r>
        <w:separator/>
      </w:r>
    </w:p>
  </w:footnote>
  <w:footnote w:type="continuationSeparator" w:id="1">
    <w:p w:rsidR="005C133F" w14:paraId="3E7AE2C8" w14:textId="77777777">
      <w:r>
        <w:continuationSeparator/>
      </w:r>
    </w:p>
  </w:footnote>
  <w:footnote w:id="2">
    <w:p w:rsidR="00A120A3" w14:paraId="75ACF9C3" w14:textId="39977501">
      <w:pPr>
        <w:pStyle w:val="FootnoteText"/>
      </w:pPr>
      <w:r w:rsidRPr="00FA7D6B">
        <w:rPr>
          <w:rStyle w:val="FootnoteReference"/>
        </w:rPr>
        <w:footnoteRef/>
      </w:r>
      <w:r w:rsidRPr="00FA7D6B">
        <w:t xml:space="preserve"> The Commission left the docket open until March 19, 2018 (</w:t>
      </w:r>
      <w:r w:rsidR="001443A8">
        <w:t>which was</w:t>
      </w:r>
      <w:r w:rsidRPr="00FA7D6B">
        <w:t xml:space="preserve"> 60 days after publication of the summary of the </w:t>
      </w:r>
      <w:r w:rsidRPr="00D0331D">
        <w:rPr>
          <w:i/>
        </w:rPr>
        <w:t>Report and Order</w:t>
      </w:r>
      <w:r w:rsidRPr="00FA7D6B">
        <w:t xml:space="preserve"> in the Federal Register) for comment on one issue</w:t>
      </w:r>
      <w:r w:rsidR="001443A8">
        <w:t>:</w:t>
      </w:r>
      <w:r w:rsidRPr="00FA7D6B">
        <w:t xml:space="preserve"> whether additional rule changes would be helpful to facilitate delivery of Blue Alerts over WEA, and the potential implementation steps, time frame, and costs</w:t>
      </w:r>
      <w:r w:rsidRPr="00D0331D" w:rsidR="00245F40">
        <w:t xml:space="preserve"> associated with such changes</w:t>
      </w:r>
      <w:r w:rsidRPr="00FA7D6B">
        <w:t>.</w:t>
      </w:r>
      <w:r>
        <w:t xml:space="preserve">  </w:t>
      </w:r>
    </w:p>
  </w:footnote>
  <w:footnote w:id="3">
    <w:p w:rsidR="00E11056" w14:paraId="07F69D56" w14:textId="77777777">
      <w:pPr>
        <w:pStyle w:val="FootnoteText"/>
      </w:pPr>
      <w:r>
        <w:rPr>
          <w:rStyle w:val="FootnoteReference"/>
        </w:rPr>
        <w:footnoteRef/>
      </w:r>
      <w:r>
        <w:t xml:space="preserve"> </w:t>
      </w:r>
      <w:r w:rsidRPr="00947D48">
        <w:rPr>
          <w:rFonts w:eastAsia="Calibri"/>
          <w:snapToGrid w:val="0"/>
          <w:color w:val="000000"/>
        </w:rPr>
        <w:t>Rafael Ramos and Wenjian Liu National Blue Alert Act of 2015, Pub. L. No. 114-12, 129 Stat. 192 (2015).</w:t>
      </w:r>
      <w:r w:rsidR="00F9724B">
        <w:rPr>
          <w:rFonts w:eastAsia="Calibri"/>
          <w:snapToGrid w:val="0"/>
          <w:color w:val="000000"/>
        </w:rPr>
        <w:t xml:space="preserve">  The Blue Alert Act directs the creation of guidelines that</w:t>
      </w:r>
      <w:r w:rsidR="00F9724B">
        <w:rPr>
          <w:color w:val="000000"/>
        </w:rPr>
        <w:t>, among other things,</w:t>
      </w:r>
      <w:r w:rsidRPr="00947D48" w:rsidR="00F9724B">
        <w:rPr>
          <w:color w:val="000000"/>
        </w:rPr>
        <w:t xml:space="preserve"> shall “provide mechanisms that ensure that Blue Alerts comply with all applicable Federal, State, and local privacy laws and regulations” and “include standards that specifically provide for the protection of the civil liberties, including the privacy, of law enforcement officers who are seriously injured or killed in the line of duty,” are “missing in connection with the officer’s official duties, or who are threatened with death or serious injury, and the families of the officers.”  </w:t>
      </w:r>
      <w:r w:rsidRPr="00947D48" w:rsidR="00F9724B">
        <w:rPr>
          <w:i/>
          <w:color w:val="000000"/>
        </w:rPr>
        <w:t xml:space="preserve">See </w:t>
      </w:r>
      <w:r w:rsidRPr="00947D48" w:rsidR="00F9724B">
        <w:rPr>
          <w:color w:val="000000"/>
        </w:rPr>
        <w:t>34 U.S.C. § 50503(c)(3)</w:t>
      </w:r>
      <w:r w:rsidR="002A6FBE">
        <w:rPr>
          <w:color w:val="000000"/>
        </w:rPr>
        <w:t>.</w:t>
      </w:r>
      <w:r w:rsidRPr="00947D48">
        <w:rPr>
          <w:rFonts w:eastAsia="Calibri"/>
          <w:snapToGrid w:val="0"/>
          <w:color w:val="000000"/>
        </w:rPr>
        <w:t xml:space="preserve">  </w:t>
      </w:r>
    </w:p>
  </w:footnote>
  <w:footnote w:id="4">
    <w:p w:rsidR="00166302" w:rsidP="00166302" w14:paraId="1AFEAA83" w14:textId="77777777">
      <w:pPr>
        <w:pStyle w:val="FootnoteText"/>
      </w:pPr>
      <w:r>
        <w:rPr>
          <w:rStyle w:val="FootnoteReference"/>
        </w:rPr>
        <w:footnoteRef/>
      </w:r>
      <w:r>
        <w:t xml:space="preserve"> </w:t>
      </w:r>
      <w:r>
        <w:rPr>
          <w:i/>
        </w:rPr>
        <w:t xml:space="preserve">See </w:t>
      </w:r>
      <w:r w:rsidRPr="00947D48">
        <w:rPr>
          <w:rFonts w:eastAsia="Calibri"/>
          <w:color w:val="000000"/>
        </w:rPr>
        <w:t>U.S. Dep’t of Justice, Office of Community Oriented Policing Services</w:t>
      </w:r>
      <w:r w:rsidRPr="00947D48">
        <w:rPr>
          <w:color w:val="000000"/>
        </w:rPr>
        <w:t xml:space="preserve">, </w:t>
      </w:r>
      <w:r w:rsidRPr="00947D48">
        <w:rPr>
          <w:i/>
          <w:color w:val="000000"/>
        </w:rPr>
        <w:t>National Blue Alert Network:  When to Issue a Blue Alert</w:t>
      </w:r>
      <w:r w:rsidRPr="00947D48">
        <w:rPr>
          <w:color w:val="000000"/>
        </w:rPr>
        <w:t xml:space="preserve">, </w:t>
      </w:r>
      <w:r>
        <w:fldChar w:fldCharType="begin"/>
      </w:r>
      <w:r>
        <w:instrText xml:space="preserve"> HYPERLINK "https://cops.usdoj.gov/pdf/blue-alert/blue_alert_guidelines.pdf" </w:instrText>
      </w:r>
      <w:r>
        <w:fldChar w:fldCharType="separate"/>
      </w:r>
      <w:r w:rsidRPr="00947D48">
        <w:rPr>
          <w:rStyle w:val="Hyperlink"/>
          <w:color w:val="000000"/>
        </w:rPr>
        <w:t>https://cops.usdoj.gov/pdf/blue-alert/blue_alert_guidelines.pdf</w:t>
      </w:r>
      <w:r>
        <w:fldChar w:fldCharType="end"/>
      </w:r>
      <w:r w:rsidRPr="00947D48">
        <w:rPr>
          <w:color w:val="000000"/>
        </w:rPr>
        <w:t xml:space="preserve"> (</w:t>
      </w:r>
      <w:r w:rsidRPr="00947D48">
        <w:rPr>
          <w:i/>
          <w:color w:val="000000"/>
        </w:rPr>
        <w:t>Blue Alert Guidelines</w:t>
      </w:r>
      <w:r w:rsidRPr="00947D48">
        <w:rPr>
          <w:color w:val="000000"/>
        </w:rPr>
        <w:t xml:space="preserve">); 34 U.S.C. § 50503(b)(2)(D).  </w:t>
      </w:r>
    </w:p>
  </w:footnote>
  <w:footnote w:id="5">
    <w:p w:rsidR="00275CD4" w:rsidRPr="00947D48" w:rsidP="00275CD4" w14:paraId="36E014E5" w14:textId="77777777">
      <w:pPr>
        <w:pStyle w:val="FootnoteText"/>
        <w:rPr>
          <w:color w:val="000000"/>
        </w:rPr>
      </w:pPr>
      <w:r w:rsidRPr="00947D48">
        <w:rPr>
          <w:rStyle w:val="FootnoteReference"/>
          <w:color w:val="000000"/>
        </w:rPr>
        <w:footnoteRef/>
      </w:r>
      <w:r w:rsidRPr="00947D48">
        <w:rPr>
          <w:color w:val="000000"/>
        </w:rPr>
        <w:t xml:space="preserve"> </w:t>
      </w:r>
      <w:r w:rsidRPr="00947D48">
        <w:rPr>
          <w:i/>
          <w:color w:val="000000"/>
        </w:rPr>
        <w:t>Blue Alert Guidelines</w:t>
      </w:r>
      <w:r w:rsidRPr="00947D48">
        <w:rPr>
          <w:color w:val="000000"/>
        </w:rPr>
        <w:t>; 34 U.S.C. § 50503(b)(2)(E).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63D7" w14:paraId="4BF6CFC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63D7" w14:paraId="0D2894A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3458" w:rsidP="006E23BB" w14:paraId="73B424DD" w14:textId="77777777">
    <w:pPr>
      <w:pStyle w:val="Header"/>
      <w:tabs>
        <w:tab w:val="clear" w:pos="4320"/>
        <w:tab w:val="clear" w:pos="8640"/>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wrap-edited:f;position:absolute;visibility:visible;z-index:251658240" o:oleicon="f" o:allowincell="f" filled="t" fillcolor="#3cc">
          <v:imagedata r:id="rId1" o:title="" gain="69719f"/>
          <w10:wrap type="topAndBottom"/>
        </v:shape>
        <o:OLEObject Type="Embed" ProgID="Word.Picture.8" ShapeID="_x0000_s2049" DrawAspect="Content" ObjectID="_1585368521" r:id="rId2"/>
      </w:pict>
    </w:r>
    <w:r w:rsidR="00BB1B13">
      <w:rPr>
        <w:rFonts w:ascii="CG Times (W1)" w:hAnsi="CG Times (W1)"/>
        <w:sz w:val="28"/>
      </w:rPr>
      <w:t>Federal Communications Commission</w:t>
    </w:r>
  </w:p>
  <w:p w:rsidR="00583458" w14:paraId="60F72380" w14:textId="77777777">
    <w:pPr>
      <w:jc w:val="center"/>
    </w:pPr>
    <w:r>
      <w:rPr>
        <w:rFonts w:ascii="CG Times (W1)" w:hAnsi="CG Times (W1)"/>
        <w:sz w:val="28"/>
      </w:rPr>
      <w:t>Washington, D.C. 20554</w:t>
    </w:r>
  </w:p>
  <w:p w:rsidR="00583458" w14:paraId="0419D107" w14:textId="77777777">
    <w:pPr>
      <w:pStyle w:val="Header"/>
      <w:tabs>
        <w:tab w:val="clear" w:pos="4320"/>
      </w:tabs>
      <w:jc w:val="center"/>
      <w:rPr>
        <w:sz w:val="22"/>
      </w:rPr>
    </w:pPr>
  </w:p>
  <w:p w:rsidR="00583458" w:rsidRPr="0059603D" w:rsidP="00FC3E2D" w14:paraId="6D749FC1" w14:textId="15D56931">
    <w:pPr>
      <w:pStyle w:val="Header"/>
      <w:tabs>
        <w:tab w:val="clear" w:pos="4320"/>
      </w:tabs>
      <w:jc w:val="center"/>
      <w:rPr>
        <w:sz w:val="24"/>
        <w:szCs w:val="24"/>
      </w:rPr>
    </w:pPr>
    <w:r>
      <w:rPr>
        <w:sz w:val="24"/>
        <w:szCs w:val="24"/>
      </w:rPr>
      <w:t xml:space="preserve">April </w:t>
    </w:r>
    <w:r w:rsidR="009356FE">
      <w:rPr>
        <w:sz w:val="24"/>
        <w:szCs w:val="24"/>
      </w:rPr>
      <w:t>16</w:t>
    </w:r>
    <w:r w:rsidRPr="0059603D" w:rsidR="00BB1B13">
      <w:rPr>
        <w:sz w:val="24"/>
        <w:szCs w:val="24"/>
      </w:rPr>
      <w:t xml:space="preserve">, </w:t>
    </w:r>
    <w:r w:rsidRPr="0059603D" w:rsidR="007B6800">
      <w:rPr>
        <w:sz w:val="24"/>
        <w:szCs w:val="24"/>
      </w:rPr>
      <w:t>201</w:t>
    </w:r>
    <w:r w:rsidRPr="0059603D" w:rsidR="00BB1B13">
      <w:rPr>
        <w:sz w:val="24"/>
        <w:szCs w:val="24"/>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6D5EC8"/>
    <w:multiLevelType w:val="hybridMultilevel"/>
    <w:tmpl w:val="87181F7A"/>
    <w:lvl w:ilvl="0">
      <w:start w:val="1"/>
      <w:numFmt w:val="upperLetter"/>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BC0E81"/>
    <w:multiLevelType w:val="hybridMultilevel"/>
    <w:tmpl w:val="C452F5EA"/>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0C9F6C36"/>
    <w:multiLevelType w:val="hybridMultilevel"/>
    <w:tmpl w:val="2B409A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4CA4868"/>
    <w:multiLevelType w:val="hybridMultilevel"/>
    <w:tmpl w:val="245C21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nsid w:val="1566307D"/>
    <w:multiLevelType w:val="hybridMultilevel"/>
    <w:tmpl w:val="D61A516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25090EDB"/>
    <w:multiLevelType w:val="hybridMultilevel"/>
    <w:tmpl w:val="D8F02920"/>
    <w:lvl w:ilvl="0">
      <w:start w:val="1"/>
      <w:numFmt w:val="bullet"/>
      <w:lvlText w:val=""/>
      <w:lvlJc w:val="left"/>
      <w:pPr>
        <w:tabs>
          <w:tab w:val="num" w:pos="720"/>
        </w:tabs>
        <w:ind w:left="720" w:hanging="360"/>
      </w:pPr>
      <w:rPr>
        <w:rFonts w:ascii="Symbol" w:hAnsi="Symbol" w:hint="default"/>
        <w:b w:val="0"/>
        <w:sz w:val="16"/>
      </w:rPr>
    </w:lvl>
    <w:lvl w:ilvl="1">
      <w:start w:val="1"/>
      <w:numFmt w:val="bullet"/>
      <w:lvlText w:val="o"/>
      <w:lvlJc w:val="left"/>
      <w:pPr>
        <w:ind w:left="1440" w:hanging="360"/>
      </w:pPr>
      <w:rPr>
        <w:rFonts w:ascii="Courier New" w:hAnsi="Courier New" w:hint="default"/>
        <w:sz w:val="16"/>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275070FE"/>
    <w:multiLevelType w:val="hybridMultilevel"/>
    <w:tmpl w:val="54A4698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35275130"/>
    <w:multiLevelType w:val="hybridMultilevel"/>
    <w:tmpl w:val="CE0AFB94"/>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8">
    <w:nsid w:val="39AA7850"/>
    <w:multiLevelType w:val="hybridMultilevel"/>
    <w:tmpl w:val="C0E23AF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CDA4373"/>
    <w:multiLevelType w:val="hybridMultilevel"/>
    <w:tmpl w:val="9BE42AC4"/>
    <w:lvl w:ilvl="0">
      <w:start w:val="1"/>
      <w:numFmt w:val="bullet"/>
      <w:lvlText w:val=""/>
      <w:lvlJc w:val="left"/>
      <w:pPr>
        <w:ind w:left="720" w:hanging="360"/>
      </w:pPr>
      <w:rPr>
        <w:rFonts w:ascii="Symbol" w:hAnsi="Symbol" w:hint="default"/>
        <w:sz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4052842"/>
    <w:multiLevelType w:val="hybridMultilevel"/>
    <w:tmpl w:val="2B68BFE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E61172D"/>
    <w:multiLevelType w:val="hybridMultilevel"/>
    <w:tmpl w:val="358C9E0E"/>
    <w:lvl w:ilvl="0">
      <w:start w:val="1"/>
      <w:numFmt w:val="bullet"/>
      <w:lvlText w:val=""/>
      <w:lvlJc w:val="left"/>
      <w:pPr>
        <w:ind w:left="720" w:hanging="360"/>
      </w:pPr>
      <w:rPr>
        <w:rFonts w:ascii="Symbol" w:hAnsi="Symbol" w:hint="default"/>
        <w:sz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F6A6A08"/>
    <w:multiLevelType w:val="hybridMultilevel"/>
    <w:tmpl w:val="B1D6F34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578D76F3"/>
    <w:multiLevelType w:val="hybridMultilevel"/>
    <w:tmpl w:val="422C13E6"/>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nsid w:val="586862C2"/>
    <w:multiLevelType w:val="hybridMultilevel"/>
    <w:tmpl w:val="1632C718"/>
    <w:lvl w:ilvl="0">
      <w:start w:val="1"/>
      <w:numFmt w:val="upperRoman"/>
      <w:lvlText w:val="%1."/>
      <w:lvlJc w:val="left"/>
      <w:pPr>
        <w:ind w:left="1080" w:hanging="72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16">
    <w:nsid w:val="6BE460BE"/>
    <w:multiLevelType w:val="hybridMultilevel"/>
    <w:tmpl w:val="FD147B08"/>
    <w:lvl w:ilvl="0">
      <w:start w:val="1"/>
      <w:numFmt w:val="upperLetter"/>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C1F3B2B"/>
    <w:multiLevelType w:val="hybridMultilevel"/>
    <w:tmpl w:val="43CE98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hint="default"/>
        <w:sz w:val="22"/>
        <w:szCs w:val="22"/>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68937AB"/>
    <w:multiLevelType w:val="hybridMultilevel"/>
    <w:tmpl w:val="51524E72"/>
    <w:lvl w:ilvl="0">
      <w:start w:val="1"/>
      <w:numFmt w:val="bullet"/>
      <w:lvlText w:val=""/>
      <w:lvlJc w:val="left"/>
      <w:pPr>
        <w:ind w:left="720" w:hanging="360"/>
      </w:pPr>
      <w:rPr>
        <w:rFonts w:ascii="Symbol" w:hAnsi="Symbol" w:hint="default"/>
        <w:sz w:val="16"/>
      </w:rPr>
    </w:lvl>
    <w:lvl w:ilvl="1">
      <w:start w:val="1"/>
      <w:numFmt w:val="bullet"/>
      <w:lvlText w:val="o"/>
      <w:lvlJc w:val="left"/>
      <w:pPr>
        <w:ind w:left="1440" w:hanging="360"/>
      </w:pPr>
      <w:rPr>
        <w:rFonts w:ascii="Courier New" w:hAnsi="Courier New" w:hint="default"/>
        <w:sz w:val="16"/>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7CA52AD"/>
    <w:multiLevelType w:val="hybridMultilevel"/>
    <w:tmpl w:val="C31A65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A2D5693"/>
    <w:multiLevelType w:val="hybridMultilevel"/>
    <w:tmpl w:val="3472496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A846DA9"/>
    <w:multiLevelType w:val="hybridMultilevel"/>
    <w:tmpl w:val="711A61BC"/>
    <w:lvl w:ilvl="0">
      <w:start w:val="1"/>
      <w:numFmt w:val="decimal"/>
      <w:lvlText w:val="%1."/>
      <w:lvlJc w:val="left"/>
      <w:pPr>
        <w:tabs>
          <w:tab w:val="num" w:pos="771"/>
        </w:tabs>
        <w:ind w:left="771" w:hanging="360"/>
      </w:pPr>
      <w:rPr>
        <w:rFonts w:cs="Times New Roman"/>
        <w:i w:val="0"/>
      </w:rPr>
    </w:lvl>
    <w:lvl w:ilvl="1">
      <w:start w:val="1"/>
      <w:numFmt w:val="lowerLetter"/>
      <w:lvlText w:val="%2."/>
      <w:lvlJc w:val="left"/>
      <w:pPr>
        <w:tabs>
          <w:tab w:val="num" w:pos="1491"/>
        </w:tabs>
        <w:ind w:left="1491" w:hanging="360"/>
      </w:pPr>
      <w:rPr>
        <w:rFonts w:cs="Times New Roman"/>
      </w:rPr>
    </w:lvl>
    <w:lvl w:ilvl="2" w:tentative="1">
      <w:start w:val="1"/>
      <w:numFmt w:val="lowerRoman"/>
      <w:lvlText w:val="%3."/>
      <w:lvlJc w:val="right"/>
      <w:pPr>
        <w:tabs>
          <w:tab w:val="num" w:pos="2211"/>
        </w:tabs>
        <w:ind w:left="2211" w:hanging="180"/>
      </w:pPr>
      <w:rPr>
        <w:rFonts w:cs="Times New Roman"/>
      </w:rPr>
    </w:lvl>
    <w:lvl w:ilvl="3" w:tentative="1">
      <w:start w:val="1"/>
      <w:numFmt w:val="decimal"/>
      <w:lvlText w:val="%4."/>
      <w:lvlJc w:val="left"/>
      <w:pPr>
        <w:tabs>
          <w:tab w:val="num" w:pos="2931"/>
        </w:tabs>
        <w:ind w:left="2931" w:hanging="360"/>
      </w:pPr>
      <w:rPr>
        <w:rFonts w:cs="Times New Roman"/>
      </w:rPr>
    </w:lvl>
    <w:lvl w:ilvl="4" w:tentative="1">
      <w:start w:val="1"/>
      <w:numFmt w:val="lowerLetter"/>
      <w:lvlText w:val="%5."/>
      <w:lvlJc w:val="left"/>
      <w:pPr>
        <w:tabs>
          <w:tab w:val="num" w:pos="3651"/>
        </w:tabs>
        <w:ind w:left="3651" w:hanging="360"/>
      </w:pPr>
      <w:rPr>
        <w:rFonts w:cs="Times New Roman"/>
      </w:rPr>
    </w:lvl>
    <w:lvl w:ilvl="5" w:tentative="1">
      <w:start w:val="1"/>
      <w:numFmt w:val="lowerRoman"/>
      <w:lvlText w:val="%6."/>
      <w:lvlJc w:val="right"/>
      <w:pPr>
        <w:tabs>
          <w:tab w:val="num" w:pos="4371"/>
        </w:tabs>
        <w:ind w:left="4371" w:hanging="180"/>
      </w:pPr>
      <w:rPr>
        <w:rFonts w:cs="Times New Roman"/>
      </w:rPr>
    </w:lvl>
    <w:lvl w:ilvl="6" w:tentative="1">
      <w:start w:val="1"/>
      <w:numFmt w:val="decimal"/>
      <w:lvlText w:val="%7."/>
      <w:lvlJc w:val="left"/>
      <w:pPr>
        <w:tabs>
          <w:tab w:val="num" w:pos="5091"/>
        </w:tabs>
        <w:ind w:left="5091" w:hanging="360"/>
      </w:pPr>
      <w:rPr>
        <w:rFonts w:cs="Times New Roman"/>
      </w:rPr>
    </w:lvl>
    <w:lvl w:ilvl="7" w:tentative="1">
      <w:start w:val="1"/>
      <w:numFmt w:val="lowerLetter"/>
      <w:lvlText w:val="%8."/>
      <w:lvlJc w:val="left"/>
      <w:pPr>
        <w:tabs>
          <w:tab w:val="num" w:pos="5811"/>
        </w:tabs>
        <w:ind w:left="5811" w:hanging="360"/>
      </w:pPr>
      <w:rPr>
        <w:rFonts w:cs="Times New Roman"/>
      </w:rPr>
    </w:lvl>
    <w:lvl w:ilvl="8" w:tentative="1">
      <w:start w:val="1"/>
      <w:numFmt w:val="lowerRoman"/>
      <w:lvlText w:val="%9."/>
      <w:lvlJc w:val="right"/>
      <w:pPr>
        <w:tabs>
          <w:tab w:val="num" w:pos="6531"/>
        </w:tabs>
        <w:ind w:left="6531" w:hanging="180"/>
      </w:pPr>
      <w:rPr>
        <w:rFonts w:cs="Times New Roman"/>
      </w:rPr>
    </w:lvl>
  </w:abstractNum>
  <w:abstractNum w:abstractNumId="22">
    <w:nsid w:val="7F844131"/>
    <w:multiLevelType w:val="hybridMultilevel"/>
    <w:tmpl w:val="B35677B0"/>
    <w:lvl w:ilvl="0">
      <w:start w:val="1"/>
      <w:numFmt w:val="bullet"/>
      <w:lvlText w:val=""/>
      <w:lvlJc w:val="left"/>
      <w:pPr>
        <w:ind w:left="720" w:hanging="360"/>
      </w:pPr>
      <w:rPr>
        <w:rFonts w:ascii="Symbol" w:hAnsi="Symbol" w:hint="default"/>
        <w:sz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FB6329F"/>
    <w:multiLevelType w:val="hybridMultilevel"/>
    <w:tmpl w:val="838AAD18"/>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num w:numId="1">
    <w:abstractNumId w:val="14"/>
  </w:num>
  <w:num w:numId="2">
    <w:abstractNumId w:val="1"/>
  </w:num>
  <w:num w:numId="3">
    <w:abstractNumId w:val="20"/>
  </w:num>
  <w:num w:numId="4">
    <w:abstractNumId w:val="4"/>
  </w:num>
  <w:num w:numId="5">
    <w:abstractNumId w:val="5"/>
  </w:num>
  <w:num w:numId="6">
    <w:abstractNumId w:val="9"/>
  </w:num>
  <w:num w:numId="7">
    <w:abstractNumId w:val="18"/>
  </w:num>
  <w:num w:numId="8">
    <w:abstractNumId w:val="13"/>
  </w:num>
  <w:num w:numId="9">
    <w:abstractNumId w:val="15"/>
  </w:num>
  <w:num w:numId="10">
    <w:abstractNumId w:val="21"/>
  </w:num>
  <w:num w:numId="11">
    <w:abstractNumId w:val="11"/>
  </w:num>
  <w:num w:numId="12">
    <w:abstractNumId w:val="22"/>
  </w:num>
  <w:num w:numId="13">
    <w:abstractNumId w:val="3"/>
  </w:num>
  <w:num w:numId="14">
    <w:abstractNumId w:val="12"/>
  </w:num>
  <w:num w:numId="15">
    <w:abstractNumId w:val="17"/>
  </w:num>
  <w:num w:numId="16">
    <w:abstractNumId w:val="8"/>
  </w:num>
  <w:num w:numId="17">
    <w:abstractNumId w:val="0"/>
  </w:num>
  <w:num w:numId="18">
    <w:abstractNumId w:val="19"/>
  </w:num>
  <w:num w:numId="19">
    <w:abstractNumId w:val="7"/>
  </w:num>
  <w:num w:numId="20">
    <w:abstractNumId w:val="2"/>
  </w:num>
  <w:num w:numId="21">
    <w:abstractNumId w:val="16"/>
  </w:num>
  <w:num w:numId="22">
    <w:abstractNumId w:val="15"/>
  </w:num>
  <w:num w:numId="23">
    <w:abstractNumId w:val="23"/>
  </w:num>
  <w:num w:numId="24">
    <w:abstractNumId w:val="10"/>
  </w:num>
  <w:num w:numId="25">
    <w:abstractNumId w:val="6"/>
  </w:num>
  <w:num w:numId="26">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A51"/>
    <w:rsid w:val="000000D2"/>
    <w:rsid w:val="0000133E"/>
    <w:rsid w:val="00004F2B"/>
    <w:rsid w:val="000123CE"/>
    <w:rsid w:val="00013955"/>
    <w:rsid w:val="00023299"/>
    <w:rsid w:val="000250F7"/>
    <w:rsid w:val="00025510"/>
    <w:rsid w:val="00026CB8"/>
    <w:rsid w:val="0003048A"/>
    <w:rsid w:val="00034D30"/>
    <w:rsid w:val="000371D0"/>
    <w:rsid w:val="00040BF3"/>
    <w:rsid w:val="00042FAA"/>
    <w:rsid w:val="00044EE4"/>
    <w:rsid w:val="00050B7E"/>
    <w:rsid w:val="000525CC"/>
    <w:rsid w:val="0005704C"/>
    <w:rsid w:val="00060A3D"/>
    <w:rsid w:val="0006132D"/>
    <w:rsid w:val="00061E8F"/>
    <w:rsid w:val="0006325F"/>
    <w:rsid w:val="00063486"/>
    <w:rsid w:val="000679D2"/>
    <w:rsid w:val="00070C62"/>
    <w:rsid w:val="00074CA4"/>
    <w:rsid w:val="00076A18"/>
    <w:rsid w:val="0008217E"/>
    <w:rsid w:val="000823CB"/>
    <w:rsid w:val="00083668"/>
    <w:rsid w:val="0008617B"/>
    <w:rsid w:val="0009014E"/>
    <w:rsid w:val="0009100B"/>
    <w:rsid w:val="000A0451"/>
    <w:rsid w:val="000A171D"/>
    <w:rsid w:val="000A45C5"/>
    <w:rsid w:val="000A6AE9"/>
    <w:rsid w:val="000A6EA9"/>
    <w:rsid w:val="000A786F"/>
    <w:rsid w:val="000B2012"/>
    <w:rsid w:val="000B27B3"/>
    <w:rsid w:val="000B450E"/>
    <w:rsid w:val="000B7CA8"/>
    <w:rsid w:val="000C0716"/>
    <w:rsid w:val="000C191D"/>
    <w:rsid w:val="000C23CB"/>
    <w:rsid w:val="000C51BB"/>
    <w:rsid w:val="000C5233"/>
    <w:rsid w:val="000C7056"/>
    <w:rsid w:val="000D465B"/>
    <w:rsid w:val="000E1954"/>
    <w:rsid w:val="000F1DE5"/>
    <w:rsid w:val="000F22B0"/>
    <w:rsid w:val="000F75B1"/>
    <w:rsid w:val="00101128"/>
    <w:rsid w:val="00101A07"/>
    <w:rsid w:val="001054F5"/>
    <w:rsid w:val="00111202"/>
    <w:rsid w:val="0011758F"/>
    <w:rsid w:val="00120573"/>
    <w:rsid w:val="0012071E"/>
    <w:rsid w:val="001209F6"/>
    <w:rsid w:val="00121315"/>
    <w:rsid w:val="001224C6"/>
    <w:rsid w:val="00125B6F"/>
    <w:rsid w:val="00134238"/>
    <w:rsid w:val="0014231E"/>
    <w:rsid w:val="0014406F"/>
    <w:rsid w:val="001443A8"/>
    <w:rsid w:val="00151E57"/>
    <w:rsid w:val="0016061A"/>
    <w:rsid w:val="001613CE"/>
    <w:rsid w:val="00162D44"/>
    <w:rsid w:val="00163F02"/>
    <w:rsid w:val="00166302"/>
    <w:rsid w:val="00167854"/>
    <w:rsid w:val="00172962"/>
    <w:rsid w:val="00173EB9"/>
    <w:rsid w:val="00174842"/>
    <w:rsid w:val="00177160"/>
    <w:rsid w:val="001847D3"/>
    <w:rsid w:val="001874F9"/>
    <w:rsid w:val="0018790D"/>
    <w:rsid w:val="00194EEA"/>
    <w:rsid w:val="001A30FE"/>
    <w:rsid w:val="001A3E47"/>
    <w:rsid w:val="001A4D4B"/>
    <w:rsid w:val="001B1B30"/>
    <w:rsid w:val="001B2CBE"/>
    <w:rsid w:val="001B3282"/>
    <w:rsid w:val="001B42F5"/>
    <w:rsid w:val="001B5181"/>
    <w:rsid w:val="001B666B"/>
    <w:rsid w:val="001B7A99"/>
    <w:rsid w:val="001C0F90"/>
    <w:rsid w:val="001C5A12"/>
    <w:rsid w:val="001D1C61"/>
    <w:rsid w:val="001D5078"/>
    <w:rsid w:val="001D646A"/>
    <w:rsid w:val="001E0C9D"/>
    <w:rsid w:val="001E13BC"/>
    <w:rsid w:val="001E2E64"/>
    <w:rsid w:val="001E4A6F"/>
    <w:rsid w:val="001F089C"/>
    <w:rsid w:val="001F2CD4"/>
    <w:rsid w:val="001F4CED"/>
    <w:rsid w:val="001F552B"/>
    <w:rsid w:val="001F57E6"/>
    <w:rsid w:val="001F5ED7"/>
    <w:rsid w:val="001F64B7"/>
    <w:rsid w:val="002127FE"/>
    <w:rsid w:val="002262FC"/>
    <w:rsid w:val="002270B2"/>
    <w:rsid w:val="00230406"/>
    <w:rsid w:val="002304F6"/>
    <w:rsid w:val="002322A5"/>
    <w:rsid w:val="00235FAC"/>
    <w:rsid w:val="00242F54"/>
    <w:rsid w:val="002448E6"/>
    <w:rsid w:val="00245F40"/>
    <w:rsid w:val="00247DBC"/>
    <w:rsid w:val="00253DDE"/>
    <w:rsid w:val="00254A86"/>
    <w:rsid w:val="00254DAC"/>
    <w:rsid w:val="00255438"/>
    <w:rsid w:val="00257ED3"/>
    <w:rsid w:val="00257F33"/>
    <w:rsid w:val="00260E1B"/>
    <w:rsid w:val="00266FA9"/>
    <w:rsid w:val="002679DA"/>
    <w:rsid w:val="00270AD9"/>
    <w:rsid w:val="002720A8"/>
    <w:rsid w:val="0027466A"/>
    <w:rsid w:val="00275CD4"/>
    <w:rsid w:val="00281B93"/>
    <w:rsid w:val="00284037"/>
    <w:rsid w:val="00286C2F"/>
    <w:rsid w:val="00291221"/>
    <w:rsid w:val="00297D3D"/>
    <w:rsid w:val="002A08B2"/>
    <w:rsid w:val="002A3392"/>
    <w:rsid w:val="002A4ABB"/>
    <w:rsid w:val="002A4D5F"/>
    <w:rsid w:val="002A5293"/>
    <w:rsid w:val="002A6FBE"/>
    <w:rsid w:val="002A7A97"/>
    <w:rsid w:val="002B5173"/>
    <w:rsid w:val="002C4501"/>
    <w:rsid w:val="002D791F"/>
    <w:rsid w:val="002E0494"/>
    <w:rsid w:val="002E0A40"/>
    <w:rsid w:val="002E0CF6"/>
    <w:rsid w:val="002E1BDF"/>
    <w:rsid w:val="002E251E"/>
    <w:rsid w:val="002E302A"/>
    <w:rsid w:val="002E3AEF"/>
    <w:rsid w:val="002E6137"/>
    <w:rsid w:val="002F2CD7"/>
    <w:rsid w:val="002F3CBC"/>
    <w:rsid w:val="002F478F"/>
    <w:rsid w:val="00300462"/>
    <w:rsid w:val="00301B2C"/>
    <w:rsid w:val="00303935"/>
    <w:rsid w:val="003046D7"/>
    <w:rsid w:val="0030746C"/>
    <w:rsid w:val="00317937"/>
    <w:rsid w:val="00322884"/>
    <w:rsid w:val="0032298C"/>
    <w:rsid w:val="00330CD9"/>
    <w:rsid w:val="00331B7C"/>
    <w:rsid w:val="00332CB0"/>
    <w:rsid w:val="0033500B"/>
    <w:rsid w:val="00337517"/>
    <w:rsid w:val="00337EBD"/>
    <w:rsid w:val="00342B5F"/>
    <w:rsid w:val="00342C7B"/>
    <w:rsid w:val="00344DD3"/>
    <w:rsid w:val="00347098"/>
    <w:rsid w:val="0036194A"/>
    <w:rsid w:val="00362F1A"/>
    <w:rsid w:val="003662BC"/>
    <w:rsid w:val="00367A43"/>
    <w:rsid w:val="00367B2E"/>
    <w:rsid w:val="00373CBD"/>
    <w:rsid w:val="00376A20"/>
    <w:rsid w:val="00377837"/>
    <w:rsid w:val="00383EF4"/>
    <w:rsid w:val="00393252"/>
    <w:rsid w:val="003A4E12"/>
    <w:rsid w:val="003A518D"/>
    <w:rsid w:val="003B0F17"/>
    <w:rsid w:val="003B2116"/>
    <w:rsid w:val="003B65AE"/>
    <w:rsid w:val="003C09B8"/>
    <w:rsid w:val="003C13D6"/>
    <w:rsid w:val="003C6224"/>
    <w:rsid w:val="003C6F5E"/>
    <w:rsid w:val="003D217E"/>
    <w:rsid w:val="003D4ED7"/>
    <w:rsid w:val="003D5BA0"/>
    <w:rsid w:val="003D7741"/>
    <w:rsid w:val="003E3115"/>
    <w:rsid w:val="003F017B"/>
    <w:rsid w:val="003F1B94"/>
    <w:rsid w:val="003F2C18"/>
    <w:rsid w:val="003F714E"/>
    <w:rsid w:val="004067BD"/>
    <w:rsid w:val="00406E6D"/>
    <w:rsid w:val="00407486"/>
    <w:rsid w:val="0041066D"/>
    <w:rsid w:val="00414C13"/>
    <w:rsid w:val="00424E75"/>
    <w:rsid w:val="0042636F"/>
    <w:rsid w:val="004263BD"/>
    <w:rsid w:val="00433F99"/>
    <w:rsid w:val="004341D1"/>
    <w:rsid w:val="00434C53"/>
    <w:rsid w:val="00435245"/>
    <w:rsid w:val="00435A1B"/>
    <w:rsid w:val="00441942"/>
    <w:rsid w:val="00442298"/>
    <w:rsid w:val="004430F1"/>
    <w:rsid w:val="004451D6"/>
    <w:rsid w:val="00447030"/>
    <w:rsid w:val="00447650"/>
    <w:rsid w:val="00447890"/>
    <w:rsid w:val="004525B7"/>
    <w:rsid w:val="00454541"/>
    <w:rsid w:val="00457C14"/>
    <w:rsid w:val="00465C2D"/>
    <w:rsid w:val="00466218"/>
    <w:rsid w:val="00467133"/>
    <w:rsid w:val="004672D0"/>
    <w:rsid w:val="00467686"/>
    <w:rsid w:val="00467ACC"/>
    <w:rsid w:val="00471112"/>
    <w:rsid w:val="00476B58"/>
    <w:rsid w:val="00493EE2"/>
    <w:rsid w:val="004961A6"/>
    <w:rsid w:val="00497658"/>
    <w:rsid w:val="004A234F"/>
    <w:rsid w:val="004A7B1D"/>
    <w:rsid w:val="004B3F1A"/>
    <w:rsid w:val="004B4266"/>
    <w:rsid w:val="004B5493"/>
    <w:rsid w:val="004C6121"/>
    <w:rsid w:val="004D0177"/>
    <w:rsid w:val="004D01B1"/>
    <w:rsid w:val="004D1601"/>
    <w:rsid w:val="004D567F"/>
    <w:rsid w:val="004D5E92"/>
    <w:rsid w:val="004D6541"/>
    <w:rsid w:val="004D7CC1"/>
    <w:rsid w:val="004E0F6D"/>
    <w:rsid w:val="004E6E7A"/>
    <w:rsid w:val="004E7B7F"/>
    <w:rsid w:val="004F0805"/>
    <w:rsid w:val="004F329A"/>
    <w:rsid w:val="004F45E6"/>
    <w:rsid w:val="004F59A5"/>
    <w:rsid w:val="00502DE9"/>
    <w:rsid w:val="005036DF"/>
    <w:rsid w:val="005047FB"/>
    <w:rsid w:val="00510534"/>
    <w:rsid w:val="00511023"/>
    <w:rsid w:val="005200D0"/>
    <w:rsid w:val="00521E75"/>
    <w:rsid w:val="0052475E"/>
    <w:rsid w:val="005249F6"/>
    <w:rsid w:val="00527387"/>
    <w:rsid w:val="00527AF6"/>
    <w:rsid w:val="00530255"/>
    <w:rsid w:val="00533C41"/>
    <w:rsid w:val="00534D24"/>
    <w:rsid w:val="00543DDA"/>
    <w:rsid w:val="00550C4E"/>
    <w:rsid w:val="00550C6F"/>
    <w:rsid w:val="00562012"/>
    <w:rsid w:val="00562787"/>
    <w:rsid w:val="0056558E"/>
    <w:rsid w:val="00565F2A"/>
    <w:rsid w:val="00566CEB"/>
    <w:rsid w:val="005734A8"/>
    <w:rsid w:val="005749FC"/>
    <w:rsid w:val="00574A88"/>
    <w:rsid w:val="00583458"/>
    <w:rsid w:val="00584A90"/>
    <w:rsid w:val="005878DA"/>
    <w:rsid w:val="005927C2"/>
    <w:rsid w:val="00592CC3"/>
    <w:rsid w:val="005941A4"/>
    <w:rsid w:val="00594F22"/>
    <w:rsid w:val="0059603D"/>
    <w:rsid w:val="00596051"/>
    <w:rsid w:val="005A0E6D"/>
    <w:rsid w:val="005A2D18"/>
    <w:rsid w:val="005A780A"/>
    <w:rsid w:val="005B3771"/>
    <w:rsid w:val="005B39D3"/>
    <w:rsid w:val="005B778A"/>
    <w:rsid w:val="005C0A9E"/>
    <w:rsid w:val="005C133F"/>
    <w:rsid w:val="005C1E9B"/>
    <w:rsid w:val="005C3042"/>
    <w:rsid w:val="005C4583"/>
    <w:rsid w:val="005C7E02"/>
    <w:rsid w:val="005D2E2A"/>
    <w:rsid w:val="005D450A"/>
    <w:rsid w:val="005D4B2F"/>
    <w:rsid w:val="005D4B61"/>
    <w:rsid w:val="005D7B16"/>
    <w:rsid w:val="005E331E"/>
    <w:rsid w:val="005E4620"/>
    <w:rsid w:val="005E5CDC"/>
    <w:rsid w:val="005F2BDD"/>
    <w:rsid w:val="005F4FE0"/>
    <w:rsid w:val="005F7F34"/>
    <w:rsid w:val="00600179"/>
    <w:rsid w:val="00601A0C"/>
    <w:rsid w:val="00603588"/>
    <w:rsid w:val="00604925"/>
    <w:rsid w:val="006056CF"/>
    <w:rsid w:val="00611EEF"/>
    <w:rsid w:val="00614303"/>
    <w:rsid w:val="006149C3"/>
    <w:rsid w:val="00616327"/>
    <w:rsid w:val="00620968"/>
    <w:rsid w:val="0062409C"/>
    <w:rsid w:val="00626B2F"/>
    <w:rsid w:val="006454B1"/>
    <w:rsid w:val="00647F9E"/>
    <w:rsid w:val="00651C8A"/>
    <w:rsid w:val="0065306C"/>
    <w:rsid w:val="00654D74"/>
    <w:rsid w:val="00671040"/>
    <w:rsid w:val="00675171"/>
    <w:rsid w:val="00677AEC"/>
    <w:rsid w:val="006804FA"/>
    <w:rsid w:val="0068493B"/>
    <w:rsid w:val="006955FF"/>
    <w:rsid w:val="006A1486"/>
    <w:rsid w:val="006A7A08"/>
    <w:rsid w:val="006C3652"/>
    <w:rsid w:val="006C6BB9"/>
    <w:rsid w:val="006D255C"/>
    <w:rsid w:val="006E23BB"/>
    <w:rsid w:val="006E45C8"/>
    <w:rsid w:val="006E7116"/>
    <w:rsid w:val="006E71AA"/>
    <w:rsid w:val="006F2306"/>
    <w:rsid w:val="006F5A51"/>
    <w:rsid w:val="00701580"/>
    <w:rsid w:val="007031E0"/>
    <w:rsid w:val="00705A5F"/>
    <w:rsid w:val="00706B1F"/>
    <w:rsid w:val="007101EF"/>
    <w:rsid w:val="0071029B"/>
    <w:rsid w:val="00711358"/>
    <w:rsid w:val="007304D5"/>
    <w:rsid w:val="00733A40"/>
    <w:rsid w:val="00735750"/>
    <w:rsid w:val="00737515"/>
    <w:rsid w:val="007447B0"/>
    <w:rsid w:val="00745002"/>
    <w:rsid w:val="007502AE"/>
    <w:rsid w:val="00762E7C"/>
    <w:rsid w:val="0076338B"/>
    <w:rsid w:val="00766492"/>
    <w:rsid w:val="00770FE3"/>
    <w:rsid w:val="00777251"/>
    <w:rsid w:val="00780844"/>
    <w:rsid w:val="00782164"/>
    <w:rsid w:val="00784A26"/>
    <w:rsid w:val="0079112E"/>
    <w:rsid w:val="007976E1"/>
    <w:rsid w:val="007A0BAD"/>
    <w:rsid w:val="007A104E"/>
    <w:rsid w:val="007A136F"/>
    <w:rsid w:val="007A313E"/>
    <w:rsid w:val="007B18EB"/>
    <w:rsid w:val="007B32D3"/>
    <w:rsid w:val="007B5714"/>
    <w:rsid w:val="007B6800"/>
    <w:rsid w:val="007C326F"/>
    <w:rsid w:val="007C5818"/>
    <w:rsid w:val="007D1651"/>
    <w:rsid w:val="007E0379"/>
    <w:rsid w:val="007E72A3"/>
    <w:rsid w:val="007F1715"/>
    <w:rsid w:val="007F1C15"/>
    <w:rsid w:val="007F2F0E"/>
    <w:rsid w:val="007F4D91"/>
    <w:rsid w:val="007F5190"/>
    <w:rsid w:val="007F64C6"/>
    <w:rsid w:val="00800C88"/>
    <w:rsid w:val="00802DD7"/>
    <w:rsid w:val="008037B8"/>
    <w:rsid w:val="008054A6"/>
    <w:rsid w:val="00807408"/>
    <w:rsid w:val="008127EF"/>
    <w:rsid w:val="00812AA7"/>
    <w:rsid w:val="00812DFA"/>
    <w:rsid w:val="00820A79"/>
    <w:rsid w:val="008230CF"/>
    <w:rsid w:val="00823A30"/>
    <w:rsid w:val="00827B54"/>
    <w:rsid w:val="008341BA"/>
    <w:rsid w:val="00836305"/>
    <w:rsid w:val="0084392B"/>
    <w:rsid w:val="008452DC"/>
    <w:rsid w:val="008519B0"/>
    <w:rsid w:val="00855F44"/>
    <w:rsid w:val="00856E31"/>
    <w:rsid w:val="00860602"/>
    <w:rsid w:val="00863232"/>
    <w:rsid w:val="008653AC"/>
    <w:rsid w:val="00876974"/>
    <w:rsid w:val="008809C9"/>
    <w:rsid w:val="00881D18"/>
    <w:rsid w:val="00882584"/>
    <w:rsid w:val="008843C8"/>
    <w:rsid w:val="00886E4C"/>
    <w:rsid w:val="00894AC3"/>
    <w:rsid w:val="0089516C"/>
    <w:rsid w:val="008972BF"/>
    <w:rsid w:val="008B043C"/>
    <w:rsid w:val="008B38AD"/>
    <w:rsid w:val="008B3DCA"/>
    <w:rsid w:val="008B4AFB"/>
    <w:rsid w:val="008B746E"/>
    <w:rsid w:val="008C535D"/>
    <w:rsid w:val="008C5F44"/>
    <w:rsid w:val="008C7D35"/>
    <w:rsid w:val="008D1D93"/>
    <w:rsid w:val="008D64AF"/>
    <w:rsid w:val="008D7D82"/>
    <w:rsid w:val="008E16B5"/>
    <w:rsid w:val="008E3879"/>
    <w:rsid w:val="008E6233"/>
    <w:rsid w:val="008E67E7"/>
    <w:rsid w:val="008F1D0B"/>
    <w:rsid w:val="008F7B77"/>
    <w:rsid w:val="008F7EF1"/>
    <w:rsid w:val="00901389"/>
    <w:rsid w:val="009020A6"/>
    <w:rsid w:val="0090299E"/>
    <w:rsid w:val="009041F9"/>
    <w:rsid w:val="00912526"/>
    <w:rsid w:val="00912C21"/>
    <w:rsid w:val="00916302"/>
    <w:rsid w:val="00917B3B"/>
    <w:rsid w:val="009212CE"/>
    <w:rsid w:val="009229FC"/>
    <w:rsid w:val="00925D31"/>
    <w:rsid w:val="00927267"/>
    <w:rsid w:val="009302B8"/>
    <w:rsid w:val="0093171F"/>
    <w:rsid w:val="0093256A"/>
    <w:rsid w:val="00935410"/>
    <w:rsid w:val="009356FE"/>
    <w:rsid w:val="00945788"/>
    <w:rsid w:val="009467D8"/>
    <w:rsid w:val="00946FA6"/>
    <w:rsid w:val="00947D48"/>
    <w:rsid w:val="00950175"/>
    <w:rsid w:val="00952C56"/>
    <w:rsid w:val="009610AF"/>
    <w:rsid w:val="00963098"/>
    <w:rsid w:val="00963218"/>
    <w:rsid w:val="00964F8D"/>
    <w:rsid w:val="009669EC"/>
    <w:rsid w:val="00966E1D"/>
    <w:rsid w:val="00971DB7"/>
    <w:rsid w:val="00975DCC"/>
    <w:rsid w:val="00980803"/>
    <w:rsid w:val="00992E1B"/>
    <w:rsid w:val="00994962"/>
    <w:rsid w:val="00996175"/>
    <w:rsid w:val="00997D13"/>
    <w:rsid w:val="009B0DE2"/>
    <w:rsid w:val="009B0F64"/>
    <w:rsid w:val="009B204B"/>
    <w:rsid w:val="009B4591"/>
    <w:rsid w:val="009B571E"/>
    <w:rsid w:val="009C220F"/>
    <w:rsid w:val="009C41E3"/>
    <w:rsid w:val="009C6FA3"/>
    <w:rsid w:val="009C7147"/>
    <w:rsid w:val="009C74E9"/>
    <w:rsid w:val="009D0AE4"/>
    <w:rsid w:val="009D4B27"/>
    <w:rsid w:val="009D5066"/>
    <w:rsid w:val="009D58F4"/>
    <w:rsid w:val="009D68F1"/>
    <w:rsid w:val="009D7D05"/>
    <w:rsid w:val="009E3568"/>
    <w:rsid w:val="009E49F1"/>
    <w:rsid w:val="009E5359"/>
    <w:rsid w:val="009F1555"/>
    <w:rsid w:val="009F29E1"/>
    <w:rsid w:val="009F7965"/>
    <w:rsid w:val="00A03FB3"/>
    <w:rsid w:val="00A06C75"/>
    <w:rsid w:val="00A06F1A"/>
    <w:rsid w:val="00A120A3"/>
    <w:rsid w:val="00A12B7A"/>
    <w:rsid w:val="00A15035"/>
    <w:rsid w:val="00A15387"/>
    <w:rsid w:val="00A166C1"/>
    <w:rsid w:val="00A16C06"/>
    <w:rsid w:val="00A23960"/>
    <w:rsid w:val="00A26B12"/>
    <w:rsid w:val="00A3197D"/>
    <w:rsid w:val="00A31C27"/>
    <w:rsid w:val="00A3200D"/>
    <w:rsid w:val="00A32DBB"/>
    <w:rsid w:val="00A362BE"/>
    <w:rsid w:val="00A45EAE"/>
    <w:rsid w:val="00A46D8B"/>
    <w:rsid w:val="00A54D5D"/>
    <w:rsid w:val="00A575CA"/>
    <w:rsid w:val="00A61BB2"/>
    <w:rsid w:val="00A63A39"/>
    <w:rsid w:val="00A76264"/>
    <w:rsid w:val="00A8094E"/>
    <w:rsid w:val="00A87FEE"/>
    <w:rsid w:val="00A903FE"/>
    <w:rsid w:val="00A924BE"/>
    <w:rsid w:val="00A92985"/>
    <w:rsid w:val="00A95F33"/>
    <w:rsid w:val="00A964BA"/>
    <w:rsid w:val="00AA385E"/>
    <w:rsid w:val="00AA3EC8"/>
    <w:rsid w:val="00AA59A8"/>
    <w:rsid w:val="00AA5A4E"/>
    <w:rsid w:val="00AA67B9"/>
    <w:rsid w:val="00AB30E3"/>
    <w:rsid w:val="00AB3455"/>
    <w:rsid w:val="00AB65E2"/>
    <w:rsid w:val="00AB79EC"/>
    <w:rsid w:val="00AC1A29"/>
    <w:rsid w:val="00AC4781"/>
    <w:rsid w:val="00AC53BE"/>
    <w:rsid w:val="00AD0702"/>
    <w:rsid w:val="00AD363F"/>
    <w:rsid w:val="00AD4748"/>
    <w:rsid w:val="00AD6570"/>
    <w:rsid w:val="00AD7C4C"/>
    <w:rsid w:val="00AE6C39"/>
    <w:rsid w:val="00AE7203"/>
    <w:rsid w:val="00AF0041"/>
    <w:rsid w:val="00AF1EBE"/>
    <w:rsid w:val="00AF75FC"/>
    <w:rsid w:val="00AF7A8F"/>
    <w:rsid w:val="00B0705A"/>
    <w:rsid w:val="00B07F5A"/>
    <w:rsid w:val="00B10671"/>
    <w:rsid w:val="00B141B1"/>
    <w:rsid w:val="00B154EC"/>
    <w:rsid w:val="00B175B4"/>
    <w:rsid w:val="00B37D3C"/>
    <w:rsid w:val="00B37D97"/>
    <w:rsid w:val="00B43DC8"/>
    <w:rsid w:val="00B4423E"/>
    <w:rsid w:val="00B475F9"/>
    <w:rsid w:val="00B570EB"/>
    <w:rsid w:val="00B649E9"/>
    <w:rsid w:val="00B658F5"/>
    <w:rsid w:val="00B65D6D"/>
    <w:rsid w:val="00B6626D"/>
    <w:rsid w:val="00B67B08"/>
    <w:rsid w:val="00B778C1"/>
    <w:rsid w:val="00B823E2"/>
    <w:rsid w:val="00B84001"/>
    <w:rsid w:val="00B84DFE"/>
    <w:rsid w:val="00B85F43"/>
    <w:rsid w:val="00B876D3"/>
    <w:rsid w:val="00B94727"/>
    <w:rsid w:val="00B96513"/>
    <w:rsid w:val="00BA423A"/>
    <w:rsid w:val="00BA655A"/>
    <w:rsid w:val="00BB1626"/>
    <w:rsid w:val="00BB19B8"/>
    <w:rsid w:val="00BB1B13"/>
    <w:rsid w:val="00BB379C"/>
    <w:rsid w:val="00BC16AE"/>
    <w:rsid w:val="00BC2032"/>
    <w:rsid w:val="00BC2E5E"/>
    <w:rsid w:val="00BC3F08"/>
    <w:rsid w:val="00BC7080"/>
    <w:rsid w:val="00BD25CE"/>
    <w:rsid w:val="00BD4298"/>
    <w:rsid w:val="00BD5DBA"/>
    <w:rsid w:val="00BD7561"/>
    <w:rsid w:val="00BE4894"/>
    <w:rsid w:val="00BE5EB6"/>
    <w:rsid w:val="00BF71D7"/>
    <w:rsid w:val="00BF79E0"/>
    <w:rsid w:val="00C02B5A"/>
    <w:rsid w:val="00C03C12"/>
    <w:rsid w:val="00C05C44"/>
    <w:rsid w:val="00C2108D"/>
    <w:rsid w:val="00C22AB2"/>
    <w:rsid w:val="00C247A5"/>
    <w:rsid w:val="00C3013D"/>
    <w:rsid w:val="00C32130"/>
    <w:rsid w:val="00C3290C"/>
    <w:rsid w:val="00C337C4"/>
    <w:rsid w:val="00C33B91"/>
    <w:rsid w:val="00C36A91"/>
    <w:rsid w:val="00C40922"/>
    <w:rsid w:val="00C42928"/>
    <w:rsid w:val="00C42C71"/>
    <w:rsid w:val="00C42D65"/>
    <w:rsid w:val="00C44144"/>
    <w:rsid w:val="00C443BC"/>
    <w:rsid w:val="00C50515"/>
    <w:rsid w:val="00C51339"/>
    <w:rsid w:val="00C51555"/>
    <w:rsid w:val="00C55F87"/>
    <w:rsid w:val="00C5665F"/>
    <w:rsid w:val="00C57AE1"/>
    <w:rsid w:val="00C70318"/>
    <w:rsid w:val="00C71EA3"/>
    <w:rsid w:val="00C729E5"/>
    <w:rsid w:val="00C73201"/>
    <w:rsid w:val="00C754CB"/>
    <w:rsid w:val="00C763D7"/>
    <w:rsid w:val="00C84D7C"/>
    <w:rsid w:val="00C85FAF"/>
    <w:rsid w:val="00C90E1C"/>
    <w:rsid w:val="00C93F42"/>
    <w:rsid w:val="00C961ED"/>
    <w:rsid w:val="00CA201A"/>
    <w:rsid w:val="00CA4446"/>
    <w:rsid w:val="00CA4C89"/>
    <w:rsid w:val="00CA6E70"/>
    <w:rsid w:val="00CB08CF"/>
    <w:rsid w:val="00CB3CBD"/>
    <w:rsid w:val="00CB62F2"/>
    <w:rsid w:val="00CB7A44"/>
    <w:rsid w:val="00CB7D88"/>
    <w:rsid w:val="00CC57D0"/>
    <w:rsid w:val="00CD1719"/>
    <w:rsid w:val="00CD5560"/>
    <w:rsid w:val="00CD5E5D"/>
    <w:rsid w:val="00CD600A"/>
    <w:rsid w:val="00CE351D"/>
    <w:rsid w:val="00CE3DF8"/>
    <w:rsid w:val="00CE7993"/>
    <w:rsid w:val="00CE7C8B"/>
    <w:rsid w:val="00CF0876"/>
    <w:rsid w:val="00CF27F1"/>
    <w:rsid w:val="00CF5FB1"/>
    <w:rsid w:val="00CF6225"/>
    <w:rsid w:val="00D0331D"/>
    <w:rsid w:val="00D118A4"/>
    <w:rsid w:val="00D12D9F"/>
    <w:rsid w:val="00D161C9"/>
    <w:rsid w:val="00D16C47"/>
    <w:rsid w:val="00D178C0"/>
    <w:rsid w:val="00D17BDE"/>
    <w:rsid w:val="00D200EE"/>
    <w:rsid w:val="00D218BA"/>
    <w:rsid w:val="00D21DA0"/>
    <w:rsid w:val="00D23337"/>
    <w:rsid w:val="00D23F1B"/>
    <w:rsid w:val="00D34874"/>
    <w:rsid w:val="00D34C0D"/>
    <w:rsid w:val="00D41C81"/>
    <w:rsid w:val="00D428BD"/>
    <w:rsid w:val="00D517B1"/>
    <w:rsid w:val="00D539BD"/>
    <w:rsid w:val="00D55F45"/>
    <w:rsid w:val="00D573B8"/>
    <w:rsid w:val="00D6271D"/>
    <w:rsid w:val="00D6562A"/>
    <w:rsid w:val="00D67720"/>
    <w:rsid w:val="00D77B77"/>
    <w:rsid w:val="00D77D7B"/>
    <w:rsid w:val="00D85B56"/>
    <w:rsid w:val="00D87C8C"/>
    <w:rsid w:val="00D90123"/>
    <w:rsid w:val="00D944AA"/>
    <w:rsid w:val="00D94518"/>
    <w:rsid w:val="00DA7EEF"/>
    <w:rsid w:val="00DB1198"/>
    <w:rsid w:val="00DB1666"/>
    <w:rsid w:val="00DB1DFF"/>
    <w:rsid w:val="00DB4290"/>
    <w:rsid w:val="00DB7C51"/>
    <w:rsid w:val="00DC0149"/>
    <w:rsid w:val="00DC28C7"/>
    <w:rsid w:val="00DC5725"/>
    <w:rsid w:val="00DC6CE2"/>
    <w:rsid w:val="00DD2020"/>
    <w:rsid w:val="00DD5E8C"/>
    <w:rsid w:val="00DE457D"/>
    <w:rsid w:val="00DF1309"/>
    <w:rsid w:val="00DF7F03"/>
    <w:rsid w:val="00DF7F38"/>
    <w:rsid w:val="00E059A0"/>
    <w:rsid w:val="00E06753"/>
    <w:rsid w:val="00E11056"/>
    <w:rsid w:val="00E1597E"/>
    <w:rsid w:val="00E16286"/>
    <w:rsid w:val="00E171CC"/>
    <w:rsid w:val="00E17716"/>
    <w:rsid w:val="00E20AE2"/>
    <w:rsid w:val="00E21835"/>
    <w:rsid w:val="00E24C97"/>
    <w:rsid w:val="00E26AB5"/>
    <w:rsid w:val="00E34125"/>
    <w:rsid w:val="00E36FD5"/>
    <w:rsid w:val="00E37093"/>
    <w:rsid w:val="00E41767"/>
    <w:rsid w:val="00E41BD9"/>
    <w:rsid w:val="00E41CFD"/>
    <w:rsid w:val="00E45C66"/>
    <w:rsid w:val="00E47031"/>
    <w:rsid w:val="00E47A85"/>
    <w:rsid w:val="00E55FE0"/>
    <w:rsid w:val="00E5716F"/>
    <w:rsid w:val="00E60E50"/>
    <w:rsid w:val="00E651C9"/>
    <w:rsid w:val="00E660C2"/>
    <w:rsid w:val="00E75371"/>
    <w:rsid w:val="00E779CD"/>
    <w:rsid w:val="00E84339"/>
    <w:rsid w:val="00E92DF8"/>
    <w:rsid w:val="00E9429D"/>
    <w:rsid w:val="00E9582A"/>
    <w:rsid w:val="00EA0492"/>
    <w:rsid w:val="00EA1474"/>
    <w:rsid w:val="00EA49AB"/>
    <w:rsid w:val="00EA5FFA"/>
    <w:rsid w:val="00EA672A"/>
    <w:rsid w:val="00EB7851"/>
    <w:rsid w:val="00EC3F90"/>
    <w:rsid w:val="00EC6A3D"/>
    <w:rsid w:val="00ED0141"/>
    <w:rsid w:val="00ED2F70"/>
    <w:rsid w:val="00ED3BB2"/>
    <w:rsid w:val="00EE1239"/>
    <w:rsid w:val="00EE1D41"/>
    <w:rsid w:val="00EE3143"/>
    <w:rsid w:val="00EE3600"/>
    <w:rsid w:val="00EE5AF9"/>
    <w:rsid w:val="00EF094E"/>
    <w:rsid w:val="00EF4007"/>
    <w:rsid w:val="00EF4A33"/>
    <w:rsid w:val="00EF5082"/>
    <w:rsid w:val="00F01236"/>
    <w:rsid w:val="00F02319"/>
    <w:rsid w:val="00F04F48"/>
    <w:rsid w:val="00F07B87"/>
    <w:rsid w:val="00F16BCE"/>
    <w:rsid w:val="00F227EF"/>
    <w:rsid w:val="00F245E3"/>
    <w:rsid w:val="00F27F24"/>
    <w:rsid w:val="00F3381C"/>
    <w:rsid w:val="00F35828"/>
    <w:rsid w:val="00F35C69"/>
    <w:rsid w:val="00F4067B"/>
    <w:rsid w:val="00F40A27"/>
    <w:rsid w:val="00F417D9"/>
    <w:rsid w:val="00F476EA"/>
    <w:rsid w:val="00F51459"/>
    <w:rsid w:val="00F51667"/>
    <w:rsid w:val="00F5675B"/>
    <w:rsid w:val="00F573E8"/>
    <w:rsid w:val="00F6007B"/>
    <w:rsid w:val="00F655C5"/>
    <w:rsid w:val="00F72BFD"/>
    <w:rsid w:val="00F730AB"/>
    <w:rsid w:val="00F73348"/>
    <w:rsid w:val="00F7780C"/>
    <w:rsid w:val="00F80A40"/>
    <w:rsid w:val="00F81419"/>
    <w:rsid w:val="00F835D0"/>
    <w:rsid w:val="00F84A3E"/>
    <w:rsid w:val="00F84C3B"/>
    <w:rsid w:val="00F86F92"/>
    <w:rsid w:val="00F87BE4"/>
    <w:rsid w:val="00F92241"/>
    <w:rsid w:val="00F9724B"/>
    <w:rsid w:val="00FA01F7"/>
    <w:rsid w:val="00FA2B62"/>
    <w:rsid w:val="00FA402D"/>
    <w:rsid w:val="00FA51A9"/>
    <w:rsid w:val="00FA7975"/>
    <w:rsid w:val="00FA7D6B"/>
    <w:rsid w:val="00FB12A1"/>
    <w:rsid w:val="00FB35BE"/>
    <w:rsid w:val="00FB49A0"/>
    <w:rsid w:val="00FC2AD0"/>
    <w:rsid w:val="00FC3C4F"/>
    <w:rsid w:val="00FC3E2D"/>
    <w:rsid w:val="00FD0225"/>
    <w:rsid w:val="00FD3777"/>
    <w:rsid w:val="00FD40C1"/>
    <w:rsid w:val="00FD5336"/>
    <w:rsid w:val="00FE3C77"/>
    <w:rsid w:val="00FF01C3"/>
    <w:rsid w:val="00FF0C26"/>
    <w:rsid w:val="00FF48A1"/>
    <w:rsid w:val="00FF4C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8F1"/>
    <w:rPr>
      <w:sz w:val="20"/>
      <w:szCs w:val="20"/>
    </w:rPr>
  </w:style>
  <w:style w:type="paragraph" w:styleId="Heading1">
    <w:name w:val="heading 1"/>
    <w:basedOn w:val="Normal"/>
    <w:next w:val="Normal"/>
    <w:link w:val="Heading1Char"/>
    <w:qFormat/>
    <w:locked/>
    <w:rsid w:val="00964F8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68F1"/>
    <w:pPr>
      <w:tabs>
        <w:tab w:val="center" w:pos="4320"/>
        <w:tab w:val="right" w:pos="8640"/>
      </w:tabs>
    </w:pPr>
  </w:style>
  <w:style w:type="character" w:customStyle="1" w:styleId="HeaderChar">
    <w:name w:val="Header Char"/>
    <w:basedOn w:val="DefaultParagraphFont"/>
    <w:link w:val="Header"/>
    <w:uiPriority w:val="99"/>
    <w:semiHidden/>
    <w:rsid w:val="0041275B"/>
    <w:rPr>
      <w:sz w:val="20"/>
      <w:szCs w:val="20"/>
    </w:rPr>
  </w:style>
  <w:style w:type="paragraph" w:styleId="Footer">
    <w:name w:val="footer"/>
    <w:basedOn w:val="Normal"/>
    <w:link w:val="FooterChar"/>
    <w:uiPriority w:val="99"/>
    <w:rsid w:val="009D68F1"/>
    <w:pPr>
      <w:tabs>
        <w:tab w:val="center" w:pos="4320"/>
        <w:tab w:val="right" w:pos="8640"/>
      </w:tabs>
    </w:pPr>
  </w:style>
  <w:style w:type="character" w:customStyle="1" w:styleId="FooterChar">
    <w:name w:val="Footer Char"/>
    <w:basedOn w:val="DefaultParagraphFont"/>
    <w:link w:val="Footer"/>
    <w:uiPriority w:val="99"/>
    <w:locked/>
    <w:rsid w:val="00611EEF"/>
    <w:rPr>
      <w:rFonts w:cs="Times New Roman"/>
    </w:rPr>
  </w:style>
  <w:style w:type="character" w:styleId="Hyperlink">
    <w:name w:val="Hyperlink"/>
    <w:basedOn w:val="DefaultParagraphFont"/>
    <w:uiPriority w:val="99"/>
    <w:rsid w:val="007A104E"/>
    <w:rPr>
      <w:rFonts w:cs="Times New Roman"/>
      <w:color w:val="0000FF"/>
      <w:u w:val="single"/>
    </w:rPr>
  </w:style>
  <w:style w:type="paragraph" w:styleId="ListParagraph">
    <w:name w:val="List Paragraph"/>
    <w:basedOn w:val="Normal"/>
    <w:uiPriority w:val="34"/>
    <w:qFormat/>
    <w:rsid w:val="00543DDA"/>
    <w:pPr>
      <w:ind w:left="720"/>
      <w:contextualSpacing/>
    </w:pPr>
  </w:style>
  <w:style w:type="character" w:styleId="FollowedHyperlink">
    <w:name w:val="FollowedHyperlink"/>
    <w:basedOn w:val="DefaultParagraphFont"/>
    <w:uiPriority w:val="99"/>
    <w:rsid w:val="00194EEA"/>
    <w:rPr>
      <w:rFonts w:cs="Times New Roman"/>
      <w:color w:val="800080"/>
      <w:u w:val="single"/>
    </w:rPr>
  </w:style>
  <w:style w:type="paragraph" w:styleId="FootnoteText">
    <w:name w:val="footnote text"/>
    <w:aliases w:val="ALTS FOOTNOTE,Footnote Text Char Char Char,Footnote Text Char Char Char Char Char1,Footnote Text Char1 Char,Footnote Text Char1 Char Char Char1,Footnote Text Char2 Char,Footnote Text Char2 Char Char Char Char Char1,Footnote Text Char3"/>
    <w:basedOn w:val="Normal"/>
    <w:link w:val="FootnoteTextChar"/>
    <w:uiPriority w:val="99"/>
    <w:rsid w:val="00E84339"/>
  </w:style>
  <w:style w:type="character" w:customStyle="1" w:styleId="FootnoteTextChar">
    <w:name w:val="Footnote Text Char"/>
    <w:aliases w:val="ALTS FOOTNOTE Char,Footnote Text Char Char Char Char Char1 Char1,Footnote Text Char Char Char Char1,Footnote Text Char1 Char Char Char1 Char1,Footnote Text Char1 Char Char1,Footnote Text Char2 Char Char,Footnote Text Char3 Char"/>
    <w:basedOn w:val="DefaultParagraphFont"/>
    <w:link w:val="FootnoteText"/>
    <w:uiPriority w:val="99"/>
    <w:locked/>
    <w:rsid w:val="00E84339"/>
    <w:rPr>
      <w:rFonts w:cs="Times New Roman"/>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basedOn w:val="DefaultParagraphFont"/>
    <w:uiPriority w:val="99"/>
    <w:rsid w:val="00E84339"/>
    <w:rPr>
      <w:rFonts w:cs="Times New Roman"/>
      <w:vertAlign w:val="superscript"/>
    </w:rPr>
  </w:style>
  <w:style w:type="paragraph" w:styleId="BalloonText">
    <w:name w:val="Balloon Text"/>
    <w:basedOn w:val="Normal"/>
    <w:link w:val="BalloonTextChar"/>
    <w:uiPriority w:val="99"/>
    <w:rsid w:val="009229FC"/>
    <w:rPr>
      <w:rFonts w:ascii="Tahoma" w:hAnsi="Tahoma" w:cs="Tahoma"/>
      <w:sz w:val="16"/>
      <w:szCs w:val="16"/>
    </w:rPr>
  </w:style>
  <w:style w:type="character" w:customStyle="1" w:styleId="BalloonTextChar">
    <w:name w:val="Balloon Text Char"/>
    <w:basedOn w:val="DefaultParagraphFont"/>
    <w:link w:val="BalloonText"/>
    <w:uiPriority w:val="99"/>
    <w:locked/>
    <w:rsid w:val="009229FC"/>
    <w:rPr>
      <w:rFonts w:ascii="Tahoma" w:hAnsi="Tahoma" w:cs="Tahoma"/>
      <w:sz w:val="16"/>
      <w:szCs w:val="16"/>
    </w:rPr>
  </w:style>
  <w:style w:type="paragraph" w:customStyle="1" w:styleId="ParaNum">
    <w:name w:val="ParaNum"/>
    <w:basedOn w:val="Normal"/>
    <w:link w:val="ParaNumChar"/>
    <w:rsid w:val="005E5CDC"/>
    <w:pPr>
      <w:widowControl w:val="0"/>
      <w:numPr>
        <w:numId w:val="9"/>
      </w:numPr>
      <w:spacing w:after="120"/>
    </w:pPr>
    <w:rPr>
      <w:kern w:val="28"/>
      <w:sz w:val="22"/>
    </w:rPr>
  </w:style>
  <w:style w:type="character" w:customStyle="1" w:styleId="ParaNumChar">
    <w:name w:val="ParaNum Char"/>
    <w:link w:val="ParaNum"/>
    <w:locked/>
    <w:rsid w:val="005E5CDC"/>
    <w:rPr>
      <w:snapToGrid w:val="0"/>
      <w:kern w:val="28"/>
      <w:sz w:val="22"/>
    </w:rPr>
  </w:style>
  <w:style w:type="character" w:styleId="CommentReference">
    <w:name w:val="annotation reference"/>
    <w:basedOn w:val="DefaultParagraphFont"/>
    <w:uiPriority w:val="99"/>
    <w:semiHidden/>
    <w:unhideWhenUsed/>
    <w:rsid w:val="001D5078"/>
    <w:rPr>
      <w:sz w:val="16"/>
      <w:szCs w:val="16"/>
    </w:rPr>
  </w:style>
  <w:style w:type="paragraph" w:styleId="CommentText">
    <w:name w:val="annotation text"/>
    <w:basedOn w:val="Normal"/>
    <w:link w:val="CommentTextChar"/>
    <w:uiPriority w:val="99"/>
    <w:semiHidden/>
    <w:unhideWhenUsed/>
    <w:rsid w:val="001D5078"/>
  </w:style>
  <w:style w:type="character" w:customStyle="1" w:styleId="CommentTextChar">
    <w:name w:val="Comment Text Char"/>
    <w:basedOn w:val="DefaultParagraphFont"/>
    <w:link w:val="CommentText"/>
    <w:uiPriority w:val="99"/>
    <w:semiHidden/>
    <w:rsid w:val="001D5078"/>
    <w:rPr>
      <w:sz w:val="20"/>
      <w:szCs w:val="20"/>
    </w:rPr>
  </w:style>
  <w:style w:type="paragraph" w:styleId="CommentSubject">
    <w:name w:val="annotation subject"/>
    <w:basedOn w:val="CommentText"/>
    <w:next w:val="CommentText"/>
    <w:link w:val="CommentSubjectChar"/>
    <w:uiPriority w:val="99"/>
    <w:semiHidden/>
    <w:unhideWhenUsed/>
    <w:rsid w:val="001D5078"/>
    <w:rPr>
      <w:b/>
      <w:bCs/>
    </w:rPr>
  </w:style>
  <w:style w:type="character" w:customStyle="1" w:styleId="CommentSubjectChar">
    <w:name w:val="Comment Subject Char"/>
    <w:basedOn w:val="CommentTextChar"/>
    <w:link w:val="CommentSubject"/>
    <w:uiPriority w:val="99"/>
    <w:semiHidden/>
    <w:rsid w:val="001D5078"/>
    <w:rPr>
      <w:b/>
      <w:bCs/>
      <w:sz w:val="20"/>
      <w:szCs w:val="20"/>
    </w:rPr>
  </w:style>
  <w:style w:type="character" w:customStyle="1" w:styleId="Heading3Char1Char">
    <w:name w:val="Heading 3 Char1 Char"/>
    <w:aliases w:val="Heading 3 Char Char Char Char"/>
    <w:basedOn w:val="DefaultParagraphFont"/>
    <w:rsid w:val="00566CEB"/>
    <w:rPr>
      <w:b/>
      <w:sz w:val="24"/>
      <w:szCs w:val="24"/>
      <w:lang w:val="en-US" w:eastAsia="en-US" w:bidi="ar-SA"/>
    </w:rPr>
  </w:style>
  <w:style w:type="character" w:customStyle="1" w:styleId="FootnoteTextChar1">
    <w:name w:val="Footnote Text Char1"/>
    <w:aliases w:val="Footnote Text Char Char,Footnote Text Char Char Char Char,Footnote Text Char Char Char Char Char1 Char,Footnote Text Char1 Char Char,Footnote Text Char1 Char Char Char1 Char,Footnote Text Char2 Char Char Char Char Char1 Char"/>
    <w:rsid w:val="00997D13"/>
  </w:style>
  <w:style w:type="character" w:customStyle="1" w:styleId="Heading1Char">
    <w:name w:val="Heading 1 Char"/>
    <w:basedOn w:val="DefaultParagraphFont"/>
    <w:link w:val="Heading1"/>
    <w:rsid w:val="00964F8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64F8D"/>
    <w:pPr>
      <w:tabs>
        <w:tab w:val="left" w:pos="720"/>
      </w:tabs>
      <w:spacing w:line="259" w:lineRule="auto"/>
      <w:outlineLvl w:val="9"/>
    </w:pPr>
  </w:style>
  <w:style w:type="paragraph" w:styleId="TOC1">
    <w:name w:val="toc 1"/>
    <w:basedOn w:val="Normal"/>
    <w:next w:val="Normal"/>
    <w:autoRedefine/>
    <w:uiPriority w:val="39"/>
    <w:unhideWhenUsed/>
    <w:rsid w:val="00964F8D"/>
    <w:pPr>
      <w:spacing w:after="100" w:line="259" w:lineRule="auto"/>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2018-04-16T11:22:43Z</dcterms:created>
  <dcterms:modified xsi:type="dcterms:W3CDTF">2018-04-16T11:22:43Z</dcterms:modified>
</cp:coreProperties>
</file>