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583458" w:rsidRPr="00DF7F38" w:rsidP="00E34125" w14:paraId="1B38ED72" w14:textId="77777777">
      <w:pPr>
        <w:rPr>
          <w:sz w:val="22"/>
        </w:rPr>
      </w:pPr>
      <w:bookmarkStart w:id="0" w:name="_GoBack"/>
      <w:bookmarkEnd w:id="0"/>
    </w:p>
    <w:p w:rsidR="00583458" w:rsidP="00E34125" w14:paraId="71FA0122" w14:textId="19DD592C">
      <w:pPr>
        <w:jc w:val="right"/>
      </w:pPr>
      <w:r w:rsidRPr="00DF7F38">
        <w:rPr>
          <w:b/>
          <w:sz w:val="24"/>
        </w:rPr>
        <w:t>DA</w:t>
      </w:r>
      <w:r w:rsidR="004D7CC1">
        <w:rPr>
          <w:sz w:val="24"/>
        </w:rPr>
        <w:t xml:space="preserve"> </w:t>
      </w:r>
      <w:r w:rsidRPr="0059603D" w:rsidR="0059603D">
        <w:rPr>
          <w:b/>
          <w:sz w:val="24"/>
        </w:rPr>
        <w:t>18-</w:t>
      </w:r>
      <w:r w:rsidR="00B8305B">
        <w:rPr>
          <w:b/>
          <w:sz w:val="24"/>
        </w:rPr>
        <w:t>376</w:t>
      </w:r>
    </w:p>
    <w:p w:rsidR="00FF48A1" w:rsidP="00E34125" w14:paraId="79CD4003" w14:textId="77777777">
      <w:pPr>
        <w:jc w:val="center"/>
        <w:rPr>
          <w:b/>
          <w:sz w:val="36"/>
          <w:szCs w:val="36"/>
        </w:rPr>
      </w:pPr>
    </w:p>
    <w:p w:rsidR="00583458" w:rsidRPr="00DF7F38" w:rsidP="00E34125" w14:paraId="6C9AB95E" w14:textId="77777777">
      <w:pPr>
        <w:jc w:val="center"/>
        <w:rPr>
          <w:b/>
          <w:sz w:val="36"/>
          <w:szCs w:val="36"/>
        </w:rPr>
      </w:pPr>
      <w:r w:rsidRPr="00DF7F38">
        <w:rPr>
          <w:b/>
          <w:sz w:val="36"/>
          <w:szCs w:val="36"/>
        </w:rPr>
        <w:t>Small Entity Compliance Guide</w:t>
      </w:r>
    </w:p>
    <w:p w:rsidR="00583458" w:rsidRPr="00DF7F38" w:rsidP="00E34125" w14:paraId="06C6497B" w14:textId="77777777">
      <w:pPr>
        <w:rPr>
          <w:sz w:val="22"/>
          <w:szCs w:val="24"/>
        </w:rPr>
      </w:pPr>
    </w:p>
    <w:p w:rsidR="00583458" w:rsidP="00E2324F" w14:paraId="42729103" w14:textId="79F48CC8">
      <w:pPr>
        <w:jc w:val="center"/>
        <w:rPr>
          <w:b/>
          <w:sz w:val="28"/>
          <w:szCs w:val="28"/>
        </w:rPr>
      </w:pPr>
      <w:bookmarkStart w:id="1" w:name="_Hlk508200238"/>
      <w:r w:rsidRPr="00E2324F">
        <w:rPr>
          <w:b/>
          <w:sz w:val="28"/>
          <w:szCs w:val="28"/>
        </w:rPr>
        <w:t>Cable Television Technical and Operational Standards</w:t>
      </w:r>
      <w:bookmarkEnd w:id="1"/>
    </w:p>
    <w:p w:rsidR="00E2324F" w:rsidP="00E2324F" w14:paraId="35C9DB01" w14:textId="1BE38311">
      <w:pPr>
        <w:jc w:val="center"/>
        <w:rPr>
          <w:b/>
          <w:sz w:val="28"/>
          <w:szCs w:val="28"/>
        </w:rPr>
      </w:pPr>
    </w:p>
    <w:p w:rsidR="00E2324F" w:rsidRPr="00DF7F38" w:rsidP="00E2324F" w14:paraId="0227E484" w14:textId="77777777">
      <w:pPr>
        <w:jc w:val="center"/>
        <w:rPr>
          <w:sz w:val="22"/>
          <w:szCs w:val="24"/>
        </w:rPr>
      </w:pPr>
    </w:p>
    <w:p w:rsidR="00583458" w:rsidRPr="00DF7F38" w:rsidP="00E34125" w14:paraId="59B26118" w14:textId="3F64B961">
      <w:pPr>
        <w:jc w:val="center"/>
        <w:rPr>
          <w:bCs/>
          <w:sz w:val="24"/>
          <w:szCs w:val="24"/>
        </w:rPr>
      </w:pPr>
      <w:r w:rsidRPr="00DF7F38">
        <w:rPr>
          <w:bCs/>
          <w:sz w:val="24"/>
          <w:szCs w:val="24"/>
        </w:rPr>
        <w:t>FCC 1</w:t>
      </w:r>
      <w:r w:rsidR="00F730AB">
        <w:rPr>
          <w:bCs/>
          <w:sz w:val="24"/>
          <w:szCs w:val="24"/>
        </w:rPr>
        <w:t>7</w:t>
      </w:r>
      <w:r w:rsidRPr="00DF7F38">
        <w:rPr>
          <w:bCs/>
          <w:sz w:val="24"/>
          <w:szCs w:val="24"/>
        </w:rPr>
        <w:t>-</w:t>
      </w:r>
      <w:r w:rsidR="00E2324F">
        <w:rPr>
          <w:bCs/>
          <w:sz w:val="24"/>
          <w:szCs w:val="24"/>
        </w:rPr>
        <w:t>120</w:t>
      </w:r>
    </w:p>
    <w:p w:rsidR="00583458" w:rsidP="00E34125" w14:paraId="2B43C92F" w14:textId="4314988F">
      <w:pPr>
        <w:jc w:val="center"/>
        <w:rPr>
          <w:spacing w:val="-2"/>
          <w:sz w:val="24"/>
          <w:szCs w:val="24"/>
        </w:rPr>
      </w:pPr>
      <w:r w:rsidRPr="00DF7F38">
        <w:rPr>
          <w:spacing w:val="-2"/>
          <w:sz w:val="24"/>
          <w:szCs w:val="24"/>
        </w:rPr>
        <w:t>MB Docket No. 12-</w:t>
      </w:r>
      <w:r w:rsidR="00E2324F">
        <w:rPr>
          <w:spacing w:val="-2"/>
          <w:sz w:val="24"/>
          <w:szCs w:val="24"/>
        </w:rPr>
        <w:t>217</w:t>
      </w:r>
    </w:p>
    <w:p w:rsidR="007B6800" w:rsidRPr="00DF7F38" w:rsidP="00E34125" w14:paraId="1921EFF9" w14:textId="5CFD91B9">
      <w:pPr>
        <w:jc w:val="center"/>
        <w:rPr>
          <w:sz w:val="24"/>
          <w:szCs w:val="24"/>
        </w:rPr>
      </w:pPr>
      <w:r>
        <w:rPr>
          <w:spacing w:val="-2"/>
          <w:sz w:val="24"/>
          <w:szCs w:val="24"/>
        </w:rPr>
        <w:t xml:space="preserve">Released </w:t>
      </w:r>
      <w:r w:rsidR="00E2324F">
        <w:rPr>
          <w:spacing w:val="-2"/>
          <w:sz w:val="24"/>
          <w:szCs w:val="24"/>
        </w:rPr>
        <w:t>September 25, 2017</w:t>
      </w:r>
    </w:p>
    <w:p w:rsidR="00583458" w:rsidRPr="00DF7F38" w:rsidP="00E34125" w14:paraId="6289E664" w14:textId="77777777">
      <w:pPr>
        <w:rPr>
          <w:sz w:val="22"/>
          <w:szCs w:val="22"/>
        </w:rPr>
      </w:pPr>
    </w:p>
    <w:p w:rsidR="00583458" w:rsidRPr="004D7CC1" w:rsidP="004D7CC1" w14:paraId="5F586DC2" w14:textId="62435D56">
      <w:pPr>
        <w:ind w:left="720"/>
        <w:jc w:val="both"/>
        <w:rPr>
          <w:b/>
          <w:sz w:val="22"/>
          <w:szCs w:val="22"/>
        </w:rPr>
      </w:pPr>
      <w:r w:rsidRPr="009B4591">
        <w:rPr>
          <w:b/>
          <w:sz w:val="22"/>
          <w:szCs w:val="22"/>
        </w:rPr>
        <w:t xml:space="preserve">This Guide is prepared in accordance with the requirements of Section 212 of the Small Business Regulatory Enforcement Fairness Act of 1996.  It is intended to help small entities—small businesses, small organizations (non-profits), and small governmental jurisdictions—to comply with the </w:t>
      </w:r>
      <w:r w:rsidR="00F01236">
        <w:rPr>
          <w:b/>
          <w:sz w:val="22"/>
          <w:szCs w:val="22"/>
        </w:rPr>
        <w:t xml:space="preserve">revised </w:t>
      </w:r>
      <w:r w:rsidRPr="009B4591">
        <w:rPr>
          <w:b/>
          <w:sz w:val="22"/>
          <w:szCs w:val="22"/>
        </w:rPr>
        <w:t xml:space="preserve">rules adopted in the above-referenced </w:t>
      </w:r>
      <w:r w:rsidRPr="006D255C" w:rsidR="00F01236">
        <w:rPr>
          <w:b/>
          <w:sz w:val="22"/>
          <w:szCs w:val="22"/>
        </w:rPr>
        <w:t>Federal Communications Commission (</w:t>
      </w:r>
      <w:r w:rsidRPr="004D7CC1">
        <w:rPr>
          <w:b/>
          <w:sz w:val="22"/>
          <w:szCs w:val="22"/>
        </w:rPr>
        <w:t>FCC</w:t>
      </w:r>
      <w:r w:rsidRPr="004D7CC1" w:rsidR="00F01236">
        <w:rPr>
          <w:b/>
          <w:sz w:val="22"/>
          <w:szCs w:val="22"/>
        </w:rPr>
        <w:t xml:space="preserve"> or Commission)</w:t>
      </w:r>
      <w:r w:rsidRPr="004D7CC1">
        <w:rPr>
          <w:b/>
          <w:sz w:val="22"/>
          <w:szCs w:val="22"/>
        </w:rPr>
        <w:t xml:space="preserve"> rulemaking dockets.  This Guide is not intended to replace </w:t>
      </w:r>
      <w:r w:rsidRPr="006D255C" w:rsidR="00F01236">
        <w:rPr>
          <w:b/>
          <w:sz w:val="22"/>
          <w:szCs w:val="22"/>
        </w:rPr>
        <w:t>or supersede</w:t>
      </w:r>
      <w:r w:rsidRPr="004D7CC1" w:rsidR="00F01236">
        <w:rPr>
          <w:b/>
          <w:sz w:val="22"/>
          <w:szCs w:val="22"/>
        </w:rPr>
        <w:t xml:space="preserve"> </w:t>
      </w:r>
      <w:r w:rsidRPr="004D7CC1">
        <w:rPr>
          <w:b/>
          <w:sz w:val="22"/>
          <w:szCs w:val="22"/>
        </w:rPr>
        <w:t>the</w:t>
      </w:r>
      <w:r w:rsidRPr="004D7CC1" w:rsidR="00F01236">
        <w:rPr>
          <w:b/>
          <w:sz w:val="22"/>
          <w:szCs w:val="22"/>
        </w:rPr>
        <w:t>se</w:t>
      </w:r>
      <w:r w:rsidRPr="004D7CC1">
        <w:rPr>
          <w:b/>
          <w:sz w:val="22"/>
          <w:szCs w:val="22"/>
        </w:rPr>
        <w:t xml:space="preserve"> rules </w:t>
      </w:r>
      <w:r w:rsidRPr="006D255C" w:rsidR="00F01236">
        <w:rPr>
          <w:b/>
          <w:sz w:val="22"/>
          <w:szCs w:val="22"/>
        </w:rPr>
        <w:t>but to facilitate compliance</w:t>
      </w:r>
      <w:r w:rsidRPr="006D255C" w:rsidR="00F01236">
        <w:rPr>
          <w:b/>
        </w:rPr>
        <w:t xml:space="preserve"> </w:t>
      </w:r>
      <w:r w:rsidRPr="004D7CC1">
        <w:rPr>
          <w:b/>
          <w:sz w:val="22"/>
          <w:szCs w:val="22"/>
        </w:rPr>
        <w:t xml:space="preserve">with the rules.  Although we have attempted to cover all parts of the rules that might be especially important to small entities, the coverage may not be exhaustive.    This Guide </w:t>
      </w:r>
      <w:r w:rsidRPr="006D255C" w:rsidR="00F01236">
        <w:rPr>
          <w:b/>
          <w:sz w:val="22"/>
          <w:szCs w:val="22"/>
        </w:rPr>
        <w:t>cannot anticipate all situations in which the rules apply</w:t>
      </w:r>
      <w:r w:rsidRPr="004D7CC1" w:rsidR="00F01236">
        <w:rPr>
          <w:b/>
          <w:sz w:val="22"/>
          <w:szCs w:val="22"/>
        </w:rPr>
        <w:t xml:space="preserve">.  </w:t>
      </w:r>
      <w:r w:rsidRPr="006D255C" w:rsidR="00F01236">
        <w:rPr>
          <w:b/>
          <w:sz w:val="22"/>
          <w:szCs w:val="22"/>
        </w:rPr>
        <w:t>Furthermore,</w:t>
      </w:r>
      <w:r w:rsidRPr="004D7CC1" w:rsidR="00F01236">
        <w:rPr>
          <w:b/>
        </w:rPr>
        <w:t xml:space="preserve"> </w:t>
      </w:r>
      <w:r w:rsidRPr="004D7CC1">
        <w:rPr>
          <w:b/>
          <w:sz w:val="22"/>
          <w:szCs w:val="22"/>
        </w:rPr>
        <w:t xml:space="preserve">the </w:t>
      </w:r>
      <w:r w:rsidRPr="004D7CC1" w:rsidR="00F01236">
        <w:rPr>
          <w:b/>
          <w:sz w:val="22"/>
          <w:szCs w:val="22"/>
        </w:rPr>
        <w:t xml:space="preserve">Commission </w:t>
      </w:r>
      <w:r w:rsidRPr="004D7CC1">
        <w:rPr>
          <w:b/>
          <w:sz w:val="22"/>
          <w:szCs w:val="22"/>
        </w:rPr>
        <w:t xml:space="preserve">retains the discretion to adopt case-by-case </w:t>
      </w:r>
      <w:r w:rsidRPr="004D7CC1" w:rsidR="00F01236">
        <w:rPr>
          <w:b/>
          <w:sz w:val="22"/>
          <w:szCs w:val="22"/>
        </w:rPr>
        <w:t xml:space="preserve">approaches, where appropriate, </w:t>
      </w:r>
      <w:r w:rsidRPr="004D7CC1">
        <w:rPr>
          <w:b/>
          <w:sz w:val="22"/>
          <w:szCs w:val="22"/>
        </w:rPr>
        <w:t xml:space="preserve">that may differ from this Guide.  Any decisions regarding a particular small entity will be based on the statute and </w:t>
      </w:r>
      <w:r w:rsidRPr="006D255C" w:rsidR="00F01236">
        <w:rPr>
          <w:b/>
          <w:sz w:val="22"/>
          <w:szCs w:val="22"/>
        </w:rPr>
        <w:t>any relevant rule</w:t>
      </w:r>
      <w:r w:rsidRPr="006D255C" w:rsidR="00F01236">
        <w:rPr>
          <w:b/>
        </w:rPr>
        <w:t>s</w:t>
      </w:r>
      <w:r w:rsidRPr="004D7CC1">
        <w:rPr>
          <w:b/>
          <w:sz w:val="22"/>
          <w:szCs w:val="22"/>
        </w:rPr>
        <w:t>.</w:t>
      </w:r>
    </w:p>
    <w:p w:rsidR="00583458" w:rsidRPr="004D7CC1" w:rsidP="004D7CC1" w14:paraId="5E7786BD" w14:textId="77777777">
      <w:pPr>
        <w:ind w:left="720"/>
        <w:jc w:val="both"/>
        <w:rPr>
          <w:b/>
          <w:sz w:val="22"/>
          <w:szCs w:val="22"/>
        </w:rPr>
      </w:pPr>
    </w:p>
    <w:p w:rsidR="00583458" w:rsidRPr="00367A43" w:rsidP="004D7CC1" w14:paraId="2A78E3A4" w14:textId="797A2F1C">
      <w:pPr>
        <w:ind w:left="720"/>
        <w:jc w:val="both"/>
        <w:rPr>
          <w:b/>
          <w:sz w:val="22"/>
          <w:szCs w:val="22"/>
        </w:rPr>
      </w:pPr>
      <w:r w:rsidRPr="009B4591">
        <w:rPr>
          <w:b/>
          <w:sz w:val="22"/>
          <w:szCs w:val="22"/>
        </w:rPr>
        <w:t>In any civil or administrative action against a small entity for a violation of rules, the content of the Small Entity Compliance Guide maybe considered as evidence of the reasonableness or appropriateness of proposed fines, penalties and damages.  Interested parties are free to file comments regarding this Guide and the appropriateness of its application to a particular situation</w:t>
      </w:r>
      <w:r w:rsidR="004D7CC1">
        <w:rPr>
          <w:b/>
          <w:sz w:val="22"/>
          <w:szCs w:val="22"/>
        </w:rPr>
        <w:t>.</w:t>
      </w:r>
      <w:r w:rsidRPr="009B4591">
        <w:rPr>
          <w:b/>
          <w:sz w:val="22"/>
          <w:szCs w:val="22"/>
        </w:rPr>
        <w:t xml:space="preserve"> </w:t>
      </w:r>
      <w:r w:rsidR="004D7CC1">
        <w:rPr>
          <w:b/>
          <w:sz w:val="22"/>
          <w:szCs w:val="22"/>
        </w:rPr>
        <w:t>T</w:t>
      </w:r>
      <w:r w:rsidRPr="009B4591">
        <w:rPr>
          <w:b/>
          <w:sz w:val="22"/>
          <w:szCs w:val="22"/>
        </w:rPr>
        <w:t>he FCC will</w:t>
      </w:r>
      <w:r w:rsidR="004D7CC1">
        <w:rPr>
          <w:b/>
          <w:sz w:val="22"/>
          <w:szCs w:val="22"/>
        </w:rPr>
        <w:t xml:space="preserve"> then</w:t>
      </w:r>
      <w:r w:rsidRPr="009B4591">
        <w:rPr>
          <w:b/>
          <w:sz w:val="22"/>
          <w:szCs w:val="22"/>
        </w:rPr>
        <w:t xml:space="preserve"> consider whether the recommendations or interpretations in the Guide are appropriate in that situation. The FCC may decide to revise this Guide without public notice to reflect changes in the FCC’s approach to implementing a rule, or </w:t>
      </w:r>
      <w:r w:rsidR="004D7CC1">
        <w:rPr>
          <w:b/>
          <w:sz w:val="22"/>
          <w:szCs w:val="22"/>
        </w:rPr>
        <w:t xml:space="preserve">it may </w:t>
      </w:r>
      <w:r w:rsidRPr="009B4591">
        <w:rPr>
          <w:b/>
          <w:sz w:val="22"/>
          <w:szCs w:val="22"/>
        </w:rPr>
        <w:t>clarify or update the text of the Guide.  Direct your comments and recommendations, or calls for further assistance, to the FCC’s Consumer Center:</w:t>
      </w:r>
    </w:p>
    <w:p w:rsidR="00583458" w:rsidP="004D7CC1" w14:paraId="7AC1E264" w14:textId="77777777">
      <w:pPr>
        <w:rPr>
          <w:sz w:val="22"/>
          <w:szCs w:val="22"/>
        </w:rPr>
      </w:pPr>
    </w:p>
    <w:p w:rsidR="00583458" w:rsidP="004D7CC1" w14:paraId="7B171208" w14:textId="2DB30702">
      <w:pPr>
        <w:spacing w:after="60"/>
        <w:jc w:val="center"/>
        <w:rPr>
          <w:color w:val="000000"/>
          <w:sz w:val="22"/>
          <w:szCs w:val="22"/>
        </w:rPr>
      </w:pPr>
      <w:r w:rsidRPr="00367A43">
        <w:rPr>
          <w:b/>
          <w:color w:val="000000"/>
          <w:sz w:val="22"/>
          <w:szCs w:val="22"/>
        </w:rPr>
        <w:t>1</w:t>
      </w:r>
      <w:r>
        <w:rPr>
          <w:b/>
          <w:color w:val="000000"/>
          <w:sz w:val="22"/>
          <w:szCs w:val="22"/>
        </w:rPr>
        <w:t>-888-CALL-FCC (1-888-225-5322)</w:t>
      </w:r>
    </w:p>
    <w:p w:rsidR="00F81419" w:rsidP="006D255C" w14:paraId="2DD52BF2" w14:textId="77777777">
      <w:pPr>
        <w:tabs>
          <w:tab w:val="left" w:pos="5925"/>
        </w:tabs>
        <w:spacing w:after="60"/>
        <w:jc w:val="center"/>
        <w:rPr>
          <w:b/>
          <w:color w:val="000000"/>
          <w:sz w:val="22"/>
          <w:szCs w:val="22"/>
        </w:rPr>
      </w:pPr>
      <w:r w:rsidRPr="00367A43">
        <w:rPr>
          <w:b/>
          <w:color w:val="000000"/>
          <w:sz w:val="22"/>
          <w:szCs w:val="22"/>
        </w:rPr>
        <w:t>TTY: 1-</w:t>
      </w:r>
      <w:r>
        <w:rPr>
          <w:b/>
          <w:color w:val="000000"/>
          <w:sz w:val="22"/>
          <w:szCs w:val="22"/>
        </w:rPr>
        <w:t>888-TELL-FCC (1-888-835-5322)</w:t>
      </w:r>
    </w:p>
    <w:p w:rsidR="00F81419" w:rsidRPr="006D255C" w:rsidP="004D7CC1" w14:paraId="5C4597CF" w14:textId="427A020C">
      <w:pPr>
        <w:tabs>
          <w:tab w:val="left" w:pos="5925"/>
        </w:tabs>
        <w:spacing w:after="60"/>
        <w:jc w:val="center"/>
        <w:rPr>
          <w:b/>
          <w:sz w:val="22"/>
          <w:szCs w:val="22"/>
        </w:rPr>
      </w:pPr>
      <w:r w:rsidRPr="006D255C">
        <w:rPr>
          <w:b/>
          <w:sz w:val="22"/>
          <w:szCs w:val="22"/>
        </w:rPr>
        <w:t>Videophone: 1-844-4-FCC-ASL (1-844-432-2275)</w:t>
      </w:r>
    </w:p>
    <w:p w:rsidR="004D7CC1" w:rsidP="00E34125" w14:paraId="2591B42A" w14:textId="0E15C3E2">
      <w:pPr>
        <w:spacing w:after="60"/>
        <w:jc w:val="center"/>
        <w:rPr>
          <w:b/>
          <w:color w:val="000000"/>
          <w:sz w:val="22"/>
          <w:szCs w:val="22"/>
        </w:rPr>
      </w:pPr>
      <w:r w:rsidRPr="00367A43">
        <w:rPr>
          <w:b/>
          <w:color w:val="000000"/>
          <w:sz w:val="22"/>
          <w:szCs w:val="22"/>
        </w:rPr>
        <w:t xml:space="preserve">Fax: </w:t>
      </w:r>
      <w:r w:rsidR="00E059A0">
        <w:rPr>
          <w:b/>
          <w:color w:val="000000"/>
          <w:sz w:val="22"/>
          <w:szCs w:val="22"/>
        </w:rPr>
        <w:t>1-866</w:t>
      </w:r>
      <w:r w:rsidRPr="00367A43">
        <w:rPr>
          <w:b/>
          <w:color w:val="000000"/>
          <w:sz w:val="22"/>
          <w:szCs w:val="22"/>
        </w:rPr>
        <w:t>-418-0232</w:t>
      </w:r>
    </w:p>
    <w:p w:rsidR="004D7CC1" w14:paraId="74086953" w14:textId="77777777">
      <w:pPr>
        <w:rPr>
          <w:b/>
          <w:color w:val="000000"/>
          <w:sz w:val="22"/>
          <w:szCs w:val="22"/>
        </w:rPr>
      </w:pPr>
      <w:r>
        <w:rPr>
          <w:b/>
          <w:color w:val="000000"/>
          <w:sz w:val="22"/>
          <w:szCs w:val="22"/>
        </w:rPr>
        <w:br w:type="page"/>
      </w:r>
    </w:p>
    <w:p w:rsidR="00583458" w:rsidP="00E34125" w14:paraId="3366E96D" w14:textId="77777777">
      <w:pPr>
        <w:spacing w:after="60"/>
        <w:jc w:val="center"/>
        <w:rPr>
          <w:b/>
          <w:color w:val="000000"/>
          <w:sz w:val="22"/>
          <w:szCs w:val="22"/>
        </w:rPr>
      </w:pPr>
    </w:p>
    <w:p w:rsidR="006D255C" w:rsidP="004D7CC1" w14:paraId="69A0DE15" w14:textId="77777777">
      <w:pPr>
        <w:tabs>
          <w:tab w:val="center" w:pos="4680"/>
          <w:tab w:val="left" w:pos="6540"/>
        </w:tabs>
      </w:pPr>
      <w:r>
        <w:tab/>
      </w:r>
    </w:p>
    <w:sdt>
      <w:sdtPr>
        <w:rPr>
          <w:rFonts w:asciiTheme="minorHAnsi" w:eastAsiaTheme="minorEastAsia" w:hAnsiTheme="minorHAnsi"/>
          <w:sz w:val="22"/>
          <w:szCs w:val="22"/>
        </w:rPr>
        <w:id w:val="1661814058"/>
        <w:docPartObj>
          <w:docPartGallery w:val="Table of Contents"/>
          <w:docPartUnique/>
        </w:docPartObj>
      </w:sdtPr>
      <w:sdtContent>
        <w:p w:rsidR="004D7CC1" w:rsidRPr="00074CA4" w:rsidP="004D7CC1" w14:paraId="595FDD5B" w14:textId="552438B8">
          <w:pPr>
            <w:tabs>
              <w:tab w:val="center" w:pos="4680"/>
              <w:tab w:val="left" w:pos="6540"/>
            </w:tabs>
            <w:rPr>
              <w:b/>
              <w:caps/>
              <w:sz w:val="22"/>
              <w:szCs w:val="22"/>
              <w:u w:val="single"/>
            </w:rPr>
          </w:pPr>
          <w:r w:rsidRPr="00074CA4">
            <w:rPr>
              <w:b/>
              <w:caps/>
              <w:sz w:val="22"/>
              <w:szCs w:val="22"/>
              <w:u w:val="single"/>
            </w:rPr>
            <w:t>Table of Contents</w:t>
          </w:r>
        </w:p>
        <w:p w:rsidR="004D7CC1" w:rsidRPr="00074CA4" w:rsidP="004D7CC1" w14:paraId="4DBBDEB3" w14:textId="77777777"/>
        <w:p w:rsidR="004D7CC1" w:rsidRPr="00074CA4" w:rsidP="004D7CC1" w14:paraId="3B5B4F6C" w14:textId="77777777"/>
        <w:p w:rsidR="004D7CC1" w:rsidRPr="00074CA4" w:rsidP="004D7CC1" w14:paraId="3902A645" w14:textId="77777777">
          <w:pPr>
            <w:pStyle w:val="TOC1"/>
            <w:rPr>
              <w:rFonts w:ascii="Times New Roman" w:hAnsi="Times New Roman"/>
            </w:rPr>
          </w:pPr>
          <w:r w:rsidRPr="00074CA4">
            <w:rPr>
              <w:rFonts w:ascii="Times New Roman" w:hAnsi="Times New Roman"/>
              <w:b/>
            </w:rPr>
            <w:t>I.</w:t>
          </w:r>
          <w:r w:rsidRPr="00074CA4">
            <w:rPr>
              <w:rFonts w:ascii="Times New Roman" w:hAnsi="Times New Roman"/>
              <w:b/>
            </w:rPr>
            <w:tab/>
            <w:t>OBJECTIVES OF THE PROCEEDING</w:t>
          </w:r>
          <w:r w:rsidRPr="00074CA4">
            <w:rPr>
              <w:rFonts w:ascii="Times New Roman" w:hAnsi="Times New Roman"/>
            </w:rPr>
            <w:t xml:space="preserve"> </w:t>
          </w:r>
          <w:r>
            <w:ptab w:relativeTo="margin" w:alignment="right" w:leader="dot"/>
          </w:r>
          <w:r w:rsidRPr="00074CA4">
            <w:rPr>
              <w:rFonts w:ascii="Times New Roman" w:hAnsi="Times New Roman"/>
              <w:b/>
              <w:bCs/>
            </w:rPr>
            <w:t>1</w:t>
          </w:r>
        </w:p>
        <w:p w:rsidR="004D7CC1" w:rsidRPr="00074CA4" w:rsidP="004D7CC1" w14:paraId="35B17C35" w14:textId="77777777">
          <w:pPr>
            <w:pStyle w:val="TOC1"/>
            <w:rPr>
              <w:rFonts w:ascii="Times New Roman" w:hAnsi="Times New Roman"/>
              <w:b/>
              <w:bCs/>
            </w:rPr>
          </w:pPr>
          <w:r w:rsidRPr="00074CA4">
            <w:rPr>
              <w:rFonts w:ascii="Times New Roman" w:hAnsi="Times New Roman"/>
              <w:b/>
            </w:rPr>
            <w:t>II.</w:t>
          </w:r>
          <w:r w:rsidRPr="00074CA4">
            <w:rPr>
              <w:rFonts w:ascii="Times New Roman" w:hAnsi="Times New Roman"/>
              <w:b/>
            </w:rPr>
            <w:tab/>
            <w:t>COMPLIANCE REQUIREMENTS</w:t>
          </w:r>
          <w:r w:rsidRPr="00074CA4">
            <w:rPr>
              <w:rFonts w:ascii="Times New Roman" w:hAnsi="Times New Roman"/>
            </w:rPr>
            <w:t xml:space="preserve"> </w:t>
          </w:r>
          <w:r>
            <w:ptab w:relativeTo="margin" w:alignment="right" w:leader="dot"/>
          </w:r>
          <w:r>
            <w:rPr>
              <w:rFonts w:ascii="Times New Roman" w:hAnsi="Times New Roman"/>
              <w:b/>
              <w:bCs/>
            </w:rPr>
            <w:t>1</w:t>
          </w:r>
        </w:p>
        <w:p w:rsidR="004D7CC1" w:rsidRPr="00074CA4" w:rsidP="004D7CC1" w14:paraId="74F6E09B" w14:textId="2A254C33">
          <w:pPr>
            <w:pStyle w:val="TOC1"/>
            <w:rPr>
              <w:rFonts w:ascii="Times New Roman" w:hAnsi="Times New Roman"/>
              <w:b/>
              <w:bCs/>
            </w:rPr>
          </w:pPr>
          <w:r w:rsidRPr="00074CA4">
            <w:rPr>
              <w:rFonts w:ascii="Times New Roman" w:hAnsi="Times New Roman"/>
              <w:b/>
            </w:rPr>
            <w:t>III.</w:t>
          </w:r>
          <w:r w:rsidRPr="00074CA4">
            <w:rPr>
              <w:rFonts w:ascii="Times New Roman" w:hAnsi="Times New Roman"/>
              <w:b/>
            </w:rPr>
            <w:tab/>
            <w:t>RECORDKEEPING AND REPORTING REQUIREMENTS</w:t>
          </w:r>
          <w:r w:rsidRPr="00074CA4">
            <w:rPr>
              <w:rFonts w:ascii="Times New Roman" w:hAnsi="Times New Roman"/>
            </w:rPr>
            <w:t xml:space="preserve"> </w:t>
          </w:r>
          <w:r>
            <w:ptab w:relativeTo="margin" w:alignment="right" w:leader="dot"/>
          </w:r>
          <w:r w:rsidR="007C014E">
            <w:rPr>
              <w:rFonts w:ascii="Times New Roman" w:hAnsi="Times New Roman"/>
              <w:b/>
            </w:rPr>
            <w:t>1</w:t>
          </w:r>
        </w:p>
        <w:p w:rsidR="004D7CC1" w:rsidRPr="00074CA4" w:rsidP="004D7CC1" w14:paraId="3E1394F7" w14:textId="6746C16D">
          <w:pPr>
            <w:pStyle w:val="TOC1"/>
            <w:rPr>
              <w:rFonts w:ascii="Times New Roman" w:hAnsi="Times New Roman"/>
              <w:b/>
              <w:bCs/>
            </w:rPr>
          </w:pPr>
          <w:r w:rsidRPr="00074CA4">
            <w:rPr>
              <w:rFonts w:ascii="Times New Roman" w:hAnsi="Times New Roman"/>
              <w:b/>
            </w:rPr>
            <w:t>IV.       IMPLEMENTATION DATE</w:t>
          </w:r>
          <w:r w:rsidRPr="00074CA4">
            <w:rPr>
              <w:rFonts w:ascii="Times New Roman" w:hAnsi="Times New Roman"/>
            </w:rPr>
            <w:t xml:space="preserve"> </w:t>
          </w:r>
          <w:r>
            <w:ptab w:relativeTo="margin" w:alignment="right" w:leader="dot"/>
          </w:r>
          <w:r w:rsidR="007C014E">
            <w:rPr>
              <w:rFonts w:ascii="Times New Roman" w:hAnsi="Times New Roman"/>
              <w:b/>
            </w:rPr>
            <w:t>2</w:t>
          </w:r>
        </w:p>
        <w:p w:rsidR="004D7CC1" w:rsidP="004D7CC1" w14:paraId="1046AEE9" w14:textId="6E7AA37F">
          <w:pPr>
            <w:pStyle w:val="TOC1"/>
            <w:rPr>
              <w:rFonts w:eastAsiaTheme="minorHAnsi" w:cstheme="minorBidi"/>
            </w:rPr>
          </w:pPr>
          <w:r w:rsidRPr="00074CA4">
            <w:rPr>
              <w:rFonts w:ascii="Times New Roman" w:hAnsi="Times New Roman"/>
              <w:b/>
            </w:rPr>
            <w:t>V.         INTERNET LINKS</w:t>
          </w:r>
          <w:r w:rsidRPr="00074CA4">
            <w:rPr>
              <w:rFonts w:ascii="Times New Roman" w:hAnsi="Times New Roman"/>
            </w:rPr>
            <w:t xml:space="preserve"> </w:t>
          </w:r>
          <w:r>
            <w:ptab w:relativeTo="margin" w:alignment="right" w:leader="dot"/>
          </w:r>
          <w:r w:rsidR="007C014E">
            <w:rPr>
              <w:rFonts w:ascii="Times New Roman" w:hAnsi="Times New Roman"/>
              <w:b/>
            </w:rPr>
            <w:t>3</w:t>
          </w:r>
        </w:p>
      </w:sdtContent>
    </w:sdt>
    <w:p w:rsidR="00964F8D" w:rsidRPr="00074CA4" w:rsidP="00964F8D" w14:paraId="04BF82FF" w14:textId="58C68A22">
      <w:pPr>
        <w:pStyle w:val="TOC1"/>
        <w:rPr>
          <w:rFonts w:ascii="Times New Roman" w:hAnsi="Times New Roman"/>
        </w:rPr>
      </w:pPr>
      <w:r>
        <w:rPr>
          <w:rStyle w:val="Hyperlink"/>
          <w:b/>
        </w:rPr>
        <w:t xml:space="preserve"> </w:t>
      </w:r>
    </w:p>
    <w:p w:rsidR="00964F8D" w14:paraId="5067A55A" w14:textId="6FD4E085">
      <w:pPr>
        <w:rPr>
          <w:rStyle w:val="Hyperlink"/>
          <w:b/>
          <w:sz w:val="22"/>
          <w:szCs w:val="22"/>
        </w:rPr>
      </w:pPr>
    </w:p>
    <w:p w:rsidR="00C84D7C" w14:paraId="519B58AB" w14:textId="77777777">
      <w:pPr>
        <w:rPr>
          <w:rStyle w:val="Hyperlink"/>
          <w:b/>
          <w:sz w:val="22"/>
          <w:szCs w:val="22"/>
        </w:rPr>
        <w:sectPr w:rsidSect="00C84D7C">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720" w:gutter="0"/>
          <w:pgNumType w:start="0"/>
          <w:cols w:space="720"/>
          <w:titlePg/>
          <w:docGrid w:linePitch="272"/>
        </w:sectPr>
      </w:pPr>
    </w:p>
    <w:p w:rsidR="00964F8D" w14:paraId="42113486" w14:textId="1D8D524F">
      <w:pPr>
        <w:rPr>
          <w:rStyle w:val="Hyperlink"/>
          <w:b/>
          <w:sz w:val="22"/>
          <w:szCs w:val="22"/>
        </w:rPr>
      </w:pPr>
      <w:r>
        <w:rPr>
          <w:rStyle w:val="Hyperlink"/>
          <w:b/>
          <w:sz w:val="22"/>
          <w:szCs w:val="22"/>
        </w:rPr>
        <w:br w:type="page"/>
      </w:r>
    </w:p>
    <w:p w:rsidR="00964F8D" w14:paraId="35D2E6B3" w14:textId="77777777">
      <w:pPr>
        <w:rPr>
          <w:rStyle w:val="Hyperlink"/>
          <w:b/>
          <w:sz w:val="22"/>
          <w:szCs w:val="22"/>
        </w:rPr>
      </w:pPr>
    </w:p>
    <w:p w:rsidR="00583458" w:rsidRPr="00F417D9" w:rsidP="00E34125" w14:paraId="4A977A3D" w14:textId="405680A8">
      <w:pPr>
        <w:rPr>
          <w:color w:val="000000"/>
          <w:sz w:val="22"/>
          <w:szCs w:val="22"/>
        </w:rPr>
      </w:pPr>
      <w:r w:rsidRPr="006E23BB">
        <w:rPr>
          <w:b/>
          <w:sz w:val="22"/>
          <w:szCs w:val="22"/>
        </w:rPr>
        <w:t>I.</w:t>
      </w:r>
      <w:r w:rsidRPr="006E23BB">
        <w:rPr>
          <w:b/>
          <w:sz w:val="22"/>
          <w:szCs w:val="22"/>
        </w:rPr>
        <w:tab/>
      </w:r>
      <w:r w:rsidRPr="00F417D9">
        <w:rPr>
          <w:b/>
          <w:color w:val="000000"/>
          <w:sz w:val="22"/>
          <w:szCs w:val="22"/>
        </w:rPr>
        <w:t>OBJECTIVES OF THE PROCEEDING</w:t>
      </w:r>
    </w:p>
    <w:p w:rsidR="00583458" w:rsidRPr="00CA4446" w:rsidP="00E34125" w14:paraId="30394151" w14:textId="77777777">
      <w:pPr>
        <w:rPr>
          <w:sz w:val="22"/>
          <w:szCs w:val="22"/>
        </w:rPr>
      </w:pPr>
    </w:p>
    <w:p w:rsidR="00997D13" w:rsidP="00E2324F" w14:paraId="1F8B7B06" w14:textId="4FFCE546">
      <w:pPr>
        <w:ind w:firstLine="720"/>
        <w:rPr>
          <w:color w:val="000000"/>
          <w:sz w:val="22"/>
          <w:szCs w:val="22"/>
        </w:rPr>
      </w:pPr>
      <w:r>
        <w:rPr>
          <w:sz w:val="22"/>
          <w:szCs w:val="22"/>
        </w:rPr>
        <w:t xml:space="preserve">The Commission’s </w:t>
      </w:r>
      <w:r w:rsidRPr="00E2324F">
        <w:rPr>
          <w:sz w:val="22"/>
          <w:szCs w:val="22"/>
        </w:rPr>
        <w:t>signal quality rules apply to cable operators and are intended to</w:t>
      </w:r>
      <w:r>
        <w:rPr>
          <w:sz w:val="22"/>
          <w:szCs w:val="22"/>
        </w:rPr>
        <w:t xml:space="preserve"> </w:t>
      </w:r>
      <w:r w:rsidRPr="00E2324F" w:rsidR="00C20CEA">
        <w:rPr>
          <w:sz w:val="22"/>
          <w:szCs w:val="22"/>
        </w:rPr>
        <w:t>ensure that subscribers</w:t>
      </w:r>
      <w:r w:rsidR="00C20CEA">
        <w:rPr>
          <w:sz w:val="22"/>
          <w:szCs w:val="22"/>
        </w:rPr>
        <w:t xml:space="preserve"> </w:t>
      </w:r>
      <w:r w:rsidRPr="00E2324F" w:rsidR="00C20CEA">
        <w:rPr>
          <w:sz w:val="22"/>
          <w:szCs w:val="22"/>
        </w:rPr>
        <w:t>receive high-quality picture and sound</w:t>
      </w:r>
      <w:r w:rsidR="00DA1C96">
        <w:rPr>
          <w:sz w:val="22"/>
          <w:szCs w:val="22"/>
        </w:rPr>
        <w:t>.  The Commission’s signal leakage rules apply to multichannel video programming distributor</w:t>
      </w:r>
      <w:r w:rsidRPr="00E2324F" w:rsidR="00DA1C96">
        <w:rPr>
          <w:sz w:val="22"/>
          <w:szCs w:val="22"/>
        </w:rPr>
        <w:t>s</w:t>
      </w:r>
      <w:r w:rsidR="00DA1C96">
        <w:rPr>
          <w:sz w:val="22"/>
          <w:szCs w:val="22"/>
        </w:rPr>
        <w:t xml:space="preserve"> (</w:t>
      </w:r>
      <w:r w:rsidRPr="00DA1C96" w:rsidR="00DA1C96">
        <w:rPr>
          <w:sz w:val="22"/>
          <w:szCs w:val="22"/>
        </w:rPr>
        <w:t>MVPDs)</w:t>
      </w:r>
      <w:r w:rsidR="00DD237B">
        <w:rPr>
          <w:sz w:val="22"/>
          <w:szCs w:val="22"/>
        </w:rPr>
        <w:t xml:space="preserve"> (cable and non-cable)</w:t>
      </w:r>
      <w:r w:rsidRPr="00DA1C96" w:rsidR="00DA1C96">
        <w:rPr>
          <w:sz w:val="22"/>
          <w:szCs w:val="22"/>
        </w:rPr>
        <w:t xml:space="preserve"> </w:t>
      </w:r>
      <w:r w:rsidR="00DA1C96">
        <w:rPr>
          <w:sz w:val="22"/>
          <w:szCs w:val="22"/>
        </w:rPr>
        <w:t xml:space="preserve">that </w:t>
      </w:r>
      <w:r w:rsidRPr="00DA1C96" w:rsidR="00DA1C96">
        <w:rPr>
          <w:sz w:val="22"/>
          <w:szCs w:val="22"/>
        </w:rPr>
        <w:t>utiliz</w:t>
      </w:r>
      <w:r w:rsidR="00DA1C96">
        <w:rPr>
          <w:sz w:val="22"/>
          <w:szCs w:val="22"/>
        </w:rPr>
        <w:t>e</w:t>
      </w:r>
      <w:r w:rsidRPr="00DA1C96" w:rsidR="00DA1C96">
        <w:rPr>
          <w:sz w:val="22"/>
          <w:szCs w:val="22"/>
        </w:rPr>
        <w:t xml:space="preserve"> coaxial cable systems</w:t>
      </w:r>
      <w:r w:rsidR="00C20CEA">
        <w:rPr>
          <w:sz w:val="22"/>
          <w:szCs w:val="22"/>
        </w:rPr>
        <w:t xml:space="preserve"> and </w:t>
      </w:r>
      <w:r w:rsidR="005366BB">
        <w:rPr>
          <w:sz w:val="22"/>
          <w:szCs w:val="22"/>
        </w:rPr>
        <w:t xml:space="preserve">are intended to ensure </w:t>
      </w:r>
      <w:r w:rsidRPr="00E2324F">
        <w:rPr>
          <w:sz w:val="22"/>
          <w:szCs w:val="22"/>
        </w:rPr>
        <w:t xml:space="preserve">that </w:t>
      </w:r>
      <w:r w:rsidR="005366BB">
        <w:rPr>
          <w:sz w:val="22"/>
          <w:szCs w:val="22"/>
        </w:rPr>
        <w:t>such</w:t>
      </w:r>
      <w:r w:rsidRPr="00E2324F">
        <w:rPr>
          <w:sz w:val="22"/>
          <w:szCs w:val="22"/>
        </w:rPr>
        <w:t xml:space="preserve"> systems do not leak</w:t>
      </w:r>
      <w:r>
        <w:rPr>
          <w:sz w:val="22"/>
          <w:szCs w:val="22"/>
        </w:rPr>
        <w:t xml:space="preserve"> </w:t>
      </w:r>
      <w:r w:rsidRPr="00E2324F">
        <w:rPr>
          <w:sz w:val="22"/>
          <w:szCs w:val="22"/>
        </w:rPr>
        <w:t>signals that could interfere with other</w:t>
      </w:r>
      <w:r>
        <w:rPr>
          <w:sz w:val="22"/>
          <w:szCs w:val="22"/>
        </w:rPr>
        <w:t xml:space="preserve"> </w:t>
      </w:r>
      <w:r w:rsidRPr="00E2324F">
        <w:rPr>
          <w:sz w:val="22"/>
          <w:szCs w:val="22"/>
        </w:rPr>
        <w:t>services</w:t>
      </w:r>
      <w:r w:rsidR="00C20CEA">
        <w:rPr>
          <w:sz w:val="22"/>
          <w:szCs w:val="22"/>
        </w:rPr>
        <w:t>.</w:t>
      </w:r>
    </w:p>
    <w:p w:rsidR="006E7116" w:rsidP="00E34125" w14:paraId="6698158D" w14:textId="77777777">
      <w:pPr>
        <w:rPr>
          <w:color w:val="000000"/>
          <w:sz w:val="22"/>
          <w:szCs w:val="22"/>
        </w:rPr>
      </w:pPr>
    </w:p>
    <w:p w:rsidR="006E7116" w:rsidRPr="00C42C71" w:rsidP="006E7116" w14:paraId="737FB95B" w14:textId="77777777">
      <w:pPr>
        <w:rPr>
          <w:b/>
          <w:sz w:val="22"/>
          <w:szCs w:val="22"/>
        </w:rPr>
      </w:pPr>
      <w:r w:rsidRPr="00A95F33">
        <w:rPr>
          <w:b/>
          <w:sz w:val="22"/>
          <w:szCs w:val="22"/>
        </w:rPr>
        <w:t>II.</w:t>
      </w:r>
      <w:r w:rsidRPr="00074CA4">
        <w:rPr>
          <w:b/>
        </w:rPr>
        <w:tab/>
      </w:r>
      <w:r>
        <w:rPr>
          <w:b/>
          <w:sz w:val="22"/>
          <w:szCs w:val="22"/>
        </w:rPr>
        <w:t>COMPLIANCE REQUIREMENTS</w:t>
      </w:r>
    </w:p>
    <w:p w:rsidR="00C44144" w:rsidP="00E34125" w14:paraId="44FB4A4E" w14:textId="54903791">
      <w:pPr>
        <w:rPr>
          <w:color w:val="000000"/>
          <w:sz w:val="22"/>
          <w:szCs w:val="22"/>
        </w:rPr>
      </w:pPr>
      <w:r>
        <w:rPr>
          <w:color w:val="000000"/>
          <w:sz w:val="22"/>
          <w:szCs w:val="22"/>
        </w:rPr>
        <w:tab/>
      </w:r>
    </w:p>
    <w:p w:rsidR="00A8094E" w:rsidRPr="006E23BB" w:rsidP="00A950A8" w14:paraId="3BB0A518" w14:textId="3A26BEDC">
      <w:pPr>
        <w:pStyle w:val="ListParagraph"/>
        <w:numPr>
          <w:ilvl w:val="0"/>
          <w:numId w:val="17"/>
        </w:numPr>
        <w:rPr>
          <w:b/>
          <w:color w:val="000000"/>
          <w:sz w:val="22"/>
          <w:szCs w:val="22"/>
        </w:rPr>
      </w:pPr>
      <w:r>
        <w:rPr>
          <w:b/>
          <w:color w:val="000000"/>
          <w:sz w:val="22"/>
          <w:szCs w:val="22"/>
        </w:rPr>
        <w:t xml:space="preserve">Digital Performance Standards </w:t>
      </w:r>
      <w:r w:rsidR="00550C4E">
        <w:rPr>
          <w:rFonts w:eastAsia="Calibri"/>
          <w:b/>
          <w:sz w:val="22"/>
          <w:szCs w:val="22"/>
        </w:rPr>
        <w:t>(</w:t>
      </w:r>
      <w:r w:rsidRPr="000C7056" w:rsidR="00550C4E">
        <w:rPr>
          <w:b/>
          <w:sz w:val="22"/>
          <w:szCs w:val="22"/>
        </w:rPr>
        <w:t>47 CFR §</w:t>
      </w:r>
      <w:r w:rsidRPr="000C7056" w:rsidR="00562787">
        <w:rPr>
          <w:b/>
          <w:sz w:val="22"/>
          <w:szCs w:val="22"/>
        </w:rPr>
        <w:t>§</w:t>
      </w:r>
      <w:r w:rsidRPr="000C7056" w:rsidR="00550C4E">
        <w:rPr>
          <w:b/>
          <w:sz w:val="22"/>
          <w:szCs w:val="22"/>
        </w:rPr>
        <w:t xml:space="preserve"> </w:t>
      </w:r>
      <w:r w:rsidRPr="00A950A8" w:rsidR="00A950A8">
        <w:rPr>
          <w:b/>
          <w:sz w:val="22"/>
          <w:szCs w:val="22"/>
        </w:rPr>
        <w:t>76.601</w:t>
      </w:r>
      <w:r w:rsidR="00A950A8">
        <w:rPr>
          <w:b/>
          <w:sz w:val="22"/>
          <w:szCs w:val="22"/>
        </w:rPr>
        <w:t xml:space="preserve">, </w:t>
      </w:r>
      <w:r w:rsidRPr="000C7056" w:rsidR="00550C4E">
        <w:rPr>
          <w:b/>
          <w:sz w:val="22"/>
          <w:szCs w:val="22"/>
        </w:rPr>
        <w:t>7</w:t>
      </w:r>
      <w:r w:rsidR="00205F0C">
        <w:rPr>
          <w:b/>
          <w:sz w:val="22"/>
          <w:szCs w:val="22"/>
        </w:rPr>
        <w:t>6</w:t>
      </w:r>
      <w:r w:rsidRPr="000C7056" w:rsidR="00550C4E">
        <w:rPr>
          <w:b/>
          <w:sz w:val="22"/>
          <w:szCs w:val="22"/>
        </w:rPr>
        <w:t>.</w:t>
      </w:r>
      <w:r w:rsidR="00205F0C">
        <w:rPr>
          <w:b/>
          <w:sz w:val="22"/>
          <w:szCs w:val="22"/>
        </w:rPr>
        <w:t>602</w:t>
      </w:r>
      <w:r w:rsidR="00562787">
        <w:rPr>
          <w:b/>
          <w:sz w:val="22"/>
          <w:szCs w:val="22"/>
        </w:rPr>
        <w:t xml:space="preserve"> &amp; </w:t>
      </w:r>
      <w:r w:rsidRPr="00205F0C" w:rsidR="00205F0C">
        <w:rPr>
          <w:b/>
          <w:sz w:val="22"/>
          <w:szCs w:val="22"/>
        </w:rPr>
        <w:t>76.605</w:t>
      </w:r>
      <w:r w:rsidRPr="000C7056" w:rsidR="00550C4E">
        <w:rPr>
          <w:b/>
          <w:sz w:val="22"/>
          <w:szCs w:val="22"/>
        </w:rPr>
        <w:t>)</w:t>
      </w:r>
    </w:p>
    <w:p w:rsidR="00A8094E" w:rsidP="00E34125" w14:paraId="2926E79D" w14:textId="77777777">
      <w:pPr>
        <w:rPr>
          <w:color w:val="000000"/>
          <w:sz w:val="22"/>
          <w:szCs w:val="22"/>
        </w:rPr>
      </w:pPr>
    </w:p>
    <w:p w:rsidR="004D6541" w:rsidRPr="002771DA" w:rsidP="002771DA" w14:paraId="098FC2B9" w14:textId="2725D8EC">
      <w:pPr>
        <w:pStyle w:val="ListParagraph"/>
        <w:numPr>
          <w:ilvl w:val="0"/>
          <w:numId w:val="15"/>
        </w:numPr>
        <w:rPr>
          <w:color w:val="000000"/>
          <w:sz w:val="22"/>
          <w:szCs w:val="22"/>
        </w:rPr>
      </w:pPr>
      <w:r w:rsidRPr="002771DA">
        <w:rPr>
          <w:color w:val="000000"/>
          <w:sz w:val="22"/>
          <w:szCs w:val="22"/>
        </w:rPr>
        <w:t>Cable operators that deliver digital signals to their subscribers</w:t>
      </w:r>
      <w:r w:rsidRPr="002771DA" w:rsidR="00C20CEA">
        <w:rPr>
          <w:color w:val="000000"/>
          <w:sz w:val="22"/>
          <w:szCs w:val="22"/>
        </w:rPr>
        <w:t xml:space="preserve"> using Quadrature Amplitude Modulation (QAM)</w:t>
      </w:r>
      <w:r w:rsidRPr="002771DA">
        <w:rPr>
          <w:color w:val="000000"/>
          <w:sz w:val="22"/>
          <w:szCs w:val="22"/>
        </w:rPr>
        <w:t xml:space="preserve"> must adhere to </w:t>
      </w:r>
      <w:r w:rsidRPr="002771DA" w:rsidR="002771DA">
        <w:rPr>
          <w:color w:val="000000"/>
          <w:sz w:val="22"/>
          <w:szCs w:val="22"/>
        </w:rPr>
        <w:t>Digital Cable Network Interface Standard, S</w:t>
      </w:r>
      <w:r w:rsidR="002771DA">
        <w:rPr>
          <w:color w:val="000000"/>
          <w:sz w:val="22"/>
          <w:szCs w:val="22"/>
        </w:rPr>
        <w:t xml:space="preserve">ociety of </w:t>
      </w:r>
      <w:r w:rsidRPr="002771DA" w:rsidR="002771DA">
        <w:rPr>
          <w:color w:val="000000"/>
          <w:sz w:val="22"/>
          <w:szCs w:val="22"/>
        </w:rPr>
        <w:t>C</w:t>
      </w:r>
      <w:r w:rsidR="002771DA">
        <w:rPr>
          <w:color w:val="000000"/>
          <w:sz w:val="22"/>
          <w:szCs w:val="22"/>
        </w:rPr>
        <w:t xml:space="preserve">able </w:t>
      </w:r>
      <w:r w:rsidRPr="002771DA" w:rsidR="002771DA">
        <w:rPr>
          <w:color w:val="000000"/>
          <w:sz w:val="22"/>
          <w:szCs w:val="22"/>
        </w:rPr>
        <w:t>T</w:t>
      </w:r>
      <w:r w:rsidR="002771DA">
        <w:rPr>
          <w:color w:val="000000"/>
          <w:sz w:val="22"/>
          <w:szCs w:val="22"/>
        </w:rPr>
        <w:t xml:space="preserve">elecommunications </w:t>
      </w:r>
      <w:r w:rsidRPr="002771DA" w:rsidR="002771DA">
        <w:rPr>
          <w:color w:val="000000"/>
          <w:sz w:val="22"/>
          <w:szCs w:val="22"/>
        </w:rPr>
        <w:t>E</w:t>
      </w:r>
      <w:r w:rsidR="002771DA">
        <w:rPr>
          <w:color w:val="000000"/>
          <w:sz w:val="22"/>
          <w:szCs w:val="22"/>
        </w:rPr>
        <w:t>ngineers</w:t>
      </w:r>
      <w:r w:rsidRPr="002771DA" w:rsidR="002771DA">
        <w:rPr>
          <w:color w:val="000000"/>
          <w:sz w:val="22"/>
          <w:szCs w:val="22"/>
        </w:rPr>
        <w:t xml:space="preserve"> 40 </w:t>
      </w:r>
      <w:r w:rsidRPr="002771DA" w:rsidR="008D6552">
        <w:rPr>
          <w:color w:val="000000"/>
          <w:sz w:val="22"/>
          <w:szCs w:val="22"/>
        </w:rPr>
        <w:t>2016,</w:t>
      </w:r>
      <w:r w:rsidR="008D6552">
        <w:rPr>
          <w:color w:val="000000"/>
          <w:sz w:val="22"/>
          <w:szCs w:val="22"/>
        </w:rPr>
        <w:t xml:space="preserve"> http://www.scte.org/SCTEDocs/Standards/SCTE%2040%202016.pdf</w:t>
      </w:r>
      <w:r w:rsidR="002771DA">
        <w:rPr>
          <w:color w:val="000000"/>
          <w:sz w:val="22"/>
          <w:szCs w:val="22"/>
        </w:rPr>
        <w:t>.</w:t>
      </w:r>
    </w:p>
    <w:p w:rsidR="007C18F4" w:rsidP="007C18F4" w14:paraId="0A6694D3" w14:textId="77777777">
      <w:pPr>
        <w:pStyle w:val="ListParagraph"/>
        <w:ind w:left="1080"/>
        <w:rPr>
          <w:color w:val="000000"/>
          <w:sz w:val="22"/>
          <w:szCs w:val="22"/>
        </w:rPr>
      </w:pPr>
    </w:p>
    <w:p w:rsidR="007C18F4" w:rsidRPr="006E23BB" w:rsidP="007C18F4" w14:paraId="3CED5D25" w14:textId="57E15640">
      <w:pPr>
        <w:pStyle w:val="ListParagraph"/>
        <w:numPr>
          <w:ilvl w:val="0"/>
          <w:numId w:val="15"/>
        </w:numPr>
        <w:rPr>
          <w:color w:val="000000"/>
          <w:sz w:val="22"/>
          <w:szCs w:val="22"/>
        </w:rPr>
      </w:pPr>
      <w:r>
        <w:rPr>
          <w:color w:val="000000"/>
          <w:sz w:val="22"/>
          <w:szCs w:val="22"/>
        </w:rPr>
        <w:t>The new rules do not require signal qual</w:t>
      </w:r>
      <w:r w:rsidR="00C20CEA">
        <w:rPr>
          <w:color w:val="000000"/>
          <w:sz w:val="22"/>
          <w:szCs w:val="22"/>
        </w:rPr>
        <w:t>ity testing for digital signals.  Cable operators must continue to test signal quality for any analog signals they carry.</w:t>
      </w:r>
    </w:p>
    <w:p w:rsidR="00583458" w:rsidP="00E34125" w14:paraId="3808DE25" w14:textId="05ACD21B">
      <w:pPr>
        <w:rPr>
          <w:sz w:val="22"/>
          <w:szCs w:val="22"/>
        </w:rPr>
      </w:pPr>
    </w:p>
    <w:p w:rsidR="00A3197D" w:rsidRPr="006E23BB" w:rsidP="00C20CEA" w14:paraId="0064E91C" w14:textId="032832D5">
      <w:pPr>
        <w:pStyle w:val="ListParagraph"/>
        <w:numPr>
          <w:ilvl w:val="0"/>
          <w:numId w:val="17"/>
        </w:numPr>
        <w:rPr>
          <w:sz w:val="22"/>
          <w:szCs w:val="22"/>
        </w:rPr>
      </w:pPr>
      <w:r w:rsidRPr="00C20CEA">
        <w:rPr>
          <w:b/>
          <w:sz w:val="22"/>
          <w:szCs w:val="22"/>
        </w:rPr>
        <w:t xml:space="preserve">Digital Signal Leakage </w:t>
      </w:r>
      <w:r w:rsidRPr="006E23BB" w:rsidR="00435A1B">
        <w:rPr>
          <w:b/>
          <w:i/>
          <w:sz w:val="22"/>
          <w:szCs w:val="22"/>
        </w:rPr>
        <w:t>(</w:t>
      </w:r>
      <w:r w:rsidRPr="00C20CEA">
        <w:rPr>
          <w:b/>
          <w:sz w:val="22"/>
          <w:szCs w:val="22"/>
        </w:rPr>
        <w:t xml:space="preserve">47 CFR §§ 76.610, </w:t>
      </w:r>
      <w:r>
        <w:rPr>
          <w:b/>
          <w:sz w:val="22"/>
          <w:szCs w:val="22"/>
        </w:rPr>
        <w:t>76.</w:t>
      </w:r>
      <w:r w:rsidRPr="00C20CEA">
        <w:rPr>
          <w:b/>
          <w:sz w:val="22"/>
          <w:szCs w:val="22"/>
        </w:rPr>
        <w:t xml:space="preserve">611, </w:t>
      </w:r>
      <w:r>
        <w:rPr>
          <w:b/>
          <w:sz w:val="22"/>
          <w:szCs w:val="22"/>
        </w:rPr>
        <w:t>76.</w:t>
      </w:r>
      <w:r w:rsidRPr="00C20CEA">
        <w:rPr>
          <w:b/>
          <w:sz w:val="22"/>
          <w:szCs w:val="22"/>
        </w:rPr>
        <w:t>1804</w:t>
      </w:r>
      <w:r w:rsidRPr="00C20CEA" w:rsidR="00435A1B">
        <w:rPr>
          <w:b/>
          <w:sz w:val="22"/>
          <w:szCs w:val="22"/>
        </w:rPr>
        <w:t>)</w:t>
      </w:r>
    </w:p>
    <w:p w:rsidR="00A3197D" w:rsidP="006E23BB" w14:paraId="1836579A" w14:textId="77777777">
      <w:pPr>
        <w:pStyle w:val="ListParagraph"/>
        <w:rPr>
          <w:b/>
          <w:sz w:val="22"/>
          <w:szCs w:val="22"/>
        </w:rPr>
      </w:pPr>
    </w:p>
    <w:p w:rsidR="00C20CEA" w:rsidP="00BC4520" w14:paraId="58B4402B" w14:textId="7F73BE46">
      <w:pPr>
        <w:pStyle w:val="ListParagraph"/>
        <w:numPr>
          <w:ilvl w:val="0"/>
          <w:numId w:val="15"/>
        </w:numPr>
        <w:rPr>
          <w:sz w:val="22"/>
          <w:szCs w:val="22"/>
        </w:rPr>
      </w:pPr>
      <w:r w:rsidRPr="00C20CEA">
        <w:rPr>
          <w:sz w:val="22"/>
          <w:szCs w:val="22"/>
        </w:rPr>
        <w:t xml:space="preserve">The Commission’s </w:t>
      </w:r>
      <w:r>
        <w:rPr>
          <w:sz w:val="22"/>
          <w:szCs w:val="22"/>
        </w:rPr>
        <w:t xml:space="preserve">digital </w:t>
      </w:r>
      <w:r w:rsidR="0017255C">
        <w:rPr>
          <w:sz w:val="22"/>
          <w:szCs w:val="22"/>
        </w:rPr>
        <w:t>signal leakage</w:t>
      </w:r>
      <w:r>
        <w:rPr>
          <w:sz w:val="22"/>
          <w:szCs w:val="22"/>
        </w:rPr>
        <w:t xml:space="preserve"> </w:t>
      </w:r>
      <w:r w:rsidRPr="00C20CEA">
        <w:rPr>
          <w:sz w:val="22"/>
          <w:szCs w:val="22"/>
        </w:rPr>
        <w:t>rules</w:t>
      </w:r>
      <w:r>
        <w:rPr>
          <w:sz w:val="22"/>
          <w:szCs w:val="22"/>
        </w:rPr>
        <w:t xml:space="preserve"> impose </w:t>
      </w:r>
      <w:r w:rsidR="00090E4A">
        <w:rPr>
          <w:sz w:val="22"/>
          <w:szCs w:val="22"/>
        </w:rPr>
        <w:t>three</w:t>
      </w:r>
      <w:r>
        <w:rPr>
          <w:sz w:val="22"/>
          <w:szCs w:val="22"/>
        </w:rPr>
        <w:t xml:space="preserve"> major requirements:</w:t>
      </w:r>
    </w:p>
    <w:p w:rsidR="00C20CEA" w:rsidP="00C20CEA" w14:paraId="5DDF399B" w14:textId="4B974A0A">
      <w:pPr>
        <w:pStyle w:val="ListParagraph"/>
        <w:numPr>
          <w:ilvl w:val="1"/>
          <w:numId w:val="18"/>
        </w:numPr>
        <w:rPr>
          <w:sz w:val="22"/>
          <w:szCs w:val="22"/>
        </w:rPr>
      </w:pPr>
      <w:r w:rsidRPr="00C20CEA">
        <w:rPr>
          <w:sz w:val="22"/>
          <w:szCs w:val="22"/>
        </w:rPr>
        <w:t xml:space="preserve">First, MVPDs that operate coaxial cable plants must notify the Commission and provide geographic information about their systems before they use frequencies </w:t>
      </w:r>
      <w:r w:rsidR="00090E4A">
        <w:rPr>
          <w:sz w:val="22"/>
          <w:szCs w:val="22"/>
        </w:rPr>
        <w:t xml:space="preserve">for digital signals </w:t>
      </w:r>
      <w:r w:rsidRPr="00C20CEA">
        <w:rPr>
          <w:sz w:val="22"/>
          <w:szCs w:val="22"/>
        </w:rPr>
        <w:t>in the aeronautical radio frequency bands above an average power level equal to or greater than 10</w:t>
      </w:r>
      <w:r w:rsidRPr="00C20CEA">
        <w:rPr>
          <w:sz w:val="22"/>
          <w:szCs w:val="22"/>
          <w:vertAlign w:val="superscript"/>
        </w:rPr>
        <w:t>-</w:t>
      </w:r>
      <w:r w:rsidR="00090E4A">
        <w:rPr>
          <w:sz w:val="22"/>
          <w:szCs w:val="22"/>
          <w:vertAlign w:val="superscript"/>
        </w:rPr>
        <w:t>5</w:t>
      </w:r>
      <w:r w:rsidRPr="00C20CEA">
        <w:rPr>
          <w:sz w:val="22"/>
          <w:szCs w:val="22"/>
        </w:rPr>
        <w:t xml:space="preserve"> watts across a </w:t>
      </w:r>
      <w:r w:rsidR="00090E4A">
        <w:rPr>
          <w:sz w:val="22"/>
          <w:szCs w:val="22"/>
        </w:rPr>
        <w:t>30</w:t>
      </w:r>
      <w:r w:rsidRPr="00C20CEA">
        <w:rPr>
          <w:sz w:val="22"/>
          <w:szCs w:val="22"/>
        </w:rPr>
        <w:t xml:space="preserve"> kHz bandwidth in any </w:t>
      </w:r>
      <w:r w:rsidR="00090E4A">
        <w:rPr>
          <w:sz w:val="22"/>
          <w:szCs w:val="22"/>
        </w:rPr>
        <w:t>2.5 milli</w:t>
      </w:r>
      <w:r w:rsidRPr="00C20CEA">
        <w:rPr>
          <w:sz w:val="22"/>
          <w:szCs w:val="22"/>
        </w:rPr>
        <w:t>second time period.</w:t>
      </w:r>
    </w:p>
    <w:p w:rsidR="00C20CEA" w:rsidRPr="006518D1" w:rsidP="006518D1" w14:paraId="52F772AA" w14:textId="3CB4FDF1">
      <w:pPr>
        <w:pStyle w:val="ListParagraph"/>
        <w:numPr>
          <w:ilvl w:val="1"/>
          <w:numId w:val="18"/>
        </w:numPr>
        <w:rPr>
          <w:sz w:val="22"/>
          <w:szCs w:val="22"/>
        </w:rPr>
      </w:pPr>
      <w:r w:rsidRPr="006518D1">
        <w:rPr>
          <w:sz w:val="22"/>
          <w:szCs w:val="22"/>
        </w:rPr>
        <w:t>Second</w:t>
      </w:r>
      <w:r w:rsidRPr="006518D1">
        <w:rPr>
          <w:sz w:val="22"/>
          <w:szCs w:val="22"/>
        </w:rPr>
        <w:t xml:space="preserve">, MVPDs must ensure that their system design, installation and operation comply with </w:t>
      </w:r>
      <w:r w:rsidRPr="006518D1" w:rsidR="00D11D06">
        <w:rPr>
          <w:sz w:val="22"/>
          <w:szCs w:val="22"/>
        </w:rPr>
        <w:t>Sections 76.610 and 76.611 of the Commission’s rules</w:t>
      </w:r>
      <w:r w:rsidRPr="006518D1">
        <w:rPr>
          <w:sz w:val="22"/>
          <w:szCs w:val="22"/>
        </w:rPr>
        <w:t xml:space="preserve"> </w:t>
      </w:r>
      <w:r w:rsidRPr="006518D1" w:rsidR="006518D1">
        <w:rPr>
          <w:sz w:val="22"/>
          <w:szCs w:val="22"/>
        </w:rPr>
        <w:t>to prevent leakage in the 108-137 and</w:t>
      </w:r>
      <w:r w:rsidR="006518D1">
        <w:rPr>
          <w:sz w:val="22"/>
          <w:szCs w:val="22"/>
        </w:rPr>
        <w:t xml:space="preserve"> </w:t>
      </w:r>
      <w:r w:rsidRPr="006518D1" w:rsidR="006518D1">
        <w:rPr>
          <w:sz w:val="22"/>
          <w:szCs w:val="22"/>
        </w:rPr>
        <w:t xml:space="preserve">225-400 MHz </w:t>
      </w:r>
      <w:r w:rsidR="006518D1">
        <w:rPr>
          <w:sz w:val="22"/>
          <w:szCs w:val="22"/>
        </w:rPr>
        <w:t xml:space="preserve">bands </w:t>
      </w:r>
      <w:r w:rsidRPr="006518D1">
        <w:rPr>
          <w:sz w:val="22"/>
          <w:szCs w:val="22"/>
        </w:rPr>
        <w:t xml:space="preserve">and conduct compliance testing four times per year. </w:t>
      </w:r>
    </w:p>
    <w:p w:rsidR="005036DF" w:rsidRPr="00C20CEA" w:rsidP="00C20CEA" w14:paraId="473EFF24" w14:textId="1A4C3768">
      <w:pPr>
        <w:pStyle w:val="ListParagraph"/>
        <w:numPr>
          <w:ilvl w:val="1"/>
          <w:numId w:val="18"/>
        </w:numPr>
        <w:rPr>
          <w:sz w:val="22"/>
          <w:szCs w:val="22"/>
        </w:rPr>
      </w:pPr>
      <w:r>
        <w:rPr>
          <w:sz w:val="22"/>
          <w:szCs w:val="22"/>
        </w:rPr>
        <w:t>Third</w:t>
      </w:r>
      <w:r w:rsidRPr="00C20CEA" w:rsidR="00C20CEA">
        <w:rPr>
          <w:sz w:val="22"/>
          <w:szCs w:val="22"/>
        </w:rPr>
        <w:t>, MVPDs</w:t>
      </w:r>
      <w:r w:rsidR="00C20CEA">
        <w:rPr>
          <w:sz w:val="22"/>
          <w:szCs w:val="22"/>
        </w:rPr>
        <w:t xml:space="preserve"> </w:t>
      </w:r>
      <w:r w:rsidRPr="00C20CEA" w:rsidR="00C20CEA">
        <w:rPr>
          <w:sz w:val="22"/>
          <w:szCs w:val="22"/>
        </w:rPr>
        <w:t>must calculate their cumulative signal leakage and report their results to the Commission once per year</w:t>
      </w:r>
      <w:r w:rsidRPr="00C20CEA" w:rsidR="001B7A99">
        <w:rPr>
          <w:sz w:val="22"/>
          <w:szCs w:val="22"/>
        </w:rPr>
        <w:t>.</w:t>
      </w:r>
    </w:p>
    <w:p w:rsidR="005036DF" w:rsidRPr="006804FA" w:rsidP="005036DF" w14:paraId="56CEEFC7" w14:textId="2EC82AC5">
      <w:pPr>
        <w:rPr>
          <w:color w:val="000000"/>
          <w:sz w:val="22"/>
          <w:szCs w:val="22"/>
          <w:shd w:val="clear" w:color="auto" w:fill="FFFFFF"/>
        </w:rPr>
      </w:pPr>
    </w:p>
    <w:p w:rsidR="007F64C6" w:rsidP="00E34125" w14:paraId="4975F05F" w14:textId="77777777">
      <w:pPr>
        <w:rPr>
          <w:sz w:val="22"/>
          <w:szCs w:val="22"/>
        </w:rPr>
      </w:pPr>
    </w:p>
    <w:p w:rsidR="00476B58" w:rsidRPr="00E47031" w:rsidP="00476B58" w14:paraId="46CAEE77" w14:textId="77777777">
      <w:pPr>
        <w:rPr>
          <w:b/>
          <w:color w:val="000000"/>
          <w:sz w:val="22"/>
          <w:szCs w:val="22"/>
        </w:rPr>
      </w:pPr>
      <w:r w:rsidRPr="00E47031">
        <w:rPr>
          <w:b/>
          <w:sz w:val="22"/>
          <w:szCs w:val="22"/>
        </w:rPr>
        <w:t>III.</w:t>
      </w:r>
      <w:r w:rsidRPr="00E47031">
        <w:rPr>
          <w:b/>
          <w:sz w:val="22"/>
          <w:szCs w:val="22"/>
        </w:rPr>
        <w:tab/>
        <w:t>RECORDKEEPING AND REPORTING REQUIREMENTS</w:t>
      </w:r>
    </w:p>
    <w:p w:rsidR="00476B58" w:rsidP="00E34125" w14:paraId="2C9682ED" w14:textId="77777777">
      <w:pPr>
        <w:rPr>
          <w:sz w:val="22"/>
          <w:szCs w:val="22"/>
        </w:rPr>
      </w:pPr>
    </w:p>
    <w:p w:rsidR="00476B58" w:rsidP="00BC4520" w14:paraId="252991CB" w14:textId="33F498FB">
      <w:pPr>
        <w:rPr>
          <w:sz w:val="22"/>
          <w:szCs w:val="22"/>
        </w:rPr>
      </w:pPr>
      <w:r>
        <w:rPr>
          <w:sz w:val="22"/>
          <w:szCs w:val="22"/>
        </w:rPr>
        <w:tab/>
      </w:r>
      <w:r w:rsidRPr="006E23BB">
        <w:rPr>
          <w:sz w:val="22"/>
          <w:szCs w:val="22"/>
        </w:rPr>
        <w:t xml:space="preserve">The </w:t>
      </w:r>
      <w:r w:rsidRPr="006E23BB">
        <w:rPr>
          <w:i/>
          <w:sz w:val="22"/>
          <w:szCs w:val="22"/>
        </w:rPr>
        <w:t xml:space="preserve">Report and Order </w:t>
      </w:r>
      <w:r w:rsidRPr="006E23BB">
        <w:rPr>
          <w:sz w:val="22"/>
          <w:szCs w:val="22"/>
        </w:rPr>
        <w:t xml:space="preserve">contains </w:t>
      </w:r>
      <w:r w:rsidR="00BC4520">
        <w:rPr>
          <w:sz w:val="22"/>
          <w:szCs w:val="22"/>
        </w:rPr>
        <w:t xml:space="preserve">a </w:t>
      </w:r>
      <w:r w:rsidRPr="006E23BB">
        <w:rPr>
          <w:sz w:val="22"/>
          <w:szCs w:val="22"/>
        </w:rPr>
        <w:t>new recordkeeping requirement</w:t>
      </w:r>
      <w:r w:rsidR="00F835D0">
        <w:rPr>
          <w:sz w:val="22"/>
          <w:szCs w:val="22"/>
        </w:rPr>
        <w:t xml:space="preserve"> for</w:t>
      </w:r>
      <w:r w:rsidRPr="006E23BB">
        <w:rPr>
          <w:sz w:val="22"/>
          <w:szCs w:val="22"/>
        </w:rPr>
        <w:t xml:space="preserve"> </w:t>
      </w:r>
      <w:r w:rsidRPr="00DA1C96" w:rsidR="005366BB">
        <w:rPr>
          <w:sz w:val="22"/>
          <w:szCs w:val="22"/>
        </w:rPr>
        <w:t>MVPDs utiliz</w:t>
      </w:r>
      <w:r w:rsidR="005366BB">
        <w:rPr>
          <w:sz w:val="22"/>
          <w:szCs w:val="22"/>
        </w:rPr>
        <w:t>ing digital signals on c</w:t>
      </w:r>
      <w:r w:rsidRPr="00DA1C96" w:rsidR="005366BB">
        <w:rPr>
          <w:sz w:val="22"/>
          <w:szCs w:val="22"/>
        </w:rPr>
        <w:t>oaxial cable systems</w:t>
      </w:r>
      <w:r w:rsidRPr="006E23BB">
        <w:rPr>
          <w:sz w:val="22"/>
          <w:szCs w:val="22"/>
        </w:rPr>
        <w:t>.</w:t>
      </w:r>
      <w:r w:rsidR="00BC4520">
        <w:rPr>
          <w:sz w:val="22"/>
          <w:szCs w:val="22"/>
        </w:rPr>
        <w:t xml:space="preserve">  Before transmitting any digital signal </w:t>
      </w:r>
      <w:r w:rsidRPr="00BC4520" w:rsidR="00BC4520">
        <w:rPr>
          <w:sz w:val="22"/>
          <w:szCs w:val="22"/>
        </w:rPr>
        <w:t>with average power</w:t>
      </w:r>
      <w:r w:rsidR="00BC4520">
        <w:rPr>
          <w:sz w:val="22"/>
          <w:szCs w:val="22"/>
        </w:rPr>
        <w:t xml:space="preserve"> </w:t>
      </w:r>
      <w:r w:rsidRPr="00BC4520" w:rsidR="00BC4520">
        <w:rPr>
          <w:sz w:val="22"/>
          <w:szCs w:val="22"/>
        </w:rPr>
        <w:t>exceeding 10</w:t>
      </w:r>
      <w:r w:rsidRPr="00BC4520" w:rsidR="00BC4520">
        <w:rPr>
          <w:sz w:val="22"/>
          <w:szCs w:val="22"/>
          <w:vertAlign w:val="superscript"/>
        </w:rPr>
        <w:t>-5</w:t>
      </w:r>
      <w:r w:rsidRPr="00BC4520" w:rsidR="00BC4520">
        <w:rPr>
          <w:sz w:val="22"/>
          <w:szCs w:val="22"/>
        </w:rPr>
        <w:t xml:space="preserve"> watts across a 30 kHz bandwidth in a 2.5 millisecond time period, </w:t>
      </w:r>
      <w:r w:rsidR="00BC4520">
        <w:rPr>
          <w:sz w:val="22"/>
          <w:szCs w:val="22"/>
        </w:rPr>
        <w:t>an MVPD shall file FCC Form 321 to notify the Commission.  The notification must include:</w:t>
      </w:r>
    </w:p>
    <w:p w:rsidR="00BC4520" w:rsidP="00BC4520" w14:paraId="6EFBE872" w14:textId="77777777">
      <w:pPr>
        <w:rPr>
          <w:sz w:val="22"/>
          <w:szCs w:val="22"/>
        </w:rPr>
      </w:pPr>
    </w:p>
    <w:p w:rsidR="00BC4520" w:rsidRPr="00BC4520" w:rsidP="00BC4520" w14:paraId="5793C2B7" w14:textId="64C818BF">
      <w:pPr>
        <w:ind w:left="720"/>
        <w:rPr>
          <w:sz w:val="22"/>
          <w:szCs w:val="22"/>
        </w:rPr>
      </w:pPr>
      <w:r w:rsidRPr="00BC4520">
        <w:rPr>
          <w:sz w:val="22"/>
          <w:szCs w:val="22"/>
        </w:rPr>
        <w:t xml:space="preserve">(a) </w:t>
      </w:r>
      <w:r>
        <w:rPr>
          <w:sz w:val="22"/>
          <w:szCs w:val="22"/>
        </w:rPr>
        <w:t>The l</w:t>
      </w:r>
      <w:r w:rsidRPr="00BC4520">
        <w:rPr>
          <w:sz w:val="22"/>
          <w:szCs w:val="22"/>
        </w:rPr>
        <w:t>egal name and local address of the MVPD;</w:t>
      </w:r>
    </w:p>
    <w:p w:rsidR="00BC4520" w:rsidRPr="00BC4520" w:rsidP="00BC4520" w14:paraId="5AA1C93D" w14:textId="77777777">
      <w:pPr>
        <w:rPr>
          <w:sz w:val="22"/>
          <w:szCs w:val="22"/>
        </w:rPr>
      </w:pPr>
    </w:p>
    <w:p w:rsidR="00BC4520" w:rsidRPr="00BC4520" w:rsidP="00BC4520" w14:paraId="0BB20314" w14:textId="5AAD9E7D">
      <w:pPr>
        <w:ind w:left="720"/>
        <w:rPr>
          <w:sz w:val="22"/>
          <w:szCs w:val="22"/>
        </w:rPr>
      </w:pPr>
      <w:r w:rsidRPr="00BC4520">
        <w:rPr>
          <w:sz w:val="22"/>
          <w:szCs w:val="22"/>
        </w:rPr>
        <w:t>(b) The names and FCC identifiers of the system communities affected;</w:t>
      </w:r>
    </w:p>
    <w:p w:rsidR="00BC4520" w:rsidRPr="00BC4520" w:rsidP="00BC4520" w14:paraId="472CC88B" w14:textId="77777777">
      <w:pPr>
        <w:rPr>
          <w:sz w:val="22"/>
          <w:szCs w:val="22"/>
        </w:rPr>
      </w:pPr>
    </w:p>
    <w:p w:rsidR="00BC4520" w:rsidRPr="00BC4520" w:rsidP="00BC4520" w14:paraId="1C1651C4" w14:textId="55457981">
      <w:pPr>
        <w:ind w:left="720"/>
        <w:rPr>
          <w:sz w:val="22"/>
          <w:szCs w:val="22"/>
        </w:rPr>
      </w:pPr>
      <w:r w:rsidRPr="00BC4520">
        <w:rPr>
          <w:sz w:val="22"/>
          <w:szCs w:val="22"/>
        </w:rPr>
        <w:t xml:space="preserve">(c) The names and telephone numbers of local system officials who are responsible for </w:t>
      </w:r>
      <w:r>
        <w:rPr>
          <w:sz w:val="22"/>
          <w:szCs w:val="22"/>
        </w:rPr>
        <w:t>compliance with the Commission’s signal leakage rules</w:t>
      </w:r>
      <w:r w:rsidRPr="00BC4520">
        <w:rPr>
          <w:sz w:val="22"/>
          <w:szCs w:val="22"/>
        </w:rPr>
        <w:t>;</w:t>
      </w:r>
    </w:p>
    <w:p w:rsidR="00BC4520" w:rsidRPr="00BC4520" w:rsidP="00BC4520" w14:paraId="1F4B9ACE" w14:textId="77777777">
      <w:pPr>
        <w:rPr>
          <w:sz w:val="22"/>
          <w:szCs w:val="22"/>
        </w:rPr>
      </w:pPr>
    </w:p>
    <w:p w:rsidR="00BC4520" w:rsidRPr="00BC4520" w:rsidP="00BC4520" w14:paraId="327E9911" w14:textId="067EC9C5">
      <w:pPr>
        <w:ind w:left="720"/>
        <w:rPr>
          <w:sz w:val="22"/>
          <w:szCs w:val="22"/>
        </w:rPr>
      </w:pPr>
      <w:r w:rsidRPr="00BC4520">
        <w:rPr>
          <w:sz w:val="22"/>
          <w:szCs w:val="22"/>
        </w:rPr>
        <w:t xml:space="preserve">(d) Carrier frequency, tolerance, and type of modulation of all carriers in the aeronautical bands at any location in the cable distribution system and the maximum of those average powers measured over a 2.5 kHz bandwidth as described in the introductory paragraph </w:t>
      </w:r>
      <w:r w:rsidR="00451084">
        <w:rPr>
          <w:sz w:val="22"/>
          <w:szCs w:val="22"/>
        </w:rPr>
        <w:t>Section 76.1803 of the Commission’s rules</w:t>
      </w:r>
      <w:r w:rsidRPr="00BC4520">
        <w:rPr>
          <w:sz w:val="22"/>
          <w:szCs w:val="22"/>
        </w:rPr>
        <w:t>;</w:t>
      </w:r>
    </w:p>
    <w:p w:rsidR="00BC4520" w:rsidRPr="00BC4520" w:rsidP="00BC4520" w14:paraId="3DC2FEE9" w14:textId="77777777">
      <w:pPr>
        <w:rPr>
          <w:sz w:val="22"/>
          <w:szCs w:val="22"/>
        </w:rPr>
      </w:pPr>
    </w:p>
    <w:p w:rsidR="00BC4520" w:rsidRPr="00BC4520" w:rsidP="00BC4520" w14:paraId="7CBA1366" w14:textId="36FFD0E8">
      <w:pPr>
        <w:ind w:left="720"/>
        <w:rPr>
          <w:sz w:val="22"/>
          <w:szCs w:val="22"/>
        </w:rPr>
      </w:pPr>
      <w:r w:rsidRPr="00BC4520">
        <w:rPr>
          <w:sz w:val="22"/>
          <w:szCs w:val="22"/>
        </w:rPr>
        <w:t>(e) The geographical coordinates of a point near the center of the system, together with the distance (in kilometers) from the designated point to the most remote point of the plant, existing or planned, that defines a circle enclosing the entire plant;</w:t>
      </w:r>
    </w:p>
    <w:p w:rsidR="00BC4520" w:rsidRPr="00BC4520" w:rsidP="00BC4520" w14:paraId="09871955" w14:textId="77777777">
      <w:pPr>
        <w:rPr>
          <w:sz w:val="22"/>
          <w:szCs w:val="22"/>
        </w:rPr>
      </w:pPr>
    </w:p>
    <w:p w:rsidR="00BC4520" w:rsidRPr="00BC4520" w:rsidP="00BC4520" w14:paraId="1EE38D4D" w14:textId="0EE5B4A6">
      <w:pPr>
        <w:ind w:left="720"/>
        <w:rPr>
          <w:sz w:val="22"/>
          <w:szCs w:val="22"/>
        </w:rPr>
      </w:pPr>
      <w:r w:rsidRPr="00BC4520">
        <w:rPr>
          <w:sz w:val="22"/>
          <w:szCs w:val="22"/>
        </w:rPr>
        <w:t xml:space="preserve">(f) Certification that the monitoring procedure used </w:t>
      </w:r>
      <w:r>
        <w:rPr>
          <w:sz w:val="22"/>
          <w:szCs w:val="22"/>
        </w:rPr>
        <w:t>complies with the Commission’s signal leakage rules</w:t>
      </w:r>
      <w:r w:rsidRPr="00BC4520">
        <w:rPr>
          <w:sz w:val="22"/>
          <w:szCs w:val="22"/>
        </w:rPr>
        <w:t xml:space="preserve"> or description of the routine monitoring procedure to be used; and</w:t>
      </w:r>
    </w:p>
    <w:p w:rsidR="00BC4520" w:rsidRPr="00BC4520" w:rsidP="00BC4520" w14:paraId="1AB07806" w14:textId="77777777">
      <w:pPr>
        <w:rPr>
          <w:sz w:val="22"/>
          <w:szCs w:val="22"/>
        </w:rPr>
      </w:pPr>
    </w:p>
    <w:p w:rsidR="00BC4520" w:rsidRPr="00BC4520" w:rsidP="00BC4520" w14:paraId="7EF948BB" w14:textId="490F2C0F">
      <w:pPr>
        <w:ind w:left="720"/>
        <w:rPr>
          <w:sz w:val="22"/>
          <w:szCs w:val="22"/>
        </w:rPr>
      </w:pPr>
      <w:r w:rsidRPr="00BC4520">
        <w:rPr>
          <w:sz w:val="22"/>
          <w:szCs w:val="22"/>
        </w:rPr>
        <w:t xml:space="preserve">(g) </w:t>
      </w:r>
      <w:r w:rsidR="007C014E">
        <w:rPr>
          <w:sz w:val="22"/>
          <w:szCs w:val="22"/>
        </w:rPr>
        <w:t>T</w:t>
      </w:r>
      <w:r w:rsidRPr="00BC4520">
        <w:rPr>
          <w:sz w:val="22"/>
          <w:szCs w:val="22"/>
        </w:rPr>
        <w:t xml:space="preserve">he cumulative signal leakage index derived under </w:t>
      </w:r>
      <w:r w:rsidR="007C014E">
        <w:rPr>
          <w:sz w:val="22"/>
          <w:szCs w:val="22"/>
        </w:rPr>
        <w:t xml:space="preserve">Section </w:t>
      </w:r>
      <w:r w:rsidRPr="00BC4520">
        <w:rPr>
          <w:sz w:val="22"/>
          <w:szCs w:val="22"/>
        </w:rPr>
        <w:t xml:space="preserve">76.611(a)(1) </w:t>
      </w:r>
      <w:r w:rsidR="007C014E">
        <w:rPr>
          <w:sz w:val="22"/>
          <w:szCs w:val="22"/>
        </w:rPr>
        <w:t xml:space="preserve">of the Commission’s rules </w:t>
      </w:r>
      <w:r w:rsidRPr="00BC4520">
        <w:rPr>
          <w:sz w:val="22"/>
          <w:szCs w:val="22"/>
        </w:rPr>
        <w:t xml:space="preserve">or the results of airspace measurements derived under </w:t>
      </w:r>
      <w:r w:rsidR="00451084">
        <w:rPr>
          <w:sz w:val="22"/>
          <w:szCs w:val="22"/>
        </w:rPr>
        <w:t xml:space="preserve">Section </w:t>
      </w:r>
      <w:r w:rsidRPr="00BC4520">
        <w:rPr>
          <w:sz w:val="22"/>
          <w:szCs w:val="22"/>
        </w:rPr>
        <w:t xml:space="preserve">76.611(a)(2), including a description of the method </w:t>
      </w:r>
      <w:r w:rsidR="007C014E">
        <w:rPr>
          <w:sz w:val="22"/>
          <w:szCs w:val="22"/>
        </w:rPr>
        <w:t>used</w:t>
      </w:r>
      <w:r w:rsidRPr="00BC4520">
        <w:rPr>
          <w:sz w:val="22"/>
          <w:szCs w:val="22"/>
        </w:rPr>
        <w:t xml:space="preserve"> and the method of calibrating the measurement equipment.</w:t>
      </w:r>
    </w:p>
    <w:p w:rsidR="00BC4520" w:rsidRPr="00BC4520" w:rsidP="00BC4520" w14:paraId="3C6823DF" w14:textId="77777777">
      <w:pPr>
        <w:rPr>
          <w:sz w:val="22"/>
          <w:szCs w:val="22"/>
        </w:rPr>
      </w:pPr>
    </w:p>
    <w:p w:rsidR="00BC4520" w:rsidRPr="00BC4520" w:rsidP="00BC4520" w14:paraId="0234F842" w14:textId="77777777">
      <w:pPr>
        <w:ind w:left="720"/>
        <w:rPr>
          <w:sz w:val="22"/>
          <w:szCs w:val="22"/>
        </w:rPr>
      </w:pPr>
      <w:r w:rsidRPr="00BC4520">
        <w:rPr>
          <w:sz w:val="22"/>
          <w:szCs w:val="22"/>
        </w:rPr>
        <w:t>(h) Aeronautical Frequency Notifications, FCC Form 321, shall be personally signed either electronically or manually by the operator; by one of the partners, if the operator is a partnership; by an officer, if the operator is a corporation; by a member who is an officer, if the operator is an unincorporated association; or by any duly authorized employee of the operator.</w:t>
      </w:r>
    </w:p>
    <w:p w:rsidR="00BC4520" w:rsidRPr="00BC4520" w:rsidP="00BC4520" w14:paraId="4524B213" w14:textId="77777777">
      <w:pPr>
        <w:rPr>
          <w:sz w:val="22"/>
          <w:szCs w:val="22"/>
        </w:rPr>
      </w:pPr>
    </w:p>
    <w:p w:rsidR="00BC4520" w:rsidRPr="00BC4520" w:rsidP="00BC4520" w14:paraId="2BD0624A" w14:textId="39B6C1D7">
      <w:pPr>
        <w:ind w:left="720"/>
        <w:rPr>
          <w:sz w:val="22"/>
          <w:szCs w:val="22"/>
        </w:rPr>
      </w:pPr>
      <w:r w:rsidRPr="00BC4520">
        <w:rPr>
          <w:sz w:val="22"/>
          <w:szCs w:val="22"/>
        </w:rPr>
        <w:t>(i) Aeronautical Frequency Notifications, FCC Form 321, may be signed by the operator's attorney in case of the operator's physical disability or of his absence from the United States. The attorney shall in that event separately set forth the reasons why the FCC Form 321 was not signed by the operator. In addition, if any matter is stated on the basis of the attorney's belief only (rather than the attorney's knowledge), the attorney shall separately set forth the reasons for believin</w:t>
      </w:r>
      <w:r w:rsidR="007C014E">
        <w:rPr>
          <w:sz w:val="22"/>
          <w:szCs w:val="22"/>
        </w:rPr>
        <w:t>g that such statements are true; and</w:t>
      </w:r>
    </w:p>
    <w:p w:rsidR="00BC4520" w:rsidRPr="00BC4520" w:rsidP="00BC4520" w14:paraId="74578420" w14:textId="77777777">
      <w:pPr>
        <w:rPr>
          <w:sz w:val="22"/>
          <w:szCs w:val="22"/>
        </w:rPr>
      </w:pPr>
    </w:p>
    <w:p w:rsidR="00BC4520" w:rsidRPr="00BC4520" w:rsidP="007C014E" w14:paraId="095DB981" w14:textId="5C74B842">
      <w:pPr>
        <w:ind w:firstLine="720"/>
        <w:rPr>
          <w:sz w:val="22"/>
          <w:szCs w:val="22"/>
        </w:rPr>
      </w:pPr>
      <w:r w:rsidRPr="00BC4520">
        <w:rPr>
          <w:sz w:val="22"/>
          <w:szCs w:val="22"/>
        </w:rPr>
        <w:t>(j) The FCC Registration Number (FRN).</w:t>
      </w:r>
    </w:p>
    <w:p w:rsidR="00BC3F08" w:rsidRPr="00BC3F08" w14:paraId="1071985C" w14:textId="77777777">
      <w:pPr>
        <w:rPr>
          <w:sz w:val="22"/>
          <w:szCs w:val="22"/>
        </w:rPr>
      </w:pPr>
    </w:p>
    <w:p w:rsidR="009B571E" w:rsidRPr="009B571E" w:rsidP="00E34125" w14:paraId="7EAC3389" w14:textId="6F64EAEF">
      <w:pPr>
        <w:rPr>
          <w:b/>
          <w:color w:val="000000"/>
          <w:sz w:val="22"/>
          <w:szCs w:val="22"/>
        </w:rPr>
      </w:pPr>
      <w:r w:rsidRPr="006E23BB">
        <w:rPr>
          <w:b/>
          <w:sz w:val="22"/>
          <w:szCs w:val="22"/>
        </w:rPr>
        <w:t>IV.        IMPLEMENTATION DATE</w:t>
      </w:r>
    </w:p>
    <w:p w:rsidR="009B571E" w:rsidP="00E34125" w14:paraId="7EB43C05" w14:textId="77777777">
      <w:pPr>
        <w:rPr>
          <w:b/>
          <w:color w:val="000000"/>
          <w:sz w:val="22"/>
          <w:szCs w:val="22"/>
        </w:rPr>
      </w:pPr>
    </w:p>
    <w:p w:rsidR="00711358" w:rsidP="00711358" w14:paraId="7ACE4759" w14:textId="7979C1F7">
      <w:pPr>
        <w:pStyle w:val="ParaNum"/>
        <w:numPr>
          <w:ilvl w:val="0"/>
          <w:numId w:val="0"/>
        </w:numPr>
        <w:ind w:firstLine="720"/>
      </w:pPr>
      <w:r w:rsidRPr="00511023">
        <w:t xml:space="preserve">The </w:t>
      </w:r>
      <w:r>
        <w:t xml:space="preserve">rules in the </w:t>
      </w:r>
      <w:r w:rsidRPr="00511023">
        <w:rPr>
          <w:i/>
        </w:rPr>
        <w:t>Report and Order</w:t>
      </w:r>
      <w:r>
        <w:t xml:space="preserve"> </w:t>
      </w:r>
      <w:r w:rsidRPr="0084392B">
        <w:t>bec</w:t>
      </w:r>
      <w:r w:rsidR="00E2324F">
        <w:t>o</w:t>
      </w:r>
      <w:r w:rsidRPr="0084392B">
        <w:t xml:space="preserve">me effective </w:t>
      </w:r>
      <w:r w:rsidR="00E2324F">
        <w:t>April 23</w:t>
      </w:r>
      <w:r w:rsidR="00FA01F7">
        <w:t>, 201</w:t>
      </w:r>
      <w:r w:rsidR="00E2324F">
        <w:t>8</w:t>
      </w:r>
      <w:r w:rsidR="00FA01F7">
        <w:t xml:space="preserve">, sixty </w:t>
      </w:r>
      <w:r w:rsidRPr="006E23BB" w:rsidR="00FA01F7">
        <w:t>(60</w:t>
      </w:r>
      <w:r w:rsidRPr="006E23BB">
        <w:t>)</w:t>
      </w:r>
      <w:r w:rsidRPr="0084392B">
        <w:t xml:space="preserve"> days after publication of the text or summary </w:t>
      </w:r>
      <w:r w:rsidR="00BC4520">
        <w:t xml:space="preserve">thereof in the Federal Register with the exception of </w:t>
      </w:r>
      <w:r w:rsidR="007C014E">
        <w:t>the recordkeeping requirement</w:t>
      </w:r>
      <w:r w:rsidR="006C3652">
        <w:t>.</w:t>
      </w:r>
      <w:r w:rsidR="00BC4520">
        <w:t xml:space="preserve">  T</w:t>
      </w:r>
      <w:r w:rsidR="007C014E">
        <w:t>hat rule</w:t>
      </w:r>
      <w:r w:rsidR="00BC4520">
        <w:t xml:space="preserve"> </w:t>
      </w:r>
      <w:r w:rsidRPr="0084392B">
        <w:t>require</w:t>
      </w:r>
      <w:r w:rsidR="007C014E">
        <w:t>s</w:t>
      </w:r>
      <w:r w:rsidRPr="0084392B">
        <w:t xml:space="preserve"> approval by the Office of Management and Budget (OMB) u</w:t>
      </w:r>
      <w:r>
        <w:t>nde</w:t>
      </w:r>
      <w:r w:rsidR="00BC4520">
        <w:t xml:space="preserve">r the Paperwork Reduction Act and </w:t>
      </w:r>
      <w:r w:rsidR="00E2324F">
        <w:t xml:space="preserve">will </w:t>
      </w:r>
      <w:r w:rsidRPr="0084392B">
        <w:t>bec</w:t>
      </w:r>
      <w:r w:rsidR="00E2324F">
        <w:t>o</w:t>
      </w:r>
      <w:r w:rsidRPr="0084392B">
        <w:t xml:space="preserve">me effective </w:t>
      </w:r>
      <w:r w:rsidR="00E2324F">
        <w:t>once</w:t>
      </w:r>
      <w:r w:rsidR="002A5293">
        <w:t xml:space="preserve"> </w:t>
      </w:r>
      <w:r w:rsidRPr="0084392B">
        <w:t>t</w:t>
      </w:r>
      <w:r w:rsidR="002A5293">
        <w:t>he Commission publishe</w:t>
      </w:r>
      <w:r w:rsidR="00E2324F">
        <w:t>s</w:t>
      </w:r>
      <w:r w:rsidR="002A5293">
        <w:t xml:space="preserve"> </w:t>
      </w:r>
      <w:r w:rsidR="00E2324F">
        <w:t>a notice</w:t>
      </w:r>
      <w:r w:rsidR="002A5293">
        <w:t xml:space="preserve"> in the </w:t>
      </w:r>
      <w:r w:rsidRPr="0084392B">
        <w:t xml:space="preserve">Federal Register announcing </w:t>
      </w:r>
      <w:r>
        <w:t xml:space="preserve">OMB </w:t>
      </w:r>
      <w:r w:rsidRPr="0084392B">
        <w:t>approval and the effective date.</w:t>
      </w:r>
    </w:p>
    <w:p w:rsidR="006E23BB" w14:paraId="7F2E7BCE" w14:textId="4CEF4B63">
      <w:pPr>
        <w:rPr>
          <w:b/>
          <w:color w:val="000000"/>
          <w:sz w:val="22"/>
          <w:szCs w:val="22"/>
        </w:rPr>
      </w:pPr>
      <w:r>
        <w:rPr>
          <w:b/>
          <w:color w:val="000000"/>
          <w:sz w:val="22"/>
          <w:szCs w:val="22"/>
        </w:rPr>
        <w:br w:type="page"/>
      </w:r>
    </w:p>
    <w:p w:rsidR="009B571E" w:rsidP="00E34125" w14:paraId="132BF10E" w14:textId="77777777">
      <w:pPr>
        <w:rPr>
          <w:b/>
          <w:color w:val="000000"/>
          <w:sz w:val="22"/>
          <w:szCs w:val="22"/>
        </w:rPr>
      </w:pPr>
    </w:p>
    <w:p w:rsidR="00583458" w:rsidP="00E34125" w14:paraId="4C93575C" w14:textId="3180AAE8">
      <w:pPr>
        <w:rPr>
          <w:color w:val="000000"/>
          <w:sz w:val="22"/>
          <w:szCs w:val="22"/>
        </w:rPr>
      </w:pPr>
      <w:r w:rsidRPr="006E23BB">
        <w:rPr>
          <w:b/>
          <w:sz w:val="22"/>
          <w:szCs w:val="22"/>
        </w:rPr>
        <w:t xml:space="preserve">V.  </w:t>
      </w:r>
      <w:r w:rsidRPr="00074CA4">
        <w:rPr>
          <w:b/>
        </w:rPr>
        <w:t xml:space="preserve">       </w:t>
      </w:r>
      <w:r>
        <w:rPr>
          <w:b/>
          <w:color w:val="000000"/>
          <w:sz w:val="22"/>
          <w:szCs w:val="22"/>
        </w:rPr>
        <w:t>INTERNET LINKS</w:t>
      </w:r>
    </w:p>
    <w:p w:rsidR="00583458" w:rsidP="00E34125" w14:paraId="4B8B3F03" w14:textId="77777777">
      <w:pPr>
        <w:rPr>
          <w:color w:val="000000"/>
          <w:sz w:val="22"/>
          <w:szCs w:val="22"/>
        </w:rPr>
      </w:pPr>
    </w:p>
    <w:p w:rsidR="00583458" w:rsidRPr="003F2C18" w:rsidP="00C20CEA" w14:paraId="37FD20B8" w14:textId="4BEC8E0F">
      <w:pPr>
        <w:spacing w:after="120"/>
        <w:rPr>
          <w:color w:val="000000"/>
          <w:sz w:val="22"/>
          <w:szCs w:val="22"/>
        </w:rPr>
      </w:pPr>
      <w:r w:rsidRPr="006E23BB">
        <w:rPr>
          <w:sz w:val="22"/>
          <w:szCs w:val="22"/>
        </w:rPr>
        <w:t>A copy of the</w:t>
      </w:r>
      <w:r w:rsidRPr="006E23BB">
        <w:rPr>
          <w:b/>
          <w:sz w:val="22"/>
          <w:szCs w:val="22"/>
        </w:rPr>
        <w:t xml:space="preserve"> </w:t>
      </w:r>
      <w:r w:rsidRPr="00E2324F" w:rsidR="00E2324F">
        <w:rPr>
          <w:i/>
          <w:color w:val="000000"/>
          <w:sz w:val="22"/>
          <w:szCs w:val="22"/>
        </w:rPr>
        <w:t>Cable Television Technical and Operational Standards</w:t>
      </w:r>
      <w:r w:rsidRPr="003F2C18">
        <w:rPr>
          <w:color w:val="000000"/>
          <w:sz w:val="22"/>
          <w:szCs w:val="22"/>
        </w:rPr>
        <w:t xml:space="preserve"> Report and Order is available at:</w:t>
      </w:r>
    </w:p>
    <w:p w:rsidR="00E2324F" w:rsidP="006E23BB" w14:paraId="3227E294" w14:textId="1E21E85D">
      <w:pPr>
        <w:autoSpaceDE w:val="0"/>
        <w:autoSpaceDN w:val="0"/>
        <w:adjustRightInd w:val="0"/>
        <w:rPr>
          <w:color w:val="010101"/>
          <w:sz w:val="22"/>
          <w:szCs w:val="22"/>
        </w:rPr>
      </w:pPr>
      <w:r>
        <w:fldChar w:fldCharType="begin"/>
      </w:r>
      <w:r>
        <w:instrText xml:space="preserve"> HYPERLINK "https://apps.fcc.gov/edocs_public/attachmatch/FCC-17-120A1.docx" </w:instrText>
      </w:r>
      <w:r>
        <w:fldChar w:fldCharType="separate"/>
      </w:r>
      <w:r w:rsidRPr="000A1070">
        <w:rPr>
          <w:rStyle w:val="Hyperlink"/>
          <w:sz w:val="22"/>
          <w:szCs w:val="22"/>
        </w:rPr>
        <w:t>https://apps.fcc.gov/edocs_public/attachmatch/FCC-17-120A1.docx</w:t>
      </w:r>
      <w:r>
        <w:fldChar w:fldCharType="end"/>
      </w:r>
      <w:r>
        <w:rPr>
          <w:color w:val="010101"/>
          <w:sz w:val="22"/>
          <w:szCs w:val="22"/>
        </w:rPr>
        <w:t xml:space="preserve"> </w:t>
      </w:r>
      <w:r w:rsidRPr="003F2C18" w:rsidR="001C1567">
        <w:rPr>
          <w:color w:val="010101"/>
          <w:sz w:val="22"/>
          <w:szCs w:val="22"/>
        </w:rPr>
        <w:t xml:space="preserve">(Word); </w:t>
      </w:r>
    </w:p>
    <w:p w:rsidR="00406E6D" w:rsidRPr="003F2C18" w:rsidP="006E23BB" w14:paraId="04DD0964" w14:textId="1A4BA65E">
      <w:pPr>
        <w:autoSpaceDE w:val="0"/>
        <w:autoSpaceDN w:val="0"/>
        <w:adjustRightInd w:val="0"/>
        <w:rPr>
          <w:color w:val="010101"/>
          <w:sz w:val="22"/>
          <w:szCs w:val="22"/>
        </w:rPr>
      </w:pPr>
      <w:r>
        <w:fldChar w:fldCharType="begin"/>
      </w:r>
      <w:r>
        <w:instrText xml:space="preserve"> HYPERLINK "https://apps.fcc.gov/edocs_public/attachmatch/FCC-17-120A1.pdf" </w:instrText>
      </w:r>
      <w:r>
        <w:fldChar w:fldCharType="separate"/>
      </w:r>
      <w:r w:rsidRPr="000A1070" w:rsidR="00E2324F">
        <w:rPr>
          <w:rStyle w:val="Hyperlink"/>
          <w:sz w:val="22"/>
          <w:szCs w:val="22"/>
        </w:rPr>
        <w:t>https://apps.fcc.gov/edocs_public/attachmatch/FCC-17-120A1.pdf</w:t>
      </w:r>
      <w:r>
        <w:fldChar w:fldCharType="end"/>
      </w:r>
      <w:r w:rsidR="00E2324F">
        <w:rPr>
          <w:color w:val="010101"/>
          <w:sz w:val="22"/>
          <w:szCs w:val="22"/>
        </w:rPr>
        <w:t xml:space="preserve"> </w:t>
      </w:r>
      <w:r w:rsidRPr="003F2C18" w:rsidR="001C1567">
        <w:rPr>
          <w:color w:val="010101"/>
          <w:sz w:val="22"/>
          <w:szCs w:val="22"/>
        </w:rPr>
        <w:t>(Acrobat).</w:t>
      </w:r>
    </w:p>
    <w:p w:rsidR="00406E6D" w:rsidRPr="003F2C18" w:rsidP="00406E6D" w14:paraId="2EBDECF0" w14:textId="77777777">
      <w:pPr>
        <w:autoSpaceDE w:val="0"/>
        <w:autoSpaceDN w:val="0"/>
        <w:adjustRightInd w:val="0"/>
        <w:rPr>
          <w:color w:val="010101"/>
          <w:sz w:val="22"/>
          <w:szCs w:val="22"/>
        </w:rPr>
      </w:pPr>
    </w:p>
    <w:p w:rsidR="00BF71D7" w:rsidRPr="003F2C18" w:rsidP="00C20CEA" w14:paraId="47378216" w14:textId="478E1B8F">
      <w:pPr>
        <w:rPr>
          <w:color w:val="000000"/>
          <w:sz w:val="22"/>
          <w:szCs w:val="22"/>
        </w:rPr>
      </w:pPr>
      <w:r w:rsidRPr="006E23BB">
        <w:rPr>
          <w:sz w:val="22"/>
          <w:szCs w:val="22"/>
        </w:rPr>
        <w:t xml:space="preserve">A copy of the Federal Register Summary of the </w:t>
      </w:r>
      <w:r w:rsidRPr="00E2324F" w:rsidR="00E2324F">
        <w:rPr>
          <w:i/>
          <w:color w:val="000000"/>
          <w:sz w:val="22"/>
          <w:szCs w:val="22"/>
        </w:rPr>
        <w:t>Cable Television Technical and Operational Standards</w:t>
      </w:r>
      <w:r w:rsidRPr="003F2C18">
        <w:rPr>
          <w:color w:val="000000"/>
          <w:sz w:val="22"/>
          <w:szCs w:val="22"/>
        </w:rPr>
        <w:t xml:space="preserve"> Report and Order is available at:</w:t>
      </w:r>
    </w:p>
    <w:p w:rsidR="00E55FE0" w:rsidP="006E23BB" w14:paraId="113FFCDC" w14:textId="2CCAFC86">
      <w:pPr>
        <w:rPr>
          <w:rStyle w:val="Hyperlink"/>
          <w:sz w:val="22"/>
          <w:szCs w:val="22"/>
        </w:rPr>
      </w:pPr>
      <w:r>
        <w:fldChar w:fldCharType="begin"/>
      </w:r>
      <w:r>
        <w:instrText xml:space="preserve"> HYPERLINK "https://www.gpo.gov/fdsys/pkg/FR-2018-02-22/pdf/2018-03547.pdf" </w:instrText>
      </w:r>
      <w:r>
        <w:fldChar w:fldCharType="separate"/>
      </w:r>
      <w:r w:rsidRPr="000A1070" w:rsidR="00E2324F">
        <w:rPr>
          <w:rStyle w:val="Hyperlink"/>
          <w:sz w:val="22"/>
          <w:szCs w:val="22"/>
        </w:rPr>
        <w:t>https://www.gpo.gov/fdsys/pkg/FR-2018-02-22/pdf/2018-03547.pdf</w:t>
      </w:r>
      <w:r>
        <w:fldChar w:fldCharType="end"/>
      </w:r>
      <w:r w:rsidR="00E2324F">
        <w:rPr>
          <w:rStyle w:val="Hyperlink"/>
          <w:sz w:val="22"/>
          <w:szCs w:val="22"/>
        </w:rPr>
        <w:t xml:space="preserve">. </w:t>
      </w:r>
    </w:p>
    <w:p w:rsidR="00C20CEA" w:rsidP="006E23BB" w14:paraId="7AA312BE" w14:textId="038D1B67">
      <w:pPr>
        <w:rPr>
          <w:rStyle w:val="Hyperlink"/>
          <w:sz w:val="22"/>
          <w:szCs w:val="22"/>
        </w:rPr>
      </w:pPr>
    </w:p>
    <w:p w:rsidR="00925D31" w:rsidP="00C20CEA" w14:paraId="6F74FD1A" w14:textId="1989830F">
      <w:pPr>
        <w:rPr>
          <w:color w:val="000000"/>
          <w:sz w:val="22"/>
          <w:szCs w:val="22"/>
        </w:rPr>
      </w:pPr>
      <w:r>
        <w:rPr>
          <w:rStyle w:val="Hyperlink"/>
          <w:color w:val="auto"/>
          <w:sz w:val="22"/>
          <w:szCs w:val="22"/>
          <w:u w:val="none"/>
        </w:rPr>
        <w:t xml:space="preserve">A copy of the </w:t>
      </w:r>
      <w:r w:rsidRPr="007C18F4">
        <w:rPr>
          <w:color w:val="000000"/>
          <w:sz w:val="22"/>
          <w:szCs w:val="22"/>
        </w:rPr>
        <w:t>Society of Cable Telecommunications Engineers standard number 40</w:t>
      </w:r>
      <w:r>
        <w:rPr>
          <w:color w:val="000000"/>
          <w:sz w:val="22"/>
          <w:szCs w:val="22"/>
        </w:rPr>
        <w:t xml:space="preserve"> is available at:</w:t>
      </w:r>
    </w:p>
    <w:p w:rsidR="00C20CEA" w:rsidRPr="006E23BB" w:rsidP="006E23BB" w14:paraId="4B758B80" w14:textId="6177C05C">
      <w:pPr>
        <w:rPr>
          <w:rStyle w:val="Hyperlink"/>
          <w:color w:val="auto"/>
          <w:sz w:val="22"/>
          <w:szCs w:val="22"/>
          <w:u w:val="none"/>
        </w:rPr>
      </w:pPr>
      <w:r>
        <w:fldChar w:fldCharType="begin"/>
      </w:r>
      <w:r>
        <w:instrText xml:space="preserve"> HYPERLINK "http://www.scte.org/SCTEDocs/Standards/SCTE%2040%202016.pdf" </w:instrText>
      </w:r>
      <w:r>
        <w:fldChar w:fldCharType="separate"/>
      </w:r>
      <w:r w:rsidRPr="007D1CF1">
        <w:rPr>
          <w:rStyle w:val="Hyperlink"/>
          <w:sz w:val="22"/>
          <w:szCs w:val="22"/>
        </w:rPr>
        <w:t>http://www.scte.org/SCTEDocs/Standards/SCTE%2040%202016.pdf</w:t>
      </w:r>
      <w:r>
        <w:fldChar w:fldCharType="end"/>
      </w:r>
      <w:r>
        <w:rPr>
          <w:rStyle w:val="Hyperlink"/>
          <w:color w:val="auto"/>
          <w:sz w:val="22"/>
          <w:szCs w:val="22"/>
          <w:u w:val="none"/>
        </w:rPr>
        <w:t xml:space="preserve"> </w:t>
      </w:r>
    </w:p>
    <w:sectPr w:rsidSect="002127FE">
      <w:footerReference w:type="default" r:id="rId11"/>
      <w:type w:val="continuous"/>
      <w:pgSz w:w="12240" w:h="15840" w:code="1"/>
      <w:pgMar w:top="1440" w:right="1440" w:bottom="1440" w:left="1440" w:header="720" w:footer="720" w:gutter="0"/>
      <w:pgNumType w:start="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6C4A" w14:paraId="5695639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3458" w:rsidRPr="00611EEF" w14:paraId="14193383" w14:textId="349FEBB7">
    <w:pPr>
      <w:pStyle w:val="Footer"/>
      <w:jc w:val="center"/>
      <w:rPr>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6C4A" w14:paraId="4C29B367"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42050993"/>
      <w:docPartObj>
        <w:docPartGallery w:val="Page Numbers (Bottom of Page)"/>
        <w:docPartUnique/>
      </w:docPartObj>
    </w:sdtPr>
    <w:sdtEndPr>
      <w:rPr>
        <w:noProof/>
      </w:rPr>
    </w:sdtEndPr>
    <w:sdtContent>
      <w:p w:rsidR="007C014E" w14:paraId="7FF8B9D1" w14:textId="58590C35">
        <w:pPr>
          <w:pStyle w:val="Footer"/>
          <w:jc w:val="center"/>
        </w:pPr>
        <w:r>
          <w:fldChar w:fldCharType="begin"/>
        </w:r>
        <w:r>
          <w:instrText xml:space="preserve"> PAGE   \* MERGEFORMAT </w:instrText>
        </w:r>
        <w:r>
          <w:fldChar w:fldCharType="separate"/>
        </w:r>
        <w:r w:rsidR="00B8305B">
          <w:rPr>
            <w:noProof/>
          </w:rPr>
          <w:t>3</w:t>
        </w:r>
        <w:r>
          <w:rPr>
            <w:noProof/>
          </w:rPr>
          <w:fldChar w:fldCharType="end"/>
        </w:r>
      </w:p>
    </w:sdtContent>
  </w:sdt>
  <w:p w:rsidR="00C84D7C" w:rsidRPr="00611EEF" w14:paraId="38DCB9A6" w14:textId="1186EB2C">
    <w:pPr>
      <w:pStyle w:val="Footer"/>
      <w:jc w:val="center"/>
      <w:rPr>
        <w:sz w:val="2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6C4A" w14:paraId="590B50A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6C4A" w14:paraId="135AFD9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3458" w:rsidP="006E23BB" w14:paraId="323285F8" w14:textId="77777777">
    <w:pPr>
      <w:pStyle w:val="Header"/>
      <w:tabs>
        <w:tab w:val="clear" w:pos="4320"/>
        <w:tab w:val="clear" w:pos="8640"/>
      </w:tabs>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mso-wrap-edited:f;position:absolute;visibility:visible;z-index:251658240" o:oleicon="f" o:allowincell="f" filled="t" fillcolor="#3cc">
          <v:imagedata r:id="rId1" o:title="" gain="69719f"/>
          <w10:wrap type="topAndBottom"/>
        </v:shape>
        <o:OLEObject Type="Embed" ProgID="Word.Picture.8" ShapeID="_x0000_s2049" DrawAspect="Content" ObjectID="_1585370033" r:id="rId2"/>
      </w:pict>
    </w:r>
    <w:r w:rsidR="001C1567">
      <w:rPr>
        <w:rFonts w:ascii="CG Times (W1)" w:hAnsi="CG Times (W1)"/>
        <w:sz w:val="28"/>
      </w:rPr>
      <w:t>Federal Communications Commission</w:t>
    </w:r>
  </w:p>
  <w:p w:rsidR="00583458" w14:paraId="574A4BF1" w14:textId="77777777">
    <w:pPr>
      <w:jc w:val="center"/>
    </w:pPr>
    <w:smartTag w:uri="urn:schemas-microsoft-com:office:smarttags" w:element="place">
      <w:smartTag w:uri="urn:schemas-microsoft-com:office:smarttags" w:element="City">
        <w:r>
          <w:rPr>
            <w:rFonts w:ascii="CG Times (W1)" w:hAnsi="CG Times (W1)"/>
            <w:sz w:val="28"/>
          </w:rPr>
          <w:t>Washington</w:t>
        </w:r>
      </w:smartTag>
      <w:r>
        <w:rPr>
          <w:rFonts w:ascii="CG Times (W1)" w:hAnsi="CG Times (W1)"/>
          <w:sz w:val="28"/>
        </w:rPr>
        <w:t xml:space="preserve">, </w:t>
      </w:r>
      <w:smartTag w:uri="urn:schemas-microsoft-com:office:smarttags" w:element="PostalCode">
        <w:r>
          <w:rPr>
            <w:rFonts w:ascii="CG Times (W1)" w:hAnsi="CG Times (W1)"/>
            <w:sz w:val="28"/>
          </w:rPr>
          <w:t>D.C.</w:t>
        </w:r>
      </w:smartTag>
      <w:r>
        <w:rPr>
          <w:rFonts w:ascii="CG Times (W1)" w:hAnsi="CG Times (W1)"/>
          <w:sz w:val="28"/>
        </w:rPr>
        <w:t xml:space="preserve"> </w:t>
      </w:r>
      <w:smartTag w:uri="urn:schemas-microsoft-com:office:smarttags" w:element="PostalCode">
        <w:r>
          <w:rPr>
            <w:rFonts w:ascii="CG Times (W1)" w:hAnsi="CG Times (W1)"/>
            <w:sz w:val="28"/>
          </w:rPr>
          <w:t>20554</w:t>
        </w:r>
      </w:smartTag>
    </w:smartTag>
  </w:p>
  <w:p w:rsidR="00583458" w14:paraId="58503604" w14:textId="77777777">
    <w:pPr>
      <w:pStyle w:val="Header"/>
      <w:tabs>
        <w:tab w:val="clear" w:pos="4320"/>
      </w:tabs>
      <w:jc w:val="center"/>
      <w:rPr>
        <w:sz w:val="22"/>
      </w:rPr>
    </w:pPr>
  </w:p>
  <w:p w:rsidR="00583458" w:rsidRPr="0059603D" w:rsidP="00FC3E2D" w14:paraId="18350CA6" w14:textId="01227079">
    <w:pPr>
      <w:pStyle w:val="Header"/>
      <w:tabs>
        <w:tab w:val="clear" w:pos="4320"/>
      </w:tabs>
      <w:jc w:val="center"/>
      <w:rPr>
        <w:sz w:val="24"/>
        <w:szCs w:val="24"/>
      </w:rPr>
    </w:pPr>
    <w:r>
      <w:rPr>
        <w:sz w:val="24"/>
        <w:szCs w:val="24"/>
      </w:rPr>
      <w:t>April 16</w:t>
    </w:r>
    <w:r w:rsidRPr="0059603D" w:rsidR="001C1567">
      <w:rPr>
        <w:sz w:val="24"/>
        <w:szCs w:val="24"/>
      </w:rPr>
      <w:t xml:space="preserve">, </w:t>
    </w:r>
    <w:r w:rsidRPr="0059603D" w:rsidR="007B6800">
      <w:rPr>
        <w:sz w:val="24"/>
        <w:szCs w:val="24"/>
      </w:rPr>
      <w:t>201</w:t>
    </w:r>
    <w:r w:rsidRPr="0059603D" w:rsidR="001C1567">
      <w:rPr>
        <w:sz w:val="24"/>
        <w:szCs w:val="24"/>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6D5EC8"/>
    <w:multiLevelType w:val="hybridMultilevel"/>
    <w:tmpl w:val="87181F7A"/>
    <w:lvl w:ilvl="0">
      <w:start w:val="1"/>
      <w:numFmt w:val="upperLetter"/>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BC0E81"/>
    <w:multiLevelType w:val="hybridMultilevel"/>
    <w:tmpl w:val="C452F5EA"/>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
    <w:nsid w:val="0C9F6C36"/>
    <w:multiLevelType w:val="hybridMultilevel"/>
    <w:tmpl w:val="2B409A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4CA4868"/>
    <w:multiLevelType w:val="hybridMultilevel"/>
    <w:tmpl w:val="245C21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
    <w:nsid w:val="1566307D"/>
    <w:multiLevelType w:val="hybridMultilevel"/>
    <w:tmpl w:val="D61A516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
    <w:nsid w:val="25090EDB"/>
    <w:multiLevelType w:val="hybridMultilevel"/>
    <w:tmpl w:val="D8F02920"/>
    <w:lvl w:ilvl="0">
      <w:start w:val="1"/>
      <w:numFmt w:val="bullet"/>
      <w:lvlText w:val=""/>
      <w:lvlJc w:val="left"/>
      <w:pPr>
        <w:tabs>
          <w:tab w:val="num" w:pos="720"/>
        </w:tabs>
        <w:ind w:left="720" w:hanging="360"/>
      </w:pPr>
      <w:rPr>
        <w:rFonts w:ascii="Symbol" w:hAnsi="Symbol" w:hint="default"/>
        <w:b w:val="0"/>
        <w:sz w:val="16"/>
      </w:rPr>
    </w:lvl>
    <w:lvl w:ilvl="1">
      <w:start w:val="1"/>
      <w:numFmt w:val="bullet"/>
      <w:lvlText w:val="o"/>
      <w:lvlJc w:val="left"/>
      <w:pPr>
        <w:ind w:left="1440" w:hanging="360"/>
      </w:pPr>
      <w:rPr>
        <w:rFonts w:ascii="Courier New" w:hAnsi="Courier New" w:hint="default"/>
        <w:sz w:val="16"/>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
    <w:nsid w:val="35275130"/>
    <w:multiLevelType w:val="hybridMultilevel"/>
    <w:tmpl w:val="CE0AFB94"/>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7">
    <w:nsid w:val="39AA7850"/>
    <w:multiLevelType w:val="hybridMultilevel"/>
    <w:tmpl w:val="C0E23AF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CDA4373"/>
    <w:multiLevelType w:val="hybridMultilevel"/>
    <w:tmpl w:val="9BE42AC4"/>
    <w:lvl w:ilvl="0">
      <w:start w:val="1"/>
      <w:numFmt w:val="bullet"/>
      <w:lvlText w:val=""/>
      <w:lvlJc w:val="left"/>
      <w:pPr>
        <w:ind w:left="720" w:hanging="360"/>
      </w:pPr>
      <w:rPr>
        <w:rFonts w:ascii="Symbol" w:hAnsi="Symbol" w:hint="default"/>
        <w:sz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9">
    <w:nsid w:val="4E61172D"/>
    <w:multiLevelType w:val="hybridMultilevel"/>
    <w:tmpl w:val="358C9E0E"/>
    <w:lvl w:ilvl="0">
      <w:start w:val="1"/>
      <w:numFmt w:val="bullet"/>
      <w:lvlText w:val=""/>
      <w:lvlJc w:val="left"/>
      <w:pPr>
        <w:ind w:left="720" w:hanging="360"/>
      </w:pPr>
      <w:rPr>
        <w:rFonts w:ascii="Symbol" w:hAnsi="Symbol" w:hint="default"/>
        <w:sz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F6A6A08"/>
    <w:multiLevelType w:val="hybridMultilevel"/>
    <w:tmpl w:val="B1D6F34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578D76F3"/>
    <w:multiLevelType w:val="hybridMultilevel"/>
    <w:tmpl w:val="422C13E6"/>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nsid w:val="586862C2"/>
    <w:multiLevelType w:val="hybridMultilevel"/>
    <w:tmpl w:val="1632C718"/>
    <w:lvl w:ilvl="0">
      <w:start w:val="1"/>
      <w:numFmt w:val="upperRoman"/>
      <w:lvlText w:val="%1."/>
      <w:lvlJc w:val="left"/>
      <w:pPr>
        <w:ind w:left="1080" w:hanging="72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14">
    <w:nsid w:val="6BE460BE"/>
    <w:multiLevelType w:val="hybridMultilevel"/>
    <w:tmpl w:val="FD147B08"/>
    <w:lvl w:ilvl="0">
      <w:start w:val="1"/>
      <w:numFmt w:val="upperLetter"/>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C1F3B2B"/>
    <w:multiLevelType w:val="hybridMultilevel"/>
    <w:tmpl w:val="F16E96C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768937AB"/>
    <w:multiLevelType w:val="hybridMultilevel"/>
    <w:tmpl w:val="51524E72"/>
    <w:lvl w:ilvl="0">
      <w:start w:val="1"/>
      <w:numFmt w:val="bullet"/>
      <w:lvlText w:val=""/>
      <w:lvlJc w:val="left"/>
      <w:pPr>
        <w:ind w:left="720" w:hanging="360"/>
      </w:pPr>
      <w:rPr>
        <w:rFonts w:ascii="Symbol" w:hAnsi="Symbol" w:hint="default"/>
        <w:sz w:val="16"/>
      </w:rPr>
    </w:lvl>
    <w:lvl w:ilvl="1">
      <w:start w:val="1"/>
      <w:numFmt w:val="bullet"/>
      <w:lvlText w:val="o"/>
      <w:lvlJc w:val="left"/>
      <w:pPr>
        <w:ind w:left="1440" w:hanging="360"/>
      </w:pPr>
      <w:rPr>
        <w:rFonts w:ascii="Courier New" w:hAnsi="Courier New" w:hint="default"/>
        <w:sz w:val="16"/>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7CA52AD"/>
    <w:multiLevelType w:val="hybridMultilevel"/>
    <w:tmpl w:val="C31A65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A2D5693"/>
    <w:multiLevelType w:val="hybridMultilevel"/>
    <w:tmpl w:val="3472496E"/>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A846DA9"/>
    <w:multiLevelType w:val="hybridMultilevel"/>
    <w:tmpl w:val="711A61BC"/>
    <w:lvl w:ilvl="0">
      <w:start w:val="1"/>
      <w:numFmt w:val="decimal"/>
      <w:lvlText w:val="%1."/>
      <w:lvlJc w:val="left"/>
      <w:pPr>
        <w:tabs>
          <w:tab w:val="num" w:pos="771"/>
        </w:tabs>
        <w:ind w:left="771" w:hanging="360"/>
      </w:pPr>
      <w:rPr>
        <w:rFonts w:cs="Times New Roman"/>
        <w:i w:val="0"/>
      </w:rPr>
    </w:lvl>
    <w:lvl w:ilvl="1">
      <w:start w:val="1"/>
      <w:numFmt w:val="lowerLetter"/>
      <w:lvlText w:val="%2."/>
      <w:lvlJc w:val="left"/>
      <w:pPr>
        <w:tabs>
          <w:tab w:val="num" w:pos="1491"/>
        </w:tabs>
        <w:ind w:left="1491" w:hanging="360"/>
      </w:pPr>
      <w:rPr>
        <w:rFonts w:cs="Times New Roman"/>
      </w:rPr>
    </w:lvl>
    <w:lvl w:ilvl="2" w:tentative="1">
      <w:start w:val="1"/>
      <w:numFmt w:val="lowerRoman"/>
      <w:lvlText w:val="%3."/>
      <w:lvlJc w:val="right"/>
      <w:pPr>
        <w:tabs>
          <w:tab w:val="num" w:pos="2211"/>
        </w:tabs>
        <w:ind w:left="2211" w:hanging="180"/>
      </w:pPr>
      <w:rPr>
        <w:rFonts w:cs="Times New Roman"/>
      </w:rPr>
    </w:lvl>
    <w:lvl w:ilvl="3" w:tentative="1">
      <w:start w:val="1"/>
      <w:numFmt w:val="decimal"/>
      <w:lvlText w:val="%4."/>
      <w:lvlJc w:val="left"/>
      <w:pPr>
        <w:tabs>
          <w:tab w:val="num" w:pos="2931"/>
        </w:tabs>
        <w:ind w:left="2931" w:hanging="360"/>
      </w:pPr>
      <w:rPr>
        <w:rFonts w:cs="Times New Roman"/>
      </w:rPr>
    </w:lvl>
    <w:lvl w:ilvl="4" w:tentative="1">
      <w:start w:val="1"/>
      <w:numFmt w:val="lowerLetter"/>
      <w:lvlText w:val="%5."/>
      <w:lvlJc w:val="left"/>
      <w:pPr>
        <w:tabs>
          <w:tab w:val="num" w:pos="3651"/>
        </w:tabs>
        <w:ind w:left="3651" w:hanging="360"/>
      </w:pPr>
      <w:rPr>
        <w:rFonts w:cs="Times New Roman"/>
      </w:rPr>
    </w:lvl>
    <w:lvl w:ilvl="5" w:tentative="1">
      <w:start w:val="1"/>
      <w:numFmt w:val="lowerRoman"/>
      <w:lvlText w:val="%6."/>
      <w:lvlJc w:val="right"/>
      <w:pPr>
        <w:tabs>
          <w:tab w:val="num" w:pos="4371"/>
        </w:tabs>
        <w:ind w:left="4371" w:hanging="180"/>
      </w:pPr>
      <w:rPr>
        <w:rFonts w:cs="Times New Roman"/>
      </w:rPr>
    </w:lvl>
    <w:lvl w:ilvl="6" w:tentative="1">
      <w:start w:val="1"/>
      <w:numFmt w:val="decimal"/>
      <w:lvlText w:val="%7."/>
      <w:lvlJc w:val="left"/>
      <w:pPr>
        <w:tabs>
          <w:tab w:val="num" w:pos="5091"/>
        </w:tabs>
        <w:ind w:left="5091" w:hanging="360"/>
      </w:pPr>
      <w:rPr>
        <w:rFonts w:cs="Times New Roman"/>
      </w:rPr>
    </w:lvl>
    <w:lvl w:ilvl="7" w:tentative="1">
      <w:start w:val="1"/>
      <w:numFmt w:val="lowerLetter"/>
      <w:lvlText w:val="%8."/>
      <w:lvlJc w:val="left"/>
      <w:pPr>
        <w:tabs>
          <w:tab w:val="num" w:pos="5811"/>
        </w:tabs>
        <w:ind w:left="5811" w:hanging="360"/>
      </w:pPr>
      <w:rPr>
        <w:rFonts w:cs="Times New Roman"/>
      </w:rPr>
    </w:lvl>
    <w:lvl w:ilvl="8" w:tentative="1">
      <w:start w:val="1"/>
      <w:numFmt w:val="lowerRoman"/>
      <w:lvlText w:val="%9."/>
      <w:lvlJc w:val="right"/>
      <w:pPr>
        <w:tabs>
          <w:tab w:val="num" w:pos="6531"/>
        </w:tabs>
        <w:ind w:left="6531" w:hanging="180"/>
      </w:pPr>
      <w:rPr>
        <w:rFonts w:cs="Times New Roman"/>
      </w:rPr>
    </w:lvl>
  </w:abstractNum>
  <w:abstractNum w:abstractNumId="20">
    <w:nsid w:val="7F844131"/>
    <w:multiLevelType w:val="hybridMultilevel"/>
    <w:tmpl w:val="B35677B0"/>
    <w:lvl w:ilvl="0">
      <w:start w:val="1"/>
      <w:numFmt w:val="bullet"/>
      <w:lvlText w:val=""/>
      <w:lvlJc w:val="left"/>
      <w:pPr>
        <w:ind w:left="720" w:hanging="360"/>
      </w:pPr>
      <w:rPr>
        <w:rFonts w:ascii="Symbol" w:hAnsi="Symbol" w:hint="default"/>
        <w:sz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8"/>
  </w:num>
  <w:num w:numId="4">
    <w:abstractNumId w:val="4"/>
  </w:num>
  <w:num w:numId="5">
    <w:abstractNumId w:val="5"/>
  </w:num>
  <w:num w:numId="6">
    <w:abstractNumId w:val="8"/>
  </w:num>
  <w:num w:numId="7">
    <w:abstractNumId w:val="16"/>
  </w:num>
  <w:num w:numId="8">
    <w:abstractNumId w:val="11"/>
  </w:num>
  <w:num w:numId="9">
    <w:abstractNumId w:val="13"/>
  </w:num>
  <w:num w:numId="10">
    <w:abstractNumId w:val="19"/>
  </w:num>
  <w:num w:numId="11">
    <w:abstractNumId w:val="9"/>
  </w:num>
  <w:num w:numId="12">
    <w:abstractNumId w:val="20"/>
  </w:num>
  <w:num w:numId="13">
    <w:abstractNumId w:val="3"/>
  </w:num>
  <w:num w:numId="14">
    <w:abstractNumId w:val="10"/>
  </w:num>
  <w:num w:numId="15">
    <w:abstractNumId w:val="15"/>
  </w:num>
  <w:num w:numId="16">
    <w:abstractNumId w:val="7"/>
  </w:num>
  <w:num w:numId="17">
    <w:abstractNumId w:val="0"/>
  </w:num>
  <w:num w:numId="18">
    <w:abstractNumId w:val="17"/>
  </w:num>
  <w:num w:numId="19">
    <w:abstractNumId w:val="6"/>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A51"/>
    <w:rsid w:val="000000D2"/>
    <w:rsid w:val="0000133E"/>
    <w:rsid w:val="00004F2B"/>
    <w:rsid w:val="000123CE"/>
    <w:rsid w:val="00023299"/>
    <w:rsid w:val="000250F7"/>
    <w:rsid w:val="00025510"/>
    <w:rsid w:val="00026CB8"/>
    <w:rsid w:val="0003048A"/>
    <w:rsid w:val="00034D30"/>
    <w:rsid w:val="000371D0"/>
    <w:rsid w:val="00040BF3"/>
    <w:rsid w:val="00042FAA"/>
    <w:rsid w:val="00044EE4"/>
    <w:rsid w:val="00050B7E"/>
    <w:rsid w:val="000525CC"/>
    <w:rsid w:val="0005704C"/>
    <w:rsid w:val="00060A3D"/>
    <w:rsid w:val="0006132D"/>
    <w:rsid w:val="0006325F"/>
    <w:rsid w:val="00063486"/>
    <w:rsid w:val="000679D2"/>
    <w:rsid w:val="00070C62"/>
    <w:rsid w:val="00074CA4"/>
    <w:rsid w:val="00076A18"/>
    <w:rsid w:val="0008217E"/>
    <w:rsid w:val="000823CB"/>
    <w:rsid w:val="00083668"/>
    <w:rsid w:val="0008617B"/>
    <w:rsid w:val="0009014E"/>
    <w:rsid w:val="00090E4A"/>
    <w:rsid w:val="0009100B"/>
    <w:rsid w:val="000A0451"/>
    <w:rsid w:val="000A1070"/>
    <w:rsid w:val="000A171D"/>
    <w:rsid w:val="000A45C5"/>
    <w:rsid w:val="000A6AE9"/>
    <w:rsid w:val="000A6EA9"/>
    <w:rsid w:val="000B2012"/>
    <w:rsid w:val="000B27B3"/>
    <w:rsid w:val="000B450E"/>
    <w:rsid w:val="000B7CA8"/>
    <w:rsid w:val="000C0716"/>
    <w:rsid w:val="000C191D"/>
    <w:rsid w:val="000C23CB"/>
    <w:rsid w:val="000C51BB"/>
    <w:rsid w:val="000C5233"/>
    <w:rsid w:val="000C68FD"/>
    <w:rsid w:val="000C7056"/>
    <w:rsid w:val="000D465B"/>
    <w:rsid w:val="000E1954"/>
    <w:rsid w:val="000F1DE5"/>
    <w:rsid w:val="000F22B0"/>
    <w:rsid w:val="000F75B1"/>
    <w:rsid w:val="00101A07"/>
    <w:rsid w:val="001054F5"/>
    <w:rsid w:val="00111202"/>
    <w:rsid w:val="0011758F"/>
    <w:rsid w:val="00120573"/>
    <w:rsid w:val="0012071E"/>
    <w:rsid w:val="001209F6"/>
    <w:rsid w:val="001224C6"/>
    <w:rsid w:val="00125B6F"/>
    <w:rsid w:val="00134238"/>
    <w:rsid w:val="0014406F"/>
    <w:rsid w:val="00151E57"/>
    <w:rsid w:val="0016061A"/>
    <w:rsid w:val="00163F02"/>
    <w:rsid w:val="00167854"/>
    <w:rsid w:val="0017255C"/>
    <w:rsid w:val="00172962"/>
    <w:rsid w:val="00173EB9"/>
    <w:rsid w:val="00174842"/>
    <w:rsid w:val="00177160"/>
    <w:rsid w:val="001847D3"/>
    <w:rsid w:val="001874F9"/>
    <w:rsid w:val="00194EEA"/>
    <w:rsid w:val="001957C4"/>
    <w:rsid w:val="001A30FE"/>
    <w:rsid w:val="001A3E47"/>
    <w:rsid w:val="001A4D4B"/>
    <w:rsid w:val="001B1B30"/>
    <w:rsid w:val="001B3282"/>
    <w:rsid w:val="001B42F5"/>
    <w:rsid w:val="001B5181"/>
    <w:rsid w:val="001B666B"/>
    <w:rsid w:val="001B7A99"/>
    <w:rsid w:val="001C0F90"/>
    <w:rsid w:val="001C1567"/>
    <w:rsid w:val="001C5A12"/>
    <w:rsid w:val="001D1C61"/>
    <w:rsid w:val="001D5078"/>
    <w:rsid w:val="001D646A"/>
    <w:rsid w:val="001E0C9D"/>
    <w:rsid w:val="001E13BC"/>
    <w:rsid w:val="001E2E64"/>
    <w:rsid w:val="001E4A6F"/>
    <w:rsid w:val="001F089C"/>
    <w:rsid w:val="001F2CD4"/>
    <w:rsid w:val="001F4CED"/>
    <w:rsid w:val="001F552B"/>
    <w:rsid w:val="001F64B7"/>
    <w:rsid w:val="00205F0C"/>
    <w:rsid w:val="002127FE"/>
    <w:rsid w:val="002129E4"/>
    <w:rsid w:val="002262FC"/>
    <w:rsid w:val="002270B2"/>
    <w:rsid w:val="00230406"/>
    <w:rsid w:val="002304F6"/>
    <w:rsid w:val="002322A5"/>
    <w:rsid w:val="00235FAC"/>
    <w:rsid w:val="00242F54"/>
    <w:rsid w:val="002448E6"/>
    <w:rsid w:val="00247DBC"/>
    <w:rsid w:val="00253DDE"/>
    <w:rsid w:val="00254A86"/>
    <w:rsid w:val="00254DAC"/>
    <w:rsid w:val="00255438"/>
    <w:rsid w:val="00257ED3"/>
    <w:rsid w:val="00257F33"/>
    <w:rsid w:val="00260E1B"/>
    <w:rsid w:val="00266FA9"/>
    <w:rsid w:val="002679DA"/>
    <w:rsid w:val="00270AD9"/>
    <w:rsid w:val="002720A8"/>
    <w:rsid w:val="002771DA"/>
    <w:rsid w:val="00281B93"/>
    <w:rsid w:val="00284037"/>
    <w:rsid w:val="00286C2F"/>
    <w:rsid w:val="00291221"/>
    <w:rsid w:val="00297D3D"/>
    <w:rsid w:val="002A08B2"/>
    <w:rsid w:val="002A4ABB"/>
    <w:rsid w:val="002A4D5F"/>
    <w:rsid w:val="002A5293"/>
    <w:rsid w:val="002A7A97"/>
    <w:rsid w:val="002B5173"/>
    <w:rsid w:val="002E0494"/>
    <w:rsid w:val="002E0A40"/>
    <w:rsid w:val="002E0CF6"/>
    <w:rsid w:val="002E3AEF"/>
    <w:rsid w:val="002E6137"/>
    <w:rsid w:val="002F2CD7"/>
    <w:rsid w:val="002F3CBC"/>
    <w:rsid w:val="002F478F"/>
    <w:rsid w:val="00300462"/>
    <w:rsid w:val="00301B2C"/>
    <w:rsid w:val="00303935"/>
    <w:rsid w:val="0030746C"/>
    <w:rsid w:val="00317937"/>
    <w:rsid w:val="0032298C"/>
    <w:rsid w:val="00330CD9"/>
    <w:rsid w:val="00331B7C"/>
    <w:rsid w:val="00332CB0"/>
    <w:rsid w:val="0033500B"/>
    <w:rsid w:val="00337517"/>
    <w:rsid w:val="00337EBD"/>
    <w:rsid w:val="00342B5F"/>
    <w:rsid w:val="00342C7B"/>
    <w:rsid w:val="00344DD3"/>
    <w:rsid w:val="0036194A"/>
    <w:rsid w:val="00362F1A"/>
    <w:rsid w:val="003662BC"/>
    <w:rsid w:val="00367A43"/>
    <w:rsid w:val="00367B2E"/>
    <w:rsid w:val="00376A20"/>
    <w:rsid w:val="00377837"/>
    <w:rsid w:val="00383EF4"/>
    <w:rsid w:val="00393252"/>
    <w:rsid w:val="003A4E12"/>
    <w:rsid w:val="003A518D"/>
    <w:rsid w:val="003B0F17"/>
    <w:rsid w:val="003B2116"/>
    <w:rsid w:val="003B65AE"/>
    <w:rsid w:val="003C09B8"/>
    <w:rsid w:val="003C13D6"/>
    <w:rsid w:val="003C6224"/>
    <w:rsid w:val="003C6F5E"/>
    <w:rsid w:val="003D217E"/>
    <w:rsid w:val="003D4ED7"/>
    <w:rsid w:val="003D5BA0"/>
    <w:rsid w:val="003D7741"/>
    <w:rsid w:val="003D7F76"/>
    <w:rsid w:val="003E3115"/>
    <w:rsid w:val="003F1B94"/>
    <w:rsid w:val="003F2C18"/>
    <w:rsid w:val="003F714E"/>
    <w:rsid w:val="00406E6D"/>
    <w:rsid w:val="00407486"/>
    <w:rsid w:val="004101FB"/>
    <w:rsid w:val="0041066D"/>
    <w:rsid w:val="00414C13"/>
    <w:rsid w:val="00424E75"/>
    <w:rsid w:val="0042636F"/>
    <w:rsid w:val="004341D1"/>
    <w:rsid w:val="00434C53"/>
    <w:rsid w:val="00435245"/>
    <w:rsid w:val="00435A1B"/>
    <w:rsid w:val="00441942"/>
    <w:rsid w:val="004451D6"/>
    <w:rsid w:val="00447030"/>
    <w:rsid w:val="00447890"/>
    <w:rsid w:val="00451084"/>
    <w:rsid w:val="004525B7"/>
    <w:rsid w:val="00454541"/>
    <w:rsid w:val="00457C14"/>
    <w:rsid w:val="00465C2D"/>
    <w:rsid w:val="00466218"/>
    <w:rsid w:val="00467133"/>
    <w:rsid w:val="004672D0"/>
    <w:rsid w:val="00467686"/>
    <w:rsid w:val="00467ACC"/>
    <w:rsid w:val="00471112"/>
    <w:rsid w:val="00476B58"/>
    <w:rsid w:val="00493EE2"/>
    <w:rsid w:val="004961A6"/>
    <w:rsid w:val="004A234F"/>
    <w:rsid w:val="004A6C4A"/>
    <w:rsid w:val="004B5493"/>
    <w:rsid w:val="004C6121"/>
    <w:rsid w:val="004D0177"/>
    <w:rsid w:val="004D01B1"/>
    <w:rsid w:val="004D567F"/>
    <w:rsid w:val="004D5E92"/>
    <w:rsid w:val="004D6541"/>
    <w:rsid w:val="004D7CC1"/>
    <w:rsid w:val="004E0F6D"/>
    <w:rsid w:val="004E6E7A"/>
    <w:rsid w:val="004E7B7F"/>
    <w:rsid w:val="004F0805"/>
    <w:rsid w:val="004F45E6"/>
    <w:rsid w:val="004F59A5"/>
    <w:rsid w:val="00502DE9"/>
    <w:rsid w:val="005036DF"/>
    <w:rsid w:val="005047FB"/>
    <w:rsid w:val="00510534"/>
    <w:rsid w:val="00511023"/>
    <w:rsid w:val="00521E75"/>
    <w:rsid w:val="0052475E"/>
    <w:rsid w:val="00527AF6"/>
    <w:rsid w:val="00530255"/>
    <w:rsid w:val="005366BB"/>
    <w:rsid w:val="00543DDA"/>
    <w:rsid w:val="00550C4E"/>
    <w:rsid w:val="00550C6F"/>
    <w:rsid w:val="00562012"/>
    <w:rsid w:val="00562787"/>
    <w:rsid w:val="0056558E"/>
    <w:rsid w:val="00565F2A"/>
    <w:rsid w:val="00566CEB"/>
    <w:rsid w:val="005734A8"/>
    <w:rsid w:val="005749FC"/>
    <w:rsid w:val="00574A88"/>
    <w:rsid w:val="00583458"/>
    <w:rsid w:val="005878DA"/>
    <w:rsid w:val="005927C2"/>
    <w:rsid w:val="00592CC3"/>
    <w:rsid w:val="005941A4"/>
    <w:rsid w:val="00594F22"/>
    <w:rsid w:val="0059603D"/>
    <w:rsid w:val="00596051"/>
    <w:rsid w:val="005A0E6D"/>
    <w:rsid w:val="005A2D18"/>
    <w:rsid w:val="005A780A"/>
    <w:rsid w:val="005B3771"/>
    <w:rsid w:val="005B39D3"/>
    <w:rsid w:val="005B778A"/>
    <w:rsid w:val="005C0A9E"/>
    <w:rsid w:val="005C1E9B"/>
    <w:rsid w:val="005C3042"/>
    <w:rsid w:val="005C4583"/>
    <w:rsid w:val="005C7E02"/>
    <w:rsid w:val="005D2E2A"/>
    <w:rsid w:val="005D450A"/>
    <w:rsid w:val="005D4B2F"/>
    <w:rsid w:val="005D4B61"/>
    <w:rsid w:val="005D7B16"/>
    <w:rsid w:val="005E331E"/>
    <w:rsid w:val="005E4620"/>
    <w:rsid w:val="005E5CDC"/>
    <w:rsid w:val="005F2BDD"/>
    <w:rsid w:val="005F4FE0"/>
    <w:rsid w:val="005F7F34"/>
    <w:rsid w:val="00600179"/>
    <w:rsid w:val="00601A0C"/>
    <w:rsid w:val="00604925"/>
    <w:rsid w:val="006056CF"/>
    <w:rsid w:val="00611EEF"/>
    <w:rsid w:val="00614303"/>
    <w:rsid w:val="006149C3"/>
    <w:rsid w:val="00616327"/>
    <w:rsid w:val="00620968"/>
    <w:rsid w:val="0062409C"/>
    <w:rsid w:val="006454B1"/>
    <w:rsid w:val="00647F9E"/>
    <w:rsid w:val="006518D1"/>
    <w:rsid w:val="00651C8A"/>
    <w:rsid w:val="0065306C"/>
    <w:rsid w:val="00671040"/>
    <w:rsid w:val="00673788"/>
    <w:rsid w:val="00675171"/>
    <w:rsid w:val="00677AEC"/>
    <w:rsid w:val="006804FA"/>
    <w:rsid w:val="0068493B"/>
    <w:rsid w:val="00687FD8"/>
    <w:rsid w:val="006955FF"/>
    <w:rsid w:val="006A1486"/>
    <w:rsid w:val="006A7A08"/>
    <w:rsid w:val="006C3652"/>
    <w:rsid w:val="006D255C"/>
    <w:rsid w:val="006E23BB"/>
    <w:rsid w:val="006E45C8"/>
    <w:rsid w:val="006E7116"/>
    <w:rsid w:val="006F5A51"/>
    <w:rsid w:val="007031E0"/>
    <w:rsid w:val="00706B1F"/>
    <w:rsid w:val="00711358"/>
    <w:rsid w:val="00724222"/>
    <w:rsid w:val="0072444B"/>
    <w:rsid w:val="007304D5"/>
    <w:rsid w:val="00733A40"/>
    <w:rsid w:val="00735750"/>
    <w:rsid w:val="00737515"/>
    <w:rsid w:val="00742D94"/>
    <w:rsid w:val="007447B0"/>
    <w:rsid w:val="007502AE"/>
    <w:rsid w:val="00762E7C"/>
    <w:rsid w:val="0076338B"/>
    <w:rsid w:val="00766492"/>
    <w:rsid w:val="00777251"/>
    <w:rsid w:val="00780844"/>
    <w:rsid w:val="00782164"/>
    <w:rsid w:val="00784A26"/>
    <w:rsid w:val="0079112E"/>
    <w:rsid w:val="007976E1"/>
    <w:rsid w:val="007A0BAD"/>
    <w:rsid w:val="007A104E"/>
    <w:rsid w:val="007A136F"/>
    <w:rsid w:val="007A313E"/>
    <w:rsid w:val="007B18EB"/>
    <w:rsid w:val="007B32D3"/>
    <w:rsid w:val="007B5714"/>
    <w:rsid w:val="007B6800"/>
    <w:rsid w:val="007C014E"/>
    <w:rsid w:val="007C18F4"/>
    <w:rsid w:val="007C326F"/>
    <w:rsid w:val="007C5818"/>
    <w:rsid w:val="007D1651"/>
    <w:rsid w:val="007D1CF1"/>
    <w:rsid w:val="007D6856"/>
    <w:rsid w:val="007E0379"/>
    <w:rsid w:val="007F1715"/>
    <w:rsid w:val="007F1C15"/>
    <w:rsid w:val="007F2F0E"/>
    <w:rsid w:val="007F4D91"/>
    <w:rsid w:val="007F64C6"/>
    <w:rsid w:val="00800C88"/>
    <w:rsid w:val="00802DD7"/>
    <w:rsid w:val="008037B8"/>
    <w:rsid w:val="008054A6"/>
    <w:rsid w:val="00807408"/>
    <w:rsid w:val="008127EF"/>
    <w:rsid w:val="00812AA7"/>
    <w:rsid w:val="00812DFA"/>
    <w:rsid w:val="008230CF"/>
    <w:rsid w:val="00823A30"/>
    <w:rsid w:val="008341BA"/>
    <w:rsid w:val="00836305"/>
    <w:rsid w:val="0084392B"/>
    <w:rsid w:val="008452DC"/>
    <w:rsid w:val="008519B0"/>
    <w:rsid w:val="00856E31"/>
    <w:rsid w:val="00860602"/>
    <w:rsid w:val="00863232"/>
    <w:rsid w:val="008653AC"/>
    <w:rsid w:val="00876974"/>
    <w:rsid w:val="008809C9"/>
    <w:rsid w:val="00881D18"/>
    <w:rsid w:val="00882584"/>
    <w:rsid w:val="00886E4C"/>
    <w:rsid w:val="0089516C"/>
    <w:rsid w:val="008972BF"/>
    <w:rsid w:val="008B043C"/>
    <w:rsid w:val="008B38AD"/>
    <w:rsid w:val="008B3DCA"/>
    <w:rsid w:val="008B746E"/>
    <w:rsid w:val="008C535D"/>
    <w:rsid w:val="008C5F44"/>
    <w:rsid w:val="008D1D93"/>
    <w:rsid w:val="008D64AF"/>
    <w:rsid w:val="008D6552"/>
    <w:rsid w:val="008D7D82"/>
    <w:rsid w:val="008E3879"/>
    <w:rsid w:val="008E6233"/>
    <w:rsid w:val="008E67E7"/>
    <w:rsid w:val="008F1D0B"/>
    <w:rsid w:val="008F7387"/>
    <w:rsid w:val="008F7B77"/>
    <w:rsid w:val="008F7EF1"/>
    <w:rsid w:val="00901389"/>
    <w:rsid w:val="009020A6"/>
    <w:rsid w:val="0090299E"/>
    <w:rsid w:val="009041F9"/>
    <w:rsid w:val="00912526"/>
    <w:rsid w:val="00916302"/>
    <w:rsid w:val="00917B3B"/>
    <w:rsid w:val="009212CE"/>
    <w:rsid w:val="009229FC"/>
    <w:rsid w:val="00925D31"/>
    <w:rsid w:val="00927267"/>
    <w:rsid w:val="009302B8"/>
    <w:rsid w:val="0093171F"/>
    <w:rsid w:val="0093256A"/>
    <w:rsid w:val="00935410"/>
    <w:rsid w:val="00936E36"/>
    <w:rsid w:val="00945788"/>
    <w:rsid w:val="009467D8"/>
    <w:rsid w:val="00946FA6"/>
    <w:rsid w:val="00952C56"/>
    <w:rsid w:val="009610AF"/>
    <w:rsid w:val="00963098"/>
    <w:rsid w:val="00963218"/>
    <w:rsid w:val="00964F8D"/>
    <w:rsid w:val="00966E1D"/>
    <w:rsid w:val="00971DB7"/>
    <w:rsid w:val="00975DCC"/>
    <w:rsid w:val="00980803"/>
    <w:rsid w:val="00992E1B"/>
    <w:rsid w:val="00996175"/>
    <w:rsid w:val="00997D13"/>
    <w:rsid w:val="009B0DE2"/>
    <w:rsid w:val="009B204B"/>
    <w:rsid w:val="009B4591"/>
    <w:rsid w:val="009B571E"/>
    <w:rsid w:val="009C41E3"/>
    <w:rsid w:val="009C6FA3"/>
    <w:rsid w:val="009C7147"/>
    <w:rsid w:val="009C74E9"/>
    <w:rsid w:val="009D0AE4"/>
    <w:rsid w:val="009D4B27"/>
    <w:rsid w:val="009D58F4"/>
    <w:rsid w:val="009D68F1"/>
    <w:rsid w:val="009D7D05"/>
    <w:rsid w:val="009E3568"/>
    <w:rsid w:val="009E49F1"/>
    <w:rsid w:val="009E5359"/>
    <w:rsid w:val="009F1555"/>
    <w:rsid w:val="009F29E1"/>
    <w:rsid w:val="00A03FB3"/>
    <w:rsid w:val="00A06C75"/>
    <w:rsid w:val="00A06F1A"/>
    <w:rsid w:val="00A12B7A"/>
    <w:rsid w:val="00A15035"/>
    <w:rsid w:val="00A15387"/>
    <w:rsid w:val="00A166C1"/>
    <w:rsid w:val="00A16C06"/>
    <w:rsid w:val="00A23960"/>
    <w:rsid w:val="00A26B12"/>
    <w:rsid w:val="00A3197D"/>
    <w:rsid w:val="00A31C27"/>
    <w:rsid w:val="00A3200D"/>
    <w:rsid w:val="00A362BE"/>
    <w:rsid w:val="00A45EAE"/>
    <w:rsid w:val="00A46D8B"/>
    <w:rsid w:val="00A575CA"/>
    <w:rsid w:val="00A619E9"/>
    <w:rsid w:val="00A61BB2"/>
    <w:rsid w:val="00A76264"/>
    <w:rsid w:val="00A8094E"/>
    <w:rsid w:val="00A924BE"/>
    <w:rsid w:val="00A92985"/>
    <w:rsid w:val="00A950A8"/>
    <w:rsid w:val="00A95F33"/>
    <w:rsid w:val="00AA385E"/>
    <w:rsid w:val="00AA3EC8"/>
    <w:rsid w:val="00AA59A8"/>
    <w:rsid w:val="00AA67B9"/>
    <w:rsid w:val="00AB30E3"/>
    <w:rsid w:val="00AB3455"/>
    <w:rsid w:val="00AB65E2"/>
    <w:rsid w:val="00AC1A29"/>
    <w:rsid w:val="00AC4781"/>
    <w:rsid w:val="00AC53BE"/>
    <w:rsid w:val="00AD0702"/>
    <w:rsid w:val="00AD363F"/>
    <w:rsid w:val="00AD4748"/>
    <w:rsid w:val="00AD6570"/>
    <w:rsid w:val="00AD7C4C"/>
    <w:rsid w:val="00AE6C39"/>
    <w:rsid w:val="00AF0041"/>
    <w:rsid w:val="00AF1EBE"/>
    <w:rsid w:val="00AF75FC"/>
    <w:rsid w:val="00AF7A8F"/>
    <w:rsid w:val="00B0705A"/>
    <w:rsid w:val="00B07F5A"/>
    <w:rsid w:val="00B10671"/>
    <w:rsid w:val="00B141B1"/>
    <w:rsid w:val="00B16B87"/>
    <w:rsid w:val="00B37D3C"/>
    <w:rsid w:val="00B43DC8"/>
    <w:rsid w:val="00B4423E"/>
    <w:rsid w:val="00B475F9"/>
    <w:rsid w:val="00B649E9"/>
    <w:rsid w:val="00B658F5"/>
    <w:rsid w:val="00B65D6D"/>
    <w:rsid w:val="00B67B08"/>
    <w:rsid w:val="00B778C1"/>
    <w:rsid w:val="00B823E2"/>
    <w:rsid w:val="00B8305B"/>
    <w:rsid w:val="00B84DFE"/>
    <w:rsid w:val="00B85F43"/>
    <w:rsid w:val="00B876D3"/>
    <w:rsid w:val="00B91A7E"/>
    <w:rsid w:val="00B94727"/>
    <w:rsid w:val="00B96513"/>
    <w:rsid w:val="00BA423A"/>
    <w:rsid w:val="00BA6008"/>
    <w:rsid w:val="00BA655A"/>
    <w:rsid w:val="00BB1626"/>
    <w:rsid w:val="00BB19B8"/>
    <w:rsid w:val="00BB379C"/>
    <w:rsid w:val="00BC16AE"/>
    <w:rsid w:val="00BC2032"/>
    <w:rsid w:val="00BC2E5E"/>
    <w:rsid w:val="00BC3F08"/>
    <w:rsid w:val="00BC4520"/>
    <w:rsid w:val="00BC7080"/>
    <w:rsid w:val="00BD25CE"/>
    <w:rsid w:val="00BD4298"/>
    <w:rsid w:val="00BD5DBA"/>
    <w:rsid w:val="00BD7561"/>
    <w:rsid w:val="00BE4894"/>
    <w:rsid w:val="00BF71D7"/>
    <w:rsid w:val="00C02B5A"/>
    <w:rsid w:val="00C03C12"/>
    <w:rsid w:val="00C20CEA"/>
    <w:rsid w:val="00C2108D"/>
    <w:rsid w:val="00C22AB2"/>
    <w:rsid w:val="00C247A5"/>
    <w:rsid w:val="00C3013D"/>
    <w:rsid w:val="00C3290C"/>
    <w:rsid w:val="00C337C4"/>
    <w:rsid w:val="00C40922"/>
    <w:rsid w:val="00C42C71"/>
    <w:rsid w:val="00C42D65"/>
    <w:rsid w:val="00C44144"/>
    <w:rsid w:val="00C443BC"/>
    <w:rsid w:val="00C51339"/>
    <w:rsid w:val="00C51555"/>
    <w:rsid w:val="00C55F87"/>
    <w:rsid w:val="00C5665F"/>
    <w:rsid w:val="00C57AE1"/>
    <w:rsid w:val="00C70318"/>
    <w:rsid w:val="00C73201"/>
    <w:rsid w:val="00C754CB"/>
    <w:rsid w:val="00C84D7C"/>
    <w:rsid w:val="00C90E1C"/>
    <w:rsid w:val="00C93F42"/>
    <w:rsid w:val="00C961ED"/>
    <w:rsid w:val="00CA4446"/>
    <w:rsid w:val="00CA4C89"/>
    <w:rsid w:val="00CA6E70"/>
    <w:rsid w:val="00CB08CF"/>
    <w:rsid w:val="00CB3CBD"/>
    <w:rsid w:val="00CB62F2"/>
    <w:rsid w:val="00CB7D88"/>
    <w:rsid w:val="00CD1719"/>
    <w:rsid w:val="00CD5560"/>
    <w:rsid w:val="00CD5E5D"/>
    <w:rsid w:val="00CD600A"/>
    <w:rsid w:val="00CE351D"/>
    <w:rsid w:val="00CE3DF8"/>
    <w:rsid w:val="00CE7993"/>
    <w:rsid w:val="00CE7C8B"/>
    <w:rsid w:val="00CF0876"/>
    <w:rsid w:val="00CF27F1"/>
    <w:rsid w:val="00CF5FB1"/>
    <w:rsid w:val="00CF6225"/>
    <w:rsid w:val="00D11D06"/>
    <w:rsid w:val="00D12D9F"/>
    <w:rsid w:val="00D161C9"/>
    <w:rsid w:val="00D16C47"/>
    <w:rsid w:val="00D178C0"/>
    <w:rsid w:val="00D17BDE"/>
    <w:rsid w:val="00D200EE"/>
    <w:rsid w:val="00D218BA"/>
    <w:rsid w:val="00D21DA0"/>
    <w:rsid w:val="00D23337"/>
    <w:rsid w:val="00D26905"/>
    <w:rsid w:val="00D34874"/>
    <w:rsid w:val="00D34C0D"/>
    <w:rsid w:val="00D4287E"/>
    <w:rsid w:val="00D428BD"/>
    <w:rsid w:val="00D517B1"/>
    <w:rsid w:val="00D55F45"/>
    <w:rsid w:val="00D573B8"/>
    <w:rsid w:val="00D6271D"/>
    <w:rsid w:val="00D6562A"/>
    <w:rsid w:val="00D77B77"/>
    <w:rsid w:val="00D77D7B"/>
    <w:rsid w:val="00D90123"/>
    <w:rsid w:val="00D944AA"/>
    <w:rsid w:val="00D94518"/>
    <w:rsid w:val="00DA1C96"/>
    <w:rsid w:val="00DA7EEF"/>
    <w:rsid w:val="00DB1198"/>
    <w:rsid w:val="00DB1666"/>
    <w:rsid w:val="00DB1DFF"/>
    <w:rsid w:val="00DB4290"/>
    <w:rsid w:val="00DB7C51"/>
    <w:rsid w:val="00DC0149"/>
    <w:rsid w:val="00DC28C7"/>
    <w:rsid w:val="00DC5725"/>
    <w:rsid w:val="00DC6CE2"/>
    <w:rsid w:val="00DD237B"/>
    <w:rsid w:val="00DD5E8C"/>
    <w:rsid w:val="00DE457D"/>
    <w:rsid w:val="00DF7F03"/>
    <w:rsid w:val="00DF7F38"/>
    <w:rsid w:val="00E059A0"/>
    <w:rsid w:val="00E06753"/>
    <w:rsid w:val="00E16286"/>
    <w:rsid w:val="00E171CC"/>
    <w:rsid w:val="00E17716"/>
    <w:rsid w:val="00E20AE2"/>
    <w:rsid w:val="00E2324F"/>
    <w:rsid w:val="00E24C97"/>
    <w:rsid w:val="00E26AB5"/>
    <w:rsid w:val="00E34125"/>
    <w:rsid w:val="00E36FD5"/>
    <w:rsid w:val="00E37093"/>
    <w:rsid w:val="00E41767"/>
    <w:rsid w:val="00E41BD9"/>
    <w:rsid w:val="00E41CFD"/>
    <w:rsid w:val="00E45C66"/>
    <w:rsid w:val="00E47031"/>
    <w:rsid w:val="00E47A85"/>
    <w:rsid w:val="00E55FE0"/>
    <w:rsid w:val="00E5716F"/>
    <w:rsid w:val="00E60E50"/>
    <w:rsid w:val="00E651C9"/>
    <w:rsid w:val="00E660C2"/>
    <w:rsid w:val="00E75371"/>
    <w:rsid w:val="00E779CD"/>
    <w:rsid w:val="00E829CA"/>
    <w:rsid w:val="00E84339"/>
    <w:rsid w:val="00E92DF8"/>
    <w:rsid w:val="00E9429D"/>
    <w:rsid w:val="00E9582A"/>
    <w:rsid w:val="00EA0492"/>
    <w:rsid w:val="00EA5FFA"/>
    <w:rsid w:val="00EA672A"/>
    <w:rsid w:val="00EB7851"/>
    <w:rsid w:val="00EC3F90"/>
    <w:rsid w:val="00EC6A3D"/>
    <w:rsid w:val="00ED0141"/>
    <w:rsid w:val="00ED2F70"/>
    <w:rsid w:val="00EE1239"/>
    <w:rsid w:val="00EE1D41"/>
    <w:rsid w:val="00EE3143"/>
    <w:rsid w:val="00EE3600"/>
    <w:rsid w:val="00EF094E"/>
    <w:rsid w:val="00EF4007"/>
    <w:rsid w:val="00EF5082"/>
    <w:rsid w:val="00F01236"/>
    <w:rsid w:val="00F02319"/>
    <w:rsid w:val="00F04F48"/>
    <w:rsid w:val="00F07B87"/>
    <w:rsid w:val="00F16BCE"/>
    <w:rsid w:val="00F227EF"/>
    <w:rsid w:val="00F27F24"/>
    <w:rsid w:val="00F3381C"/>
    <w:rsid w:val="00F35828"/>
    <w:rsid w:val="00F4067B"/>
    <w:rsid w:val="00F40A27"/>
    <w:rsid w:val="00F417D9"/>
    <w:rsid w:val="00F476EA"/>
    <w:rsid w:val="00F51667"/>
    <w:rsid w:val="00F5675B"/>
    <w:rsid w:val="00F573E8"/>
    <w:rsid w:val="00F6007B"/>
    <w:rsid w:val="00F655C5"/>
    <w:rsid w:val="00F72BFD"/>
    <w:rsid w:val="00F730AB"/>
    <w:rsid w:val="00F73348"/>
    <w:rsid w:val="00F7780C"/>
    <w:rsid w:val="00F81419"/>
    <w:rsid w:val="00F835D0"/>
    <w:rsid w:val="00F84A3E"/>
    <w:rsid w:val="00F84C3B"/>
    <w:rsid w:val="00F92241"/>
    <w:rsid w:val="00FA01F7"/>
    <w:rsid w:val="00FA2B62"/>
    <w:rsid w:val="00FA7975"/>
    <w:rsid w:val="00FB12A1"/>
    <w:rsid w:val="00FB35BE"/>
    <w:rsid w:val="00FB49A0"/>
    <w:rsid w:val="00FC2AD0"/>
    <w:rsid w:val="00FC3C4F"/>
    <w:rsid w:val="00FC3E2D"/>
    <w:rsid w:val="00FD0225"/>
    <w:rsid w:val="00FD3777"/>
    <w:rsid w:val="00FD3AE6"/>
    <w:rsid w:val="00FD40C1"/>
    <w:rsid w:val="00FD5336"/>
    <w:rsid w:val="00FE3C77"/>
    <w:rsid w:val="00FF01C3"/>
    <w:rsid w:val="00FF0C26"/>
    <w:rsid w:val="00FF48A1"/>
    <w:rsid w:val="00FF4C5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8F1"/>
    <w:rPr>
      <w:sz w:val="20"/>
      <w:szCs w:val="20"/>
    </w:rPr>
  </w:style>
  <w:style w:type="paragraph" w:styleId="Heading1">
    <w:name w:val="heading 1"/>
    <w:basedOn w:val="Normal"/>
    <w:next w:val="Normal"/>
    <w:link w:val="Heading1Char"/>
    <w:qFormat/>
    <w:locked/>
    <w:rsid w:val="00964F8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68F1"/>
    <w:pPr>
      <w:tabs>
        <w:tab w:val="center" w:pos="4320"/>
        <w:tab w:val="right" w:pos="8640"/>
      </w:tabs>
    </w:pPr>
  </w:style>
  <w:style w:type="character" w:customStyle="1" w:styleId="HeaderChar">
    <w:name w:val="Header Char"/>
    <w:basedOn w:val="DefaultParagraphFont"/>
    <w:link w:val="Header"/>
    <w:uiPriority w:val="99"/>
    <w:semiHidden/>
    <w:rsid w:val="0041275B"/>
    <w:rPr>
      <w:sz w:val="20"/>
      <w:szCs w:val="20"/>
    </w:rPr>
  </w:style>
  <w:style w:type="paragraph" w:styleId="Footer">
    <w:name w:val="footer"/>
    <w:basedOn w:val="Normal"/>
    <w:link w:val="FooterChar"/>
    <w:uiPriority w:val="99"/>
    <w:rsid w:val="009D68F1"/>
    <w:pPr>
      <w:tabs>
        <w:tab w:val="center" w:pos="4320"/>
        <w:tab w:val="right" w:pos="8640"/>
      </w:tabs>
    </w:pPr>
  </w:style>
  <w:style w:type="character" w:customStyle="1" w:styleId="FooterChar">
    <w:name w:val="Footer Char"/>
    <w:basedOn w:val="DefaultParagraphFont"/>
    <w:link w:val="Footer"/>
    <w:uiPriority w:val="99"/>
    <w:locked/>
    <w:rsid w:val="00611EEF"/>
    <w:rPr>
      <w:rFonts w:cs="Times New Roman"/>
    </w:rPr>
  </w:style>
  <w:style w:type="character" w:styleId="Hyperlink">
    <w:name w:val="Hyperlink"/>
    <w:basedOn w:val="DefaultParagraphFont"/>
    <w:uiPriority w:val="99"/>
    <w:rsid w:val="007A104E"/>
    <w:rPr>
      <w:rFonts w:cs="Times New Roman"/>
      <w:color w:val="0000FF"/>
      <w:u w:val="single"/>
    </w:rPr>
  </w:style>
  <w:style w:type="paragraph" w:styleId="ListParagraph">
    <w:name w:val="List Paragraph"/>
    <w:basedOn w:val="Normal"/>
    <w:uiPriority w:val="34"/>
    <w:qFormat/>
    <w:rsid w:val="00543DDA"/>
    <w:pPr>
      <w:ind w:left="720"/>
      <w:contextualSpacing/>
    </w:pPr>
  </w:style>
  <w:style w:type="character" w:styleId="FollowedHyperlink">
    <w:name w:val="FollowedHyperlink"/>
    <w:basedOn w:val="DefaultParagraphFont"/>
    <w:uiPriority w:val="99"/>
    <w:rsid w:val="00194EEA"/>
    <w:rPr>
      <w:rFonts w:cs="Times New Roman"/>
      <w:color w:val="800080"/>
      <w:u w:val="single"/>
    </w:rPr>
  </w:style>
  <w:style w:type="paragraph" w:styleId="FootnoteText">
    <w:name w:val="footnote text"/>
    <w:aliases w:val="Footnote Text Char Char Char,Footnote Text Char Char Char Char Char1,Footnote Text Char1 Char,Footnote Text Char1 Char Char Char1,Footnote Text Char2 Char,Footnote Text Char2 Char Char Char Char Char1,Footnote Text Char3"/>
    <w:basedOn w:val="Normal"/>
    <w:link w:val="FootnoteTextChar"/>
    <w:rsid w:val="00E84339"/>
  </w:style>
  <w:style w:type="character" w:customStyle="1" w:styleId="FootnoteTextChar">
    <w:name w:val="Footnote Text Char"/>
    <w:aliases w:val="Footnote Text Char Char Char Char Char1 Char1,Footnote Text Char Char Char Char1,Footnote Text Char1 Char Char Char1 Char1,Footnote Text Char1 Char Char1,Footnote Text Char2 Char Char,Footnote Text Char3 Char"/>
    <w:basedOn w:val="DefaultParagraphFont"/>
    <w:link w:val="FootnoteText"/>
    <w:locked/>
    <w:rsid w:val="00E84339"/>
    <w:rPr>
      <w:rFonts w:cs="Times New Roman"/>
    </w:rPr>
  </w:style>
  <w:style w:type="character" w:styleId="FootnoteReference">
    <w:name w:val="footnote reference"/>
    <w:aliases w:val="(NECG) Footnote Reference,Appel note de bas de p,FR,Footnote Reference/,Footnote Reference1,Style 12,Style 124,Style 13,Style 17,Style 3,Style 34,Style 4,Style 6,Style 7,Style 9,fr,o"/>
    <w:basedOn w:val="DefaultParagraphFont"/>
    <w:rsid w:val="00E84339"/>
    <w:rPr>
      <w:rFonts w:cs="Times New Roman"/>
      <w:vertAlign w:val="superscript"/>
    </w:rPr>
  </w:style>
  <w:style w:type="paragraph" w:styleId="BalloonText">
    <w:name w:val="Balloon Text"/>
    <w:basedOn w:val="Normal"/>
    <w:link w:val="BalloonTextChar"/>
    <w:uiPriority w:val="99"/>
    <w:rsid w:val="009229FC"/>
    <w:rPr>
      <w:rFonts w:ascii="Tahoma" w:hAnsi="Tahoma" w:cs="Tahoma"/>
      <w:sz w:val="16"/>
      <w:szCs w:val="16"/>
    </w:rPr>
  </w:style>
  <w:style w:type="character" w:customStyle="1" w:styleId="BalloonTextChar">
    <w:name w:val="Balloon Text Char"/>
    <w:basedOn w:val="DefaultParagraphFont"/>
    <w:link w:val="BalloonText"/>
    <w:uiPriority w:val="99"/>
    <w:locked/>
    <w:rsid w:val="009229FC"/>
    <w:rPr>
      <w:rFonts w:ascii="Tahoma" w:hAnsi="Tahoma" w:cs="Tahoma"/>
      <w:sz w:val="16"/>
      <w:szCs w:val="16"/>
    </w:rPr>
  </w:style>
  <w:style w:type="paragraph" w:customStyle="1" w:styleId="ParaNum">
    <w:name w:val="ParaNum"/>
    <w:basedOn w:val="Normal"/>
    <w:link w:val="ParaNumChar"/>
    <w:rsid w:val="005E5CDC"/>
    <w:pPr>
      <w:widowControl w:val="0"/>
      <w:numPr>
        <w:numId w:val="9"/>
      </w:numPr>
      <w:spacing w:after="120"/>
    </w:pPr>
    <w:rPr>
      <w:kern w:val="28"/>
      <w:sz w:val="22"/>
    </w:rPr>
  </w:style>
  <w:style w:type="character" w:customStyle="1" w:styleId="ParaNumChar">
    <w:name w:val="ParaNum Char"/>
    <w:link w:val="ParaNum"/>
    <w:locked/>
    <w:rsid w:val="005E5CDC"/>
    <w:rPr>
      <w:snapToGrid w:val="0"/>
      <w:kern w:val="28"/>
      <w:sz w:val="22"/>
    </w:rPr>
  </w:style>
  <w:style w:type="character" w:styleId="CommentReference">
    <w:name w:val="annotation reference"/>
    <w:basedOn w:val="DefaultParagraphFont"/>
    <w:uiPriority w:val="99"/>
    <w:semiHidden/>
    <w:unhideWhenUsed/>
    <w:rsid w:val="001D5078"/>
    <w:rPr>
      <w:sz w:val="16"/>
      <w:szCs w:val="16"/>
    </w:rPr>
  </w:style>
  <w:style w:type="paragraph" w:styleId="CommentText">
    <w:name w:val="annotation text"/>
    <w:basedOn w:val="Normal"/>
    <w:link w:val="CommentTextChar"/>
    <w:uiPriority w:val="99"/>
    <w:semiHidden/>
    <w:unhideWhenUsed/>
    <w:rsid w:val="001D5078"/>
  </w:style>
  <w:style w:type="character" w:customStyle="1" w:styleId="CommentTextChar">
    <w:name w:val="Comment Text Char"/>
    <w:basedOn w:val="DefaultParagraphFont"/>
    <w:link w:val="CommentText"/>
    <w:uiPriority w:val="99"/>
    <w:semiHidden/>
    <w:rsid w:val="001D5078"/>
    <w:rPr>
      <w:sz w:val="20"/>
      <w:szCs w:val="20"/>
    </w:rPr>
  </w:style>
  <w:style w:type="paragraph" w:styleId="CommentSubject">
    <w:name w:val="annotation subject"/>
    <w:basedOn w:val="CommentText"/>
    <w:next w:val="CommentText"/>
    <w:link w:val="CommentSubjectChar"/>
    <w:uiPriority w:val="99"/>
    <w:semiHidden/>
    <w:unhideWhenUsed/>
    <w:rsid w:val="001D5078"/>
    <w:rPr>
      <w:b/>
      <w:bCs/>
    </w:rPr>
  </w:style>
  <w:style w:type="character" w:customStyle="1" w:styleId="CommentSubjectChar">
    <w:name w:val="Comment Subject Char"/>
    <w:basedOn w:val="CommentTextChar"/>
    <w:link w:val="CommentSubject"/>
    <w:uiPriority w:val="99"/>
    <w:semiHidden/>
    <w:rsid w:val="001D5078"/>
    <w:rPr>
      <w:b/>
      <w:bCs/>
      <w:sz w:val="20"/>
      <w:szCs w:val="20"/>
    </w:rPr>
  </w:style>
  <w:style w:type="character" w:customStyle="1" w:styleId="Heading3Char1Char">
    <w:name w:val="Heading 3 Char1 Char"/>
    <w:aliases w:val="Heading 3 Char Char Char Char"/>
    <w:basedOn w:val="DefaultParagraphFont"/>
    <w:rsid w:val="00566CEB"/>
    <w:rPr>
      <w:b/>
      <w:sz w:val="24"/>
      <w:szCs w:val="24"/>
      <w:lang w:val="en-US" w:eastAsia="en-US" w:bidi="ar-SA"/>
    </w:rPr>
  </w:style>
  <w:style w:type="character" w:customStyle="1" w:styleId="FootnoteTextChar1">
    <w:name w:val="Footnote Text Char1"/>
    <w:aliases w:val="Footnote Text Char Char,Footnote Text Char Char Char Char,Footnote Text Char Char Char Char Char1 Char,Footnote Text Char1 Char Char,Footnote Text Char1 Char Char Char1 Char,Footnote Text Char2 Char Char Char Char Char1 Char"/>
    <w:rsid w:val="00997D13"/>
  </w:style>
  <w:style w:type="character" w:customStyle="1" w:styleId="Heading1Char">
    <w:name w:val="Heading 1 Char"/>
    <w:basedOn w:val="DefaultParagraphFont"/>
    <w:link w:val="Heading1"/>
    <w:rsid w:val="00964F8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64F8D"/>
    <w:pPr>
      <w:tabs>
        <w:tab w:val="left" w:pos="720"/>
      </w:tabs>
      <w:spacing w:line="259" w:lineRule="auto"/>
      <w:outlineLvl w:val="9"/>
    </w:pPr>
  </w:style>
  <w:style w:type="paragraph" w:styleId="TOC1">
    <w:name w:val="toc 1"/>
    <w:basedOn w:val="Normal"/>
    <w:next w:val="Normal"/>
    <w:autoRedefine/>
    <w:uiPriority w:val="39"/>
    <w:unhideWhenUsed/>
    <w:rsid w:val="00964F8D"/>
    <w:pPr>
      <w:spacing w:after="100" w:line="259" w:lineRule="auto"/>
    </w:pPr>
    <w:rPr>
      <w:rFonts w:asciiTheme="minorHAnsi" w:eastAsiaTheme="minorEastAsia" w:hAnsiTheme="minorHAnsi"/>
      <w:sz w:val="22"/>
      <w:szCs w:val="22"/>
    </w:rPr>
  </w:style>
  <w:style w:type="character" w:customStyle="1" w:styleId="UnresolvedMention">
    <w:name w:val="Unresolved Mention"/>
    <w:basedOn w:val="DefaultParagraphFont"/>
    <w:uiPriority w:val="99"/>
    <w:semiHidden/>
    <w:unhideWhenUsed/>
    <w:rsid w:val="00E232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8DACB-CB47-4693-8475-9BED9549A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Template>
  <TotalTime>0</TotalTime>
  <Pages>3</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2018-04-16T11:47:54Z</dcterms:created>
  <dcterms:modified xsi:type="dcterms:W3CDTF">2018-04-16T11:47:54Z</dcterms:modified>
</cp:coreProperties>
</file>