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63793E" w:rsidP="0063793E">
      <w:pPr>
        <w:ind w:left="6480"/>
        <w:rPr>
          <w:b/>
          <w:sz w:val="24"/>
        </w:rPr>
      </w:pPr>
      <w:r>
        <w:rPr>
          <w:b/>
          <w:sz w:val="24"/>
        </w:rPr>
        <w:t xml:space="preserve"> </w:t>
      </w:r>
      <w:r w:rsidRPr="0063793E" w:rsidR="000562AD">
        <w:rPr>
          <w:b/>
          <w:sz w:val="24"/>
        </w:rPr>
        <w:t>DA 1</w:t>
      </w:r>
      <w:r w:rsidRPr="0063793E" w:rsidR="00C7270B">
        <w:rPr>
          <w:b/>
          <w:sz w:val="24"/>
        </w:rPr>
        <w:t>8</w:t>
      </w:r>
      <w:r w:rsidRPr="0063793E" w:rsidR="000562AD">
        <w:rPr>
          <w:b/>
          <w:sz w:val="24"/>
        </w:rPr>
        <w:t>-</w:t>
      </w:r>
      <w:r w:rsidRPr="0063793E">
        <w:rPr>
          <w:b/>
          <w:sz w:val="24"/>
        </w:rPr>
        <w:t>40</w:t>
      </w:r>
    </w:p>
    <w:p w:rsidR="00602577" w:rsidRPr="0063793E">
      <w:pPr>
        <w:spacing w:before="60"/>
        <w:jc w:val="right"/>
        <w:rPr>
          <w:b/>
          <w:sz w:val="24"/>
        </w:rPr>
      </w:pPr>
      <w:r w:rsidRPr="0063793E">
        <w:rPr>
          <w:b/>
          <w:sz w:val="24"/>
        </w:rPr>
        <w:t xml:space="preserve">Released: </w:t>
      </w:r>
      <w:r w:rsidRPr="0063793E" w:rsidR="00C7270B">
        <w:rPr>
          <w:b/>
          <w:sz w:val="24"/>
        </w:rPr>
        <w:t xml:space="preserve">January </w:t>
      </w:r>
      <w:r w:rsidRPr="0063793E" w:rsidR="00B86B29">
        <w:rPr>
          <w:b/>
          <w:sz w:val="24"/>
        </w:rPr>
        <w:t>12</w:t>
      </w:r>
      <w:r w:rsidRPr="0063793E" w:rsidR="00C7270B">
        <w:rPr>
          <w:b/>
          <w:sz w:val="24"/>
        </w:rPr>
        <w:t>, 2018</w:t>
      </w:r>
    </w:p>
    <w:p w:rsidR="00602577">
      <w:pPr>
        <w:jc w:val="right"/>
        <w:rPr>
          <w:sz w:val="24"/>
        </w:rPr>
      </w:pPr>
    </w:p>
    <w:p w:rsidR="00602577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MEDIA BUREAU</w:t>
      </w:r>
      <w:r w:rsidR="00424FF0">
        <w:rPr>
          <w:b/>
          <w:sz w:val="24"/>
        </w:rPr>
        <w:t xml:space="preserve"> PARTIALLY</w:t>
      </w:r>
      <w:r>
        <w:rPr>
          <w:b/>
          <w:sz w:val="24"/>
        </w:rPr>
        <w:t xml:space="preserve"> LIFTS THE FREEZE ON THE FILING OF PETITIONS FOR RULEMAKING TO CHANGE FULL POWER TELEVISION STATIONS’ COMMUNITIES OF LICENSE</w:t>
      </w:r>
    </w:p>
    <w:p w:rsidR="000918E7" w:rsidP="007C3487">
      <w:pPr>
        <w:spacing w:after="240"/>
        <w:rPr>
          <w:szCs w:val="22"/>
        </w:rPr>
      </w:pPr>
      <w:r>
        <w:rPr>
          <w:b/>
          <w:sz w:val="24"/>
        </w:rPr>
        <w:tab/>
      </w:r>
      <w:r w:rsidRPr="00E81263">
        <w:rPr>
          <w:szCs w:val="22"/>
        </w:rPr>
        <w:t xml:space="preserve">The Media Bureau is </w:t>
      </w:r>
      <w:r w:rsidR="00C7270B">
        <w:rPr>
          <w:szCs w:val="22"/>
        </w:rPr>
        <w:t xml:space="preserve">partially </w:t>
      </w:r>
      <w:r w:rsidRPr="00E81263">
        <w:rPr>
          <w:szCs w:val="22"/>
        </w:rPr>
        <w:t xml:space="preserve">lifting </w:t>
      </w:r>
      <w:r w:rsidR="00725A4C">
        <w:rPr>
          <w:szCs w:val="22"/>
        </w:rPr>
        <w:t>a</w:t>
      </w:r>
      <w:r w:rsidRPr="00E81263">
        <w:rPr>
          <w:szCs w:val="22"/>
        </w:rPr>
        <w:t xml:space="preserve"> freeze imposed on August 3, 2004</w:t>
      </w:r>
      <w:r w:rsidR="00D503CD">
        <w:rPr>
          <w:szCs w:val="22"/>
        </w:rPr>
        <w:t>,</w:t>
      </w:r>
      <w:r w:rsidRPr="00E81263">
        <w:rPr>
          <w:szCs w:val="22"/>
        </w:rPr>
        <w:t xml:space="preserve"> on the filing of petitions for rulemaking to change </w:t>
      </w:r>
      <w:r w:rsidRPr="00E81263" w:rsidR="00E81263">
        <w:rPr>
          <w:szCs w:val="22"/>
        </w:rPr>
        <w:t>a full power television station’s</w:t>
      </w:r>
      <w:r w:rsidRPr="00E81263">
        <w:rPr>
          <w:szCs w:val="22"/>
        </w:rPr>
        <w:t xml:space="preserve"> community of license, effective </w:t>
      </w:r>
      <w:r w:rsidR="004A20DB">
        <w:rPr>
          <w:szCs w:val="22"/>
        </w:rPr>
        <w:t xml:space="preserve">upon </w:t>
      </w:r>
      <w:r w:rsidRPr="00E81263">
        <w:rPr>
          <w:szCs w:val="22"/>
        </w:rPr>
        <w:t xml:space="preserve">publication of this Public Notice in the Federal Register.  </w:t>
      </w:r>
      <w:r w:rsidR="00494B2F">
        <w:rPr>
          <w:szCs w:val="22"/>
        </w:rPr>
        <w:t>This partial lift</w:t>
      </w:r>
      <w:r>
        <w:rPr>
          <w:szCs w:val="22"/>
        </w:rPr>
        <w:t xml:space="preserve"> will </w:t>
      </w:r>
      <w:r w:rsidR="008025CF">
        <w:rPr>
          <w:szCs w:val="22"/>
        </w:rPr>
        <w:t>restore normal processing for those</w:t>
      </w:r>
      <w:r w:rsidR="00C65738">
        <w:rPr>
          <w:szCs w:val="22"/>
        </w:rPr>
        <w:t xml:space="preserve"> </w:t>
      </w:r>
      <w:r w:rsidR="003D1EF3">
        <w:rPr>
          <w:szCs w:val="22"/>
        </w:rPr>
        <w:t>request</w:t>
      </w:r>
      <w:r w:rsidR="00C7270B">
        <w:rPr>
          <w:szCs w:val="22"/>
        </w:rPr>
        <w:t>s</w:t>
      </w:r>
      <w:r w:rsidR="003D1EF3">
        <w:rPr>
          <w:szCs w:val="22"/>
        </w:rPr>
        <w:t xml:space="preserve"> to </w:t>
      </w:r>
      <w:r w:rsidR="00C65738">
        <w:rPr>
          <w:szCs w:val="22"/>
        </w:rPr>
        <w:t>modify a station’s community of license</w:t>
      </w:r>
      <w:r w:rsidR="00C7270B">
        <w:rPr>
          <w:szCs w:val="22"/>
        </w:rPr>
        <w:t xml:space="preserve"> where no technical facility change is required</w:t>
      </w:r>
      <w:r w:rsidR="00D326A4">
        <w:rPr>
          <w:szCs w:val="22"/>
        </w:rPr>
        <w:t xml:space="preserve"> to comply with our principal community coverage requirements</w:t>
      </w:r>
      <w:r w:rsidR="0079332B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="00C65738">
        <w:rPr>
          <w:szCs w:val="22"/>
        </w:rPr>
        <w:t xml:space="preserve"> </w:t>
      </w:r>
      <w:r w:rsidR="0079332B">
        <w:rPr>
          <w:szCs w:val="22"/>
        </w:rPr>
        <w:t xml:space="preserve"> This action will</w:t>
      </w:r>
      <w:r w:rsidR="00C7270B">
        <w:rPr>
          <w:szCs w:val="22"/>
        </w:rPr>
        <w:t xml:space="preserve"> </w:t>
      </w:r>
      <w:r w:rsidR="003D1EF3">
        <w:rPr>
          <w:szCs w:val="22"/>
        </w:rPr>
        <w:t>alleviate the burden on licensees of filing</w:t>
      </w:r>
      <w:r>
        <w:rPr>
          <w:szCs w:val="22"/>
        </w:rPr>
        <w:t xml:space="preserve"> a </w:t>
      </w:r>
      <w:r w:rsidR="00725A4C">
        <w:rPr>
          <w:szCs w:val="22"/>
        </w:rPr>
        <w:t xml:space="preserve">freeze </w:t>
      </w:r>
      <w:r>
        <w:rPr>
          <w:szCs w:val="22"/>
        </w:rPr>
        <w:t>w</w:t>
      </w:r>
      <w:r w:rsidR="00725A4C">
        <w:rPr>
          <w:szCs w:val="22"/>
        </w:rPr>
        <w:t>aiver request in addition to a petition for rulemaking</w:t>
      </w:r>
      <w:r>
        <w:rPr>
          <w:szCs w:val="22"/>
        </w:rPr>
        <w:t>.</w:t>
      </w:r>
    </w:p>
    <w:p w:rsidR="000918E7" w:rsidP="00663999">
      <w:pPr>
        <w:spacing w:after="240"/>
        <w:ind w:firstLine="720"/>
        <w:rPr>
          <w:szCs w:val="22"/>
        </w:rPr>
      </w:pPr>
      <w:r w:rsidRPr="00E81263">
        <w:rPr>
          <w:szCs w:val="22"/>
        </w:rPr>
        <w:t xml:space="preserve">The Media Bureau first imposed </w:t>
      </w:r>
      <w:r w:rsidR="00656286">
        <w:rPr>
          <w:szCs w:val="22"/>
        </w:rPr>
        <w:t>a</w:t>
      </w:r>
      <w:r w:rsidRPr="00E81263">
        <w:rPr>
          <w:szCs w:val="22"/>
        </w:rPr>
        <w:t xml:space="preserve"> freeze on the filing of petitions </w:t>
      </w:r>
      <w:r w:rsidRPr="00E81263" w:rsidR="00E81263">
        <w:rPr>
          <w:szCs w:val="22"/>
        </w:rPr>
        <w:t xml:space="preserve">to change channels and communities of license </w:t>
      </w:r>
      <w:r w:rsidRPr="00E81263">
        <w:rPr>
          <w:szCs w:val="22"/>
        </w:rPr>
        <w:t xml:space="preserve">in the Table of Allotments in connection with the development of a channel election and repacking process </w:t>
      </w:r>
      <w:r w:rsidR="003D1EF3">
        <w:rPr>
          <w:szCs w:val="22"/>
        </w:rPr>
        <w:t xml:space="preserve">in advance of the </w:t>
      </w:r>
      <w:r w:rsidR="00725A4C">
        <w:rPr>
          <w:szCs w:val="22"/>
        </w:rPr>
        <w:t>DTV</w:t>
      </w:r>
      <w:r w:rsidR="003D1EF3">
        <w:rPr>
          <w:szCs w:val="22"/>
        </w:rPr>
        <w:t xml:space="preserve"> transition</w:t>
      </w:r>
      <w:r w:rsidRPr="00E81263" w:rsidR="00E81263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E81263" w:rsidR="00E81263">
        <w:rPr>
          <w:szCs w:val="22"/>
        </w:rPr>
        <w:t xml:space="preserve">  </w:t>
      </w:r>
      <w:r w:rsidR="00561B8B">
        <w:rPr>
          <w:szCs w:val="22"/>
        </w:rPr>
        <w:t xml:space="preserve">The </w:t>
      </w:r>
      <w:r w:rsidRPr="00E81263" w:rsidR="00E81263">
        <w:rPr>
          <w:szCs w:val="22"/>
        </w:rPr>
        <w:t xml:space="preserve">Bureau found that </w:t>
      </w:r>
      <w:r w:rsidR="00663999">
        <w:rPr>
          <w:szCs w:val="22"/>
        </w:rPr>
        <w:t>a</w:t>
      </w:r>
      <w:r w:rsidRPr="00E81263" w:rsidR="00E81263">
        <w:rPr>
          <w:szCs w:val="22"/>
        </w:rPr>
        <w:t xml:space="preserve"> freeze </w:t>
      </w:r>
      <w:r w:rsidR="00663999">
        <w:rPr>
          <w:szCs w:val="22"/>
        </w:rPr>
        <w:t xml:space="preserve">on the filing of petitions requesting new channels or service areas </w:t>
      </w:r>
      <w:r w:rsidR="00561B8B">
        <w:rPr>
          <w:szCs w:val="22"/>
        </w:rPr>
        <w:t>was</w:t>
      </w:r>
      <w:r w:rsidRPr="00E81263" w:rsidR="00E81263">
        <w:rPr>
          <w:szCs w:val="22"/>
        </w:rPr>
        <w:t xml:space="preserve"> </w:t>
      </w:r>
      <w:r w:rsidR="00561B8B">
        <w:rPr>
          <w:szCs w:val="22"/>
        </w:rPr>
        <w:t>“</w:t>
      </w:r>
      <w:r w:rsidRPr="00E81263" w:rsidR="00E81263">
        <w:rPr>
          <w:szCs w:val="22"/>
        </w:rPr>
        <w:t>a necessary step to ensure a stable television database” in connection with th</w:t>
      </w:r>
      <w:r w:rsidR="003D1EF3">
        <w:rPr>
          <w:szCs w:val="22"/>
        </w:rPr>
        <w:t>at</w:t>
      </w:r>
      <w:r w:rsidRPr="00E81263" w:rsidR="00E81263">
        <w:rPr>
          <w:szCs w:val="22"/>
        </w:rPr>
        <w:t xml:space="preserve"> process.</w:t>
      </w:r>
      <w:r>
        <w:rPr>
          <w:rStyle w:val="FootnoteReference"/>
          <w:szCs w:val="22"/>
        </w:rPr>
        <w:footnoteReference w:id="4"/>
      </w:r>
      <w:r w:rsidR="0052463A">
        <w:rPr>
          <w:szCs w:val="22"/>
        </w:rPr>
        <w:t xml:space="preserve">  </w:t>
      </w:r>
      <w:r w:rsidRPr="00100253" w:rsidR="00732794">
        <w:rPr>
          <w:szCs w:val="22"/>
        </w:rPr>
        <w:t>A</w:t>
      </w:r>
      <w:r w:rsidR="002E59ED">
        <w:rPr>
          <w:szCs w:val="22"/>
        </w:rPr>
        <w:t>lthough</w:t>
      </w:r>
      <w:r w:rsidRPr="00100253" w:rsidR="00732794">
        <w:rPr>
          <w:szCs w:val="22"/>
        </w:rPr>
        <w:t xml:space="preserve"> the DTV transition was completed in 2009, the Commission found it necessary to continue t</w:t>
      </w:r>
      <w:r w:rsidR="00C65738">
        <w:rPr>
          <w:szCs w:val="22"/>
        </w:rPr>
        <w:t>he</w:t>
      </w:r>
      <w:r w:rsidRPr="00100253" w:rsidR="00732794">
        <w:rPr>
          <w:szCs w:val="22"/>
        </w:rPr>
        <w:t xml:space="preserve"> freeze</w:t>
      </w:r>
      <w:r w:rsidR="003A66BF">
        <w:rPr>
          <w:szCs w:val="22"/>
        </w:rPr>
        <w:t>s</w:t>
      </w:r>
      <w:r w:rsidRPr="00100253" w:rsidR="00732794">
        <w:rPr>
          <w:szCs w:val="22"/>
        </w:rPr>
        <w:t xml:space="preserve"> a</w:t>
      </w:r>
      <w:r w:rsidR="00725A4C">
        <w:rPr>
          <w:szCs w:val="22"/>
        </w:rPr>
        <w:t xml:space="preserve">s a result of </w:t>
      </w:r>
      <w:r w:rsidRPr="00100253" w:rsidR="00732794">
        <w:rPr>
          <w:szCs w:val="22"/>
        </w:rPr>
        <w:t>the National Broadband Plan, which recommended that the Commission reallocate</w:t>
      </w:r>
      <w:r w:rsidRPr="00100253" w:rsidR="00100253">
        <w:rPr>
          <w:szCs w:val="22"/>
        </w:rPr>
        <w:t xml:space="preserve"> spectrum to enable the expansion of new broadband services and consider methodologies for repacking television channels to increase the efficiency of channel use.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</w:t>
      </w:r>
      <w:r w:rsidR="00656286">
        <w:rPr>
          <w:szCs w:val="22"/>
        </w:rPr>
        <w:t>In 2016 t</w:t>
      </w:r>
      <w:r>
        <w:rPr>
          <w:szCs w:val="22"/>
        </w:rPr>
        <w:t xml:space="preserve">he Commission </w:t>
      </w:r>
      <w:r w:rsidR="0079332B">
        <w:rPr>
          <w:szCs w:val="22"/>
        </w:rPr>
        <w:t>initiated</w:t>
      </w:r>
      <w:r>
        <w:rPr>
          <w:szCs w:val="22"/>
        </w:rPr>
        <w:t xml:space="preserve"> t</w:t>
      </w:r>
      <w:r w:rsidR="00100253">
        <w:rPr>
          <w:szCs w:val="22"/>
        </w:rPr>
        <w:t>he broadcast incentive auction, which resulted in the reallocation of broadcast television spectrum for flexible use</w:t>
      </w:r>
      <w:r>
        <w:rPr>
          <w:szCs w:val="22"/>
        </w:rPr>
        <w:t>.</w:t>
      </w:r>
      <w:r w:rsidR="002E59ED">
        <w:rPr>
          <w:szCs w:val="22"/>
        </w:rPr>
        <w:t xml:space="preserve"> </w:t>
      </w:r>
      <w:r>
        <w:rPr>
          <w:szCs w:val="22"/>
        </w:rPr>
        <w:t xml:space="preserve"> The incentive auction </w:t>
      </w:r>
      <w:r w:rsidR="002E59ED">
        <w:rPr>
          <w:szCs w:val="22"/>
        </w:rPr>
        <w:t xml:space="preserve">closed with the issuance of the </w:t>
      </w:r>
      <w:r w:rsidRPr="002E59ED" w:rsidR="002E59ED">
        <w:rPr>
          <w:i/>
          <w:szCs w:val="22"/>
        </w:rPr>
        <w:t>Closing and Channel Reassignment Public Notice</w:t>
      </w:r>
      <w:r w:rsidR="002E59ED">
        <w:rPr>
          <w:szCs w:val="22"/>
        </w:rPr>
        <w:t xml:space="preserve"> on April 13, 2017, and </w:t>
      </w:r>
      <w:r>
        <w:rPr>
          <w:szCs w:val="22"/>
        </w:rPr>
        <w:t>a</w:t>
      </w:r>
      <w:r w:rsidR="002E59ED">
        <w:rPr>
          <w:szCs w:val="22"/>
        </w:rPr>
        <w:t xml:space="preserve"> 39</w:t>
      </w:r>
      <w:r w:rsidR="003A66BF">
        <w:rPr>
          <w:szCs w:val="22"/>
        </w:rPr>
        <w:t>-</w:t>
      </w:r>
      <w:r w:rsidR="002E59ED">
        <w:rPr>
          <w:szCs w:val="22"/>
        </w:rPr>
        <w:t xml:space="preserve"> month </w:t>
      </w:r>
      <w:r>
        <w:rPr>
          <w:szCs w:val="22"/>
        </w:rPr>
        <w:t xml:space="preserve">post-auction </w:t>
      </w:r>
      <w:r w:rsidR="002E59ED">
        <w:rPr>
          <w:szCs w:val="22"/>
        </w:rPr>
        <w:t xml:space="preserve">transition period is underway, during which facilities of </w:t>
      </w:r>
      <w:r w:rsidR="00725A4C">
        <w:rPr>
          <w:szCs w:val="22"/>
        </w:rPr>
        <w:t xml:space="preserve">some </w:t>
      </w:r>
      <w:r w:rsidR="002E59ED">
        <w:rPr>
          <w:szCs w:val="22"/>
        </w:rPr>
        <w:t>broadcast television stations will be relicensed</w:t>
      </w:r>
      <w:r w:rsidR="00C65738">
        <w:rPr>
          <w:szCs w:val="22"/>
        </w:rPr>
        <w:t xml:space="preserve"> pursuant to new channel assignments</w:t>
      </w:r>
      <w:r w:rsidR="002E59ED">
        <w:rPr>
          <w:szCs w:val="22"/>
        </w:rPr>
        <w:t>.</w:t>
      </w:r>
      <w:r>
        <w:rPr>
          <w:rStyle w:val="FootnoteReference"/>
          <w:szCs w:val="22"/>
        </w:rPr>
        <w:footnoteReference w:id="6"/>
      </w:r>
      <w:r w:rsidR="00D514CD">
        <w:rPr>
          <w:szCs w:val="22"/>
        </w:rPr>
        <w:t xml:space="preserve">  </w:t>
      </w:r>
    </w:p>
    <w:p w:rsidR="003D1EF3" w:rsidP="00663999">
      <w:pPr>
        <w:spacing w:after="240"/>
        <w:ind w:firstLine="720"/>
        <w:rPr>
          <w:szCs w:val="22"/>
        </w:rPr>
      </w:pPr>
      <w:r>
        <w:rPr>
          <w:szCs w:val="22"/>
        </w:rPr>
        <w:t>B</w:t>
      </w:r>
      <w:r w:rsidR="007102FD">
        <w:rPr>
          <w:szCs w:val="22"/>
        </w:rPr>
        <w:t xml:space="preserve">ecause the DTV transition is complete and the post-incentive auction transition is underway, </w:t>
      </w:r>
      <w:r>
        <w:rPr>
          <w:szCs w:val="22"/>
        </w:rPr>
        <w:t>it is no longer necessary to freeze</w:t>
      </w:r>
      <w:r w:rsidR="00D326A4">
        <w:rPr>
          <w:szCs w:val="22"/>
        </w:rPr>
        <w:t xml:space="preserve"> </w:t>
      </w:r>
      <w:r w:rsidR="000C6F50">
        <w:rPr>
          <w:szCs w:val="22"/>
        </w:rPr>
        <w:t>community of license</w:t>
      </w:r>
      <w:r>
        <w:rPr>
          <w:szCs w:val="22"/>
        </w:rPr>
        <w:t xml:space="preserve"> </w:t>
      </w:r>
      <w:r>
        <w:rPr>
          <w:szCs w:val="22"/>
        </w:rPr>
        <w:t>petitions</w:t>
      </w:r>
      <w:r>
        <w:rPr>
          <w:szCs w:val="22"/>
        </w:rPr>
        <w:t xml:space="preserve"> </w:t>
      </w:r>
      <w:r w:rsidR="00D326A4">
        <w:rPr>
          <w:szCs w:val="22"/>
        </w:rPr>
        <w:t>that do not require a change in the station’s se</w:t>
      </w:r>
      <w:r w:rsidR="00AC06C6">
        <w:rPr>
          <w:szCs w:val="22"/>
        </w:rPr>
        <w:t>rvice area</w:t>
      </w:r>
      <w:r w:rsidR="007102FD">
        <w:rPr>
          <w:szCs w:val="22"/>
        </w:rPr>
        <w:t xml:space="preserve">.  </w:t>
      </w:r>
      <w:r w:rsidR="0079332B">
        <w:rPr>
          <w:szCs w:val="22"/>
        </w:rPr>
        <w:t>W</w:t>
      </w:r>
      <w:r w:rsidR="007102FD">
        <w:rPr>
          <w:szCs w:val="22"/>
        </w:rPr>
        <w:t xml:space="preserve">e find that </w:t>
      </w:r>
      <w:r>
        <w:rPr>
          <w:szCs w:val="22"/>
        </w:rPr>
        <w:t xml:space="preserve">normal processing of </w:t>
      </w:r>
      <w:r w:rsidR="007102FD">
        <w:rPr>
          <w:szCs w:val="22"/>
        </w:rPr>
        <w:t xml:space="preserve">such petitions will </w:t>
      </w:r>
      <w:r w:rsidRPr="00460B65" w:rsidR="007102FD">
        <w:rPr>
          <w:bCs/>
          <w:szCs w:val="22"/>
        </w:rPr>
        <w:t>have no impact on the</w:t>
      </w:r>
      <w:r>
        <w:rPr>
          <w:bCs/>
          <w:szCs w:val="22"/>
        </w:rPr>
        <w:t xml:space="preserve"> post-incentive auction</w:t>
      </w:r>
      <w:r w:rsidRPr="00460B65" w:rsidR="007102FD">
        <w:rPr>
          <w:bCs/>
          <w:szCs w:val="22"/>
        </w:rPr>
        <w:t xml:space="preserve"> transition schedule</w:t>
      </w:r>
      <w:r w:rsidR="0079332B">
        <w:rPr>
          <w:bCs/>
          <w:szCs w:val="22"/>
        </w:rPr>
        <w:t xml:space="preserve"> and</w:t>
      </w:r>
      <w:r>
        <w:rPr>
          <w:szCs w:val="22"/>
        </w:rPr>
        <w:t xml:space="preserve"> </w:t>
      </w:r>
      <w:r w:rsidR="00A777AF">
        <w:rPr>
          <w:szCs w:val="22"/>
        </w:rPr>
        <w:t xml:space="preserve">will </w:t>
      </w:r>
      <w:r>
        <w:rPr>
          <w:szCs w:val="22"/>
        </w:rPr>
        <w:t xml:space="preserve">alleviate any unnecessary burden associated with filing freeze waiver </w:t>
      </w:r>
      <w:r w:rsidR="003A66BF">
        <w:rPr>
          <w:szCs w:val="22"/>
        </w:rPr>
        <w:t>requests</w:t>
      </w:r>
      <w:r>
        <w:rPr>
          <w:szCs w:val="22"/>
        </w:rPr>
        <w:t xml:space="preserve"> </w:t>
      </w:r>
      <w:r w:rsidR="000F165D">
        <w:rPr>
          <w:szCs w:val="22"/>
        </w:rPr>
        <w:t xml:space="preserve">in addition to </w:t>
      </w:r>
      <w:r>
        <w:rPr>
          <w:szCs w:val="22"/>
        </w:rPr>
        <w:t>rulemaking petitions.</w:t>
      </w:r>
      <w:r w:rsidR="00656286">
        <w:rPr>
          <w:szCs w:val="22"/>
        </w:rPr>
        <w:t xml:space="preserve">  </w:t>
      </w:r>
    </w:p>
    <w:p w:rsidR="00100253" w:rsidP="00663999">
      <w:pPr>
        <w:spacing w:after="240"/>
        <w:ind w:firstLine="720"/>
        <w:rPr>
          <w:bCs/>
          <w:szCs w:val="22"/>
        </w:rPr>
      </w:pPr>
      <w:r>
        <w:rPr>
          <w:szCs w:val="22"/>
        </w:rPr>
        <w:t>R</w:t>
      </w:r>
      <w:r w:rsidR="00D514CD">
        <w:rPr>
          <w:szCs w:val="22"/>
        </w:rPr>
        <w:t>ulemaking petitions to change community of license typically do not involve a change in the station’s currently authorized technical facilities</w:t>
      </w:r>
      <w:r>
        <w:rPr>
          <w:szCs w:val="22"/>
        </w:rPr>
        <w:t>.</w:t>
      </w:r>
      <w:r>
        <w:rPr>
          <w:rStyle w:val="FootnoteReference"/>
          <w:szCs w:val="22"/>
        </w:rPr>
        <w:footnoteReference w:id="7"/>
      </w:r>
      <w:r w:rsidR="00AC06C6">
        <w:rPr>
          <w:bCs/>
          <w:szCs w:val="22"/>
        </w:rPr>
        <w:t xml:space="preserve">  We note that we</w:t>
      </w:r>
      <w:r w:rsidR="0079332B">
        <w:rPr>
          <w:bCs/>
          <w:szCs w:val="22"/>
        </w:rPr>
        <w:t xml:space="preserve"> do</w:t>
      </w:r>
      <w:r w:rsidR="00D514CD">
        <w:rPr>
          <w:bCs/>
          <w:szCs w:val="22"/>
        </w:rPr>
        <w:t xml:space="preserve"> not</w:t>
      </w:r>
      <w:r w:rsidR="00AC06C6">
        <w:rPr>
          <w:bCs/>
          <w:szCs w:val="22"/>
        </w:rPr>
        <w:t xml:space="preserve"> </w:t>
      </w:r>
      <w:r w:rsidR="00D514CD">
        <w:rPr>
          <w:bCs/>
          <w:szCs w:val="22"/>
        </w:rPr>
        <w:t>at this time</w:t>
      </w:r>
      <w:r w:rsidR="000F039E">
        <w:rPr>
          <w:bCs/>
          <w:szCs w:val="22"/>
        </w:rPr>
        <w:t xml:space="preserve"> </w:t>
      </w:r>
      <w:r w:rsidR="0079332B">
        <w:rPr>
          <w:bCs/>
          <w:szCs w:val="22"/>
        </w:rPr>
        <w:t xml:space="preserve">lift the freeze on filing of </w:t>
      </w:r>
      <w:r w:rsidR="00D514CD">
        <w:rPr>
          <w:bCs/>
          <w:szCs w:val="22"/>
        </w:rPr>
        <w:t xml:space="preserve">petitions </w:t>
      </w:r>
      <w:r w:rsidR="003B05EE">
        <w:rPr>
          <w:bCs/>
          <w:szCs w:val="22"/>
        </w:rPr>
        <w:t xml:space="preserve">for rulemaking </w:t>
      </w:r>
      <w:r w:rsidR="00D514CD">
        <w:rPr>
          <w:bCs/>
          <w:szCs w:val="22"/>
        </w:rPr>
        <w:t xml:space="preserve">for allotment of DTV channels for new stations, for changes to licensed stations’ channels, </w:t>
      </w:r>
      <w:r w:rsidR="003B05EE">
        <w:rPr>
          <w:bCs/>
          <w:szCs w:val="22"/>
        </w:rPr>
        <w:t xml:space="preserve">or to change community of license which include changes in authorized technical facilities, all of </w:t>
      </w:r>
      <w:r w:rsidR="00D514CD">
        <w:rPr>
          <w:bCs/>
          <w:szCs w:val="22"/>
        </w:rPr>
        <w:t xml:space="preserve">which involve construction of new </w:t>
      </w:r>
      <w:r w:rsidR="000F039E">
        <w:rPr>
          <w:bCs/>
          <w:szCs w:val="22"/>
        </w:rPr>
        <w:t>transmission</w:t>
      </w:r>
      <w:r w:rsidR="00D514CD">
        <w:rPr>
          <w:bCs/>
          <w:szCs w:val="22"/>
        </w:rPr>
        <w:t xml:space="preserve"> facilities.</w:t>
      </w:r>
      <w:r w:rsidRPr="003B05EE" w:rsidR="003B05EE">
        <w:rPr>
          <w:bCs/>
          <w:szCs w:val="22"/>
        </w:rPr>
        <w:t xml:space="preserve"> </w:t>
      </w:r>
      <w:r w:rsidR="000F165D">
        <w:rPr>
          <w:bCs/>
          <w:szCs w:val="22"/>
        </w:rPr>
        <w:t xml:space="preserve"> Freezes associated with such filings remain in place.</w:t>
      </w:r>
    </w:p>
    <w:p w:rsidR="00B10247" w:rsidP="007C3487">
      <w:pPr>
        <w:spacing w:after="240"/>
        <w:rPr>
          <w:bCs/>
          <w:szCs w:val="22"/>
        </w:rPr>
      </w:pPr>
      <w:r>
        <w:rPr>
          <w:bCs/>
          <w:szCs w:val="22"/>
        </w:rPr>
        <w:tab/>
        <w:t>For additional information</w:t>
      </w:r>
      <w:r w:rsidR="00AB4173">
        <w:rPr>
          <w:bCs/>
          <w:szCs w:val="22"/>
        </w:rPr>
        <w:t>,</w:t>
      </w:r>
      <w:r>
        <w:rPr>
          <w:bCs/>
          <w:szCs w:val="22"/>
        </w:rPr>
        <w:t xml:space="preserve"> contact Joyce Bernstein, </w:t>
      </w:r>
      <w:r>
        <w:fldChar w:fldCharType="begin"/>
      </w:r>
      <w:r>
        <w:instrText xml:space="preserve"> HYPERLINK "mailto:Joyce.Bernstein@fcc.gov" </w:instrText>
      </w:r>
      <w:r>
        <w:fldChar w:fldCharType="separate"/>
      </w:r>
      <w:r w:rsidRPr="00400BAF">
        <w:rPr>
          <w:rStyle w:val="Hyperlink"/>
          <w:bCs/>
          <w:szCs w:val="22"/>
        </w:rPr>
        <w:t>Joyce.Bernstein@fcc.gov</w:t>
      </w:r>
      <w:r>
        <w:fldChar w:fldCharType="end"/>
      </w:r>
      <w:r>
        <w:rPr>
          <w:bCs/>
          <w:szCs w:val="22"/>
        </w:rPr>
        <w:t xml:space="preserve">, (202) 418-1647, or Kevin Harding, </w:t>
      </w:r>
      <w:r>
        <w:fldChar w:fldCharType="begin"/>
      </w:r>
      <w:r>
        <w:instrText xml:space="preserve"> HYPERLINK "mailto:Kevin.Harding@fcc.gov" </w:instrText>
      </w:r>
      <w:r>
        <w:fldChar w:fldCharType="separate"/>
      </w:r>
      <w:r w:rsidRPr="00400BAF">
        <w:rPr>
          <w:rStyle w:val="Hyperlink"/>
          <w:bCs/>
          <w:szCs w:val="22"/>
        </w:rPr>
        <w:t>Kevin.Harding@fcc.gov</w:t>
      </w:r>
      <w:r>
        <w:fldChar w:fldCharType="end"/>
      </w:r>
      <w:r>
        <w:rPr>
          <w:bCs/>
          <w:szCs w:val="22"/>
        </w:rPr>
        <w:t>, (202) 418-7077.</w:t>
      </w:r>
    </w:p>
    <w:p w:rsidR="00B10247" w:rsidP="007C3487">
      <w:pPr>
        <w:spacing w:after="240"/>
        <w:rPr>
          <w:bCs/>
          <w:szCs w:val="22"/>
        </w:rPr>
      </w:pPr>
    </w:p>
    <w:p w:rsidR="00B10247" w:rsidRPr="00B10247" w:rsidP="00B10247">
      <w:pPr>
        <w:spacing w:after="240"/>
        <w:jc w:val="center"/>
        <w:rPr>
          <w:szCs w:val="22"/>
        </w:rPr>
      </w:pPr>
      <w:r>
        <w:rPr>
          <w:szCs w:val="22"/>
        </w:rPr>
        <w:t>-FCC-</w:t>
      </w:r>
    </w:p>
    <w:p w:rsidR="007C3487" w:rsidRPr="007C3487" w:rsidP="007C3487">
      <w:pPr>
        <w:spacing w:after="240"/>
        <w:rPr>
          <w:sz w:val="24"/>
        </w:rPr>
      </w:pPr>
      <w:r>
        <w:rPr>
          <w:sz w:val="24"/>
        </w:rPr>
        <w:tab/>
      </w:r>
    </w:p>
    <w:p w:rsidR="00602577">
      <w:pPr>
        <w:jc w:val="center"/>
        <w:rPr>
          <w:b/>
          <w:sz w:val="24"/>
        </w:rPr>
      </w:pPr>
    </w:p>
    <w:p w:rsidR="00602577">
      <w:pPr>
        <w:jc w:val="center"/>
        <w:rPr>
          <w:sz w:val="24"/>
        </w:rPr>
      </w:pPr>
    </w:p>
    <w:p w:rsidR="00602577">
      <w:pPr>
        <w:spacing w:before="120" w:after="240"/>
        <w:rPr>
          <w:sz w:val="24"/>
        </w:rPr>
      </w:pPr>
      <w:r>
        <w:rPr>
          <w:sz w:val="24"/>
        </w:rPr>
        <w:t xml:space="preserve"> </w:t>
      </w:r>
    </w:p>
    <w:p w:rsidR="00602577">
      <w:pPr>
        <w:spacing w:before="120" w:after="240"/>
        <w:rPr>
          <w:sz w:val="24"/>
        </w:rPr>
      </w:pP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5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5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5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97A4A">
      <w:r>
        <w:separator/>
      </w:r>
    </w:p>
  </w:footnote>
  <w:footnote w:type="continuationSeparator" w:id="1">
    <w:p w:rsidR="00F97A4A">
      <w:r>
        <w:continuationSeparator/>
      </w:r>
    </w:p>
  </w:footnote>
  <w:footnote w:id="2">
    <w:p w:rsidR="00D326A4" w:rsidRPr="00D326A4">
      <w:pPr>
        <w:pStyle w:val="FootnoteText"/>
        <w:rPr>
          <w:sz w:val="20"/>
        </w:rPr>
      </w:pPr>
      <w:r w:rsidRPr="00D326A4">
        <w:rPr>
          <w:rStyle w:val="FootnoteReference"/>
          <w:sz w:val="20"/>
        </w:rPr>
        <w:footnoteRef/>
      </w:r>
      <w:r w:rsidRPr="00D326A4">
        <w:rPr>
          <w:sz w:val="20"/>
        </w:rPr>
        <w:t xml:space="preserve"> </w:t>
      </w:r>
      <w:r w:rsidRPr="00D326A4">
        <w:rPr>
          <w:i/>
          <w:sz w:val="20"/>
        </w:rPr>
        <w:t>See</w:t>
      </w:r>
      <w:r>
        <w:rPr>
          <w:sz w:val="20"/>
        </w:rPr>
        <w:t xml:space="preserve"> 47 CFR § 73.625.</w:t>
      </w:r>
    </w:p>
  </w:footnote>
  <w:footnote w:id="3">
    <w:p w:rsidR="00E81263" w:rsidRPr="00E81263">
      <w:pPr>
        <w:pStyle w:val="FootnoteText"/>
        <w:rPr>
          <w:sz w:val="20"/>
        </w:rPr>
      </w:pPr>
      <w:r w:rsidRPr="00E81263">
        <w:rPr>
          <w:rStyle w:val="FootnoteReference"/>
          <w:sz w:val="20"/>
        </w:rPr>
        <w:footnoteRef/>
      </w:r>
      <w:r w:rsidRPr="00E81263">
        <w:rPr>
          <w:sz w:val="20"/>
        </w:rPr>
        <w:t xml:space="preserve"> </w:t>
      </w:r>
      <w:r w:rsidRPr="00E81263">
        <w:rPr>
          <w:i/>
          <w:sz w:val="20"/>
        </w:rPr>
        <w:t>Freeze on the Filing of Certain TV and DTV Requests for Allotment or Service Area Changes</w:t>
      </w:r>
      <w:r w:rsidRPr="00E81263">
        <w:rPr>
          <w:sz w:val="20"/>
        </w:rPr>
        <w:t>, Public Notice,</w:t>
      </w:r>
      <w:r>
        <w:rPr>
          <w:sz w:val="20"/>
        </w:rPr>
        <w:t xml:space="preserve"> 19 FCC Rcd 14810 (2004).</w:t>
      </w:r>
    </w:p>
  </w:footnote>
  <w:footnote w:id="4">
    <w:p w:rsidR="00E81263" w:rsidRPr="00100253">
      <w:pPr>
        <w:pStyle w:val="FootnoteText"/>
        <w:rPr>
          <w:sz w:val="20"/>
        </w:rPr>
      </w:pPr>
      <w:r w:rsidRPr="00100253">
        <w:rPr>
          <w:rStyle w:val="FootnoteReference"/>
          <w:sz w:val="20"/>
        </w:rPr>
        <w:footnoteRef/>
      </w:r>
      <w:r w:rsidRPr="00100253">
        <w:rPr>
          <w:sz w:val="20"/>
        </w:rPr>
        <w:t xml:space="preserve"> </w:t>
      </w:r>
      <w:r w:rsidRPr="00100253">
        <w:rPr>
          <w:i/>
          <w:sz w:val="20"/>
        </w:rPr>
        <w:t>Id</w:t>
      </w:r>
      <w:r w:rsidRPr="00100253">
        <w:rPr>
          <w:sz w:val="20"/>
        </w:rPr>
        <w:t>. at 14810.</w:t>
      </w:r>
    </w:p>
  </w:footnote>
  <w:footnote w:id="5">
    <w:p w:rsidR="00100253" w:rsidRPr="00100253">
      <w:pPr>
        <w:pStyle w:val="FootnoteText"/>
        <w:rPr>
          <w:sz w:val="20"/>
        </w:rPr>
      </w:pPr>
      <w:r w:rsidRPr="00100253">
        <w:rPr>
          <w:rStyle w:val="FootnoteReference"/>
          <w:sz w:val="20"/>
        </w:rPr>
        <w:footnoteRef/>
      </w:r>
      <w:r w:rsidRPr="00100253">
        <w:rPr>
          <w:sz w:val="20"/>
        </w:rPr>
        <w:t xml:space="preserve"> </w:t>
      </w:r>
      <w:r w:rsidRPr="00100253">
        <w:rPr>
          <w:i/>
          <w:sz w:val="20"/>
        </w:rPr>
        <w:t>See, e.g., Freeze on the Filing of Petitions for Digital Channel Substitutions, Effective Immediately</w:t>
      </w:r>
      <w:r w:rsidRPr="00100253">
        <w:rPr>
          <w:sz w:val="20"/>
        </w:rPr>
        <w:t xml:space="preserve">, Public Notice, 26 FCC Rcd 7721 (MB 2011); </w:t>
      </w:r>
      <w:r w:rsidRPr="00100253">
        <w:rPr>
          <w:i/>
          <w:sz w:val="20"/>
        </w:rPr>
        <w:t>Media Bureau Announces Limitations on the Filing and Processing of Full Power and Class A Television Station Modifications, Effective Immediately, and Reminds Stations of Spectrum Act Preservation Mandate</w:t>
      </w:r>
      <w:r w:rsidRPr="00100253">
        <w:rPr>
          <w:sz w:val="20"/>
        </w:rPr>
        <w:t>, Public Notice, 28 FCC Rcd 4364 (MB 2013)</w:t>
      </w:r>
      <w:r w:rsidR="002E59ED">
        <w:rPr>
          <w:sz w:val="20"/>
        </w:rPr>
        <w:t xml:space="preserve"> (</w:t>
      </w:r>
      <w:r w:rsidRPr="00097ED3" w:rsidR="002E59ED">
        <w:rPr>
          <w:i/>
          <w:sz w:val="20"/>
        </w:rPr>
        <w:t>April 2013 Freeze</w:t>
      </w:r>
      <w:r w:rsidRPr="00097ED3" w:rsidR="00097ED3">
        <w:rPr>
          <w:i/>
          <w:sz w:val="20"/>
        </w:rPr>
        <w:t xml:space="preserve"> Public Notice</w:t>
      </w:r>
      <w:r w:rsidR="00097ED3">
        <w:rPr>
          <w:sz w:val="20"/>
        </w:rPr>
        <w:t>)</w:t>
      </w:r>
      <w:r w:rsidRPr="00100253">
        <w:rPr>
          <w:sz w:val="20"/>
        </w:rPr>
        <w:t>.</w:t>
      </w:r>
    </w:p>
  </w:footnote>
  <w:footnote w:id="6">
    <w:p w:rsidR="002E59ED" w:rsidRPr="002E59ED">
      <w:pPr>
        <w:pStyle w:val="FootnoteText"/>
        <w:rPr>
          <w:sz w:val="20"/>
        </w:rPr>
      </w:pPr>
      <w:r w:rsidRPr="002E59ED">
        <w:rPr>
          <w:rStyle w:val="FootnoteReference"/>
          <w:sz w:val="20"/>
        </w:rPr>
        <w:footnoteRef/>
      </w:r>
      <w:r w:rsidRPr="002E59ED">
        <w:rPr>
          <w:sz w:val="20"/>
        </w:rPr>
        <w:t xml:space="preserve"> </w:t>
      </w:r>
      <w:r w:rsidRPr="002E59ED">
        <w:rPr>
          <w:i/>
          <w:sz w:val="20"/>
        </w:rPr>
        <w:t>See Incentive Auction Closing and Channel Reassignment Public Notice:  The Broadcast Television Incentive Auction Closes; Reverse Auction and Forward Auction Results Announced; Final Television Band Channel Assignments Announced; Post-Auction Deadlines Announced</w:t>
      </w:r>
      <w:r w:rsidRPr="002E59ED">
        <w:rPr>
          <w:sz w:val="20"/>
        </w:rPr>
        <w:t>, Public Notice, 32 FCC Rcd 2786 (2017).</w:t>
      </w:r>
    </w:p>
  </w:footnote>
  <w:footnote w:id="7">
    <w:p w:rsidR="00D514CD" w:rsidRPr="00186000">
      <w:pPr>
        <w:pStyle w:val="FootnoteText"/>
        <w:rPr>
          <w:sz w:val="20"/>
        </w:rPr>
      </w:pPr>
      <w:r w:rsidRPr="00D514CD">
        <w:rPr>
          <w:rStyle w:val="FootnoteReference"/>
          <w:sz w:val="20"/>
        </w:rPr>
        <w:footnoteRef/>
      </w:r>
      <w:r w:rsidR="00186000">
        <w:rPr>
          <w:sz w:val="20"/>
        </w:rPr>
        <w:t xml:space="preserve"> None of the most recent</w:t>
      </w:r>
      <w:r w:rsidR="005B2FF8">
        <w:rPr>
          <w:sz w:val="20"/>
        </w:rPr>
        <w:t xml:space="preserve"> rulemaking requests for a change of community of license required a change in a station’s technical facilities. </w:t>
      </w:r>
      <w:r w:rsidRPr="00D514CD">
        <w:rPr>
          <w:sz w:val="20"/>
        </w:rPr>
        <w:t xml:space="preserve"> </w:t>
      </w:r>
      <w:r w:rsidRPr="00067AF1">
        <w:rPr>
          <w:i/>
          <w:sz w:val="20"/>
        </w:rPr>
        <w:t xml:space="preserve">See </w:t>
      </w:r>
      <w:r w:rsidR="00186000">
        <w:rPr>
          <w:i/>
          <w:sz w:val="20"/>
        </w:rPr>
        <w:t>Amendment of Section 73.622(i), Digital Television Table of Allotments</w:t>
      </w:r>
      <w:r w:rsidRPr="00067AF1" w:rsidR="00067AF1">
        <w:rPr>
          <w:i/>
          <w:sz w:val="20"/>
        </w:rPr>
        <w:t xml:space="preserve"> (Scottsbluff, Nebraska and Sidney, Nebraska)</w:t>
      </w:r>
      <w:r w:rsidR="00067AF1">
        <w:rPr>
          <w:sz w:val="20"/>
        </w:rPr>
        <w:t>, Report and Order, 31 FCC Rcd 5204 (Vid. Div. 2016);</w:t>
      </w:r>
      <w:r w:rsidR="00186000">
        <w:rPr>
          <w:sz w:val="20"/>
        </w:rPr>
        <w:t xml:space="preserve"> </w:t>
      </w:r>
      <w:r w:rsidR="00186000">
        <w:rPr>
          <w:i/>
          <w:sz w:val="20"/>
        </w:rPr>
        <w:t>Amendment of Section 73.622(i), Digital Television Table of Allotments</w:t>
      </w:r>
      <w:r w:rsidR="00067AF1">
        <w:rPr>
          <w:sz w:val="20"/>
        </w:rPr>
        <w:t xml:space="preserve"> </w:t>
      </w:r>
      <w:r w:rsidRPr="00067AF1">
        <w:rPr>
          <w:i/>
          <w:sz w:val="20"/>
        </w:rPr>
        <w:t>(Seaford, Delaware and Dover, Delaware)</w:t>
      </w:r>
      <w:r>
        <w:rPr>
          <w:sz w:val="20"/>
        </w:rPr>
        <w:t xml:space="preserve">, </w:t>
      </w:r>
      <w:r w:rsidR="00067AF1">
        <w:rPr>
          <w:sz w:val="20"/>
        </w:rPr>
        <w:t xml:space="preserve">Report and Order, 29 FCC Rcd 4733 (Vid. Div. 2014) (subsequent citations omitted); </w:t>
      </w:r>
      <w:r w:rsidRPr="00186000" w:rsidR="00186000">
        <w:rPr>
          <w:i/>
          <w:sz w:val="20"/>
        </w:rPr>
        <w:t>Amendment of Section 73.622(i), Post-Transition Table of DTV Allotments (Hampton-Norfolk, Virginia; Norfolk, Virginia-Elizabeth City, North Carolina)</w:t>
      </w:r>
      <w:r w:rsidR="00186000">
        <w:rPr>
          <w:sz w:val="20"/>
        </w:rPr>
        <w:t xml:space="preserve">, Notice of Proposed Rulemaking, 26 FCC Rcd 11304 (Vid. Div. 2011); </w:t>
      </w:r>
      <w:r w:rsidRPr="00186000" w:rsidR="00186000">
        <w:rPr>
          <w:i/>
          <w:sz w:val="20"/>
        </w:rPr>
        <w:t>Amendment of Section 73.622(i), Post-Transition Table of DTV Allotments</w:t>
      </w:r>
      <w:r w:rsidR="00186000">
        <w:rPr>
          <w:i/>
          <w:sz w:val="20"/>
        </w:rPr>
        <w:t xml:space="preserve"> (North Pole and Plattsburgh, New York)</w:t>
      </w:r>
      <w:r w:rsidR="00186000">
        <w:rPr>
          <w:sz w:val="20"/>
        </w:rPr>
        <w:t>, Report and Order, 26 FCC Rcd 32 (Vid</w:t>
      </w:r>
      <w:r w:rsidR="005B2FF8">
        <w:rPr>
          <w:sz w:val="20"/>
        </w:rPr>
        <w:t>.</w:t>
      </w:r>
      <w:r w:rsidR="00186000">
        <w:rPr>
          <w:sz w:val="20"/>
        </w:rPr>
        <w:t xml:space="preserve"> Div. 2011); </w:t>
      </w:r>
      <w:r w:rsidRPr="00186000" w:rsidR="00186000">
        <w:rPr>
          <w:i/>
          <w:sz w:val="20"/>
        </w:rPr>
        <w:t>Amendment of Section 73.606(b), Table of Allotments (Columbia and Edenton, North Carolina)</w:t>
      </w:r>
      <w:r w:rsidR="00186000">
        <w:rPr>
          <w:sz w:val="20"/>
        </w:rPr>
        <w:t>, Report and Order, 20 FCC Rcd 12457 (Vid. Div. 20</w:t>
      </w:r>
      <w:r w:rsidR="000F039E">
        <w:rPr>
          <w:sz w:val="20"/>
        </w:rPr>
        <w:t>0</w:t>
      </w:r>
      <w:r w:rsidR="00186000">
        <w:rPr>
          <w:sz w:val="20"/>
        </w:rPr>
        <w:t>4)</w:t>
      </w:r>
      <w:r w:rsidR="00B10247">
        <w:rPr>
          <w:sz w:val="20"/>
        </w:rPr>
        <w:t>.  In addition, there are currently pending rulemaking petitions requesting a waiver of the freeze on community of license changes where no technical changes are</w:t>
      </w:r>
      <w:r w:rsidR="003B05EE">
        <w:rPr>
          <w:sz w:val="20"/>
        </w:rPr>
        <w:t xml:space="preserve"> proposed or</w:t>
      </w:r>
      <w:r w:rsidR="00B10247">
        <w:rPr>
          <w:sz w:val="20"/>
        </w:rPr>
        <w:t xml:space="preserve"> required.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5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53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49" type="#_x0000_t75" alt="fcc_logo" style="width:41.75pt;height:41.75pt;margin-top:8.5pt;margin-left:34.95pt;position:absolute;visibility:visibl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line id="Line 4" o:spid="_x0000_s2050" style="position:absolute;visibility:visible;z-index:251659264" from="37.6pt,54.95pt" to="501.1pt,55.1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width:244.8pt;height:50.4pt;margin-top:0.4pt;margin-left:30pt;position:absolute;visibility:visibl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noProof/>
      </w:rPr>
      <w:pict>
        <v:shape id="Text Box 5" o:spid="_x0000_s2052" type="#_x0000_t202" style="width:207.95pt;height:43.2pt;margin-top:10.25pt;margin-left:301.5pt;position:absolute;visibility:visibl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5E583338"/>
    <w:multiLevelType w:val="hybridMultilevel"/>
    <w:tmpl w:val="99C495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AD"/>
    <w:rsid w:val="000265AE"/>
    <w:rsid w:val="000562AD"/>
    <w:rsid w:val="00067AF1"/>
    <w:rsid w:val="000918E7"/>
    <w:rsid w:val="00097ED3"/>
    <w:rsid w:val="000C6F50"/>
    <w:rsid w:val="000E7EE3"/>
    <w:rsid w:val="000F039E"/>
    <w:rsid w:val="000F165D"/>
    <w:rsid w:val="00100253"/>
    <w:rsid w:val="00186000"/>
    <w:rsid w:val="001A53AB"/>
    <w:rsid w:val="0025142E"/>
    <w:rsid w:val="00275149"/>
    <w:rsid w:val="002E59ED"/>
    <w:rsid w:val="0033762B"/>
    <w:rsid w:val="003519C1"/>
    <w:rsid w:val="003675F1"/>
    <w:rsid w:val="003A66BF"/>
    <w:rsid w:val="003B05EE"/>
    <w:rsid w:val="003D1EF3"/>
    <w:rsid w:val="00400BAF"/>
    <w:rsid w:val="0041145B"/>
    <w:rsid w:val="00424FF0"/>
    <w:rsid w:val="00460B65"/>
    <w:rsid w:val="00494B2F"/>
    <w:rsid w:val="004A20DB"/>
    <w:rsid w:val="004C4BF3"/>
    <w:rsid w:val="0052463A"/>
    <w:rsid w:val="00561B8B"/>
    <w:rsid w:val="005A2490"/>
    <w:rsid w:val="005B2FF8"/>
    <w:rsid w:val="00602577"/>
    <w:rsid w:val="0063793E"/>
    <w:rsid w:val="00656286"/>
    <w:rsid w:val="00663999"/>
    <w:rsid w:val="006766AB"/>
    <w:rsid w:val="006E67ED"/>
    <w:rsid w:val="006F1C51"/>
    <w:rsid w:val="00700C0B"/>
    <w:rsid w:val="007102FD"/>
    <w:rsid w:val="00725A4C"/>
    <w:rsid w:val="00732794"/>
    <w:rsid w:val="00732C7B"/>
    <w:rsid w:val="00756039"/>
    <w:rsid w:val="00756B22"/>
    <w:rsid w:val="0079332B"/>
    <w:rsid w:val="007C3487"/>
    <w:rsid w:val="008025CF"/>
    <w:rsid w:val="00840846"/>
    <w:rsid w:val="008458E1"/>
    <w:rsid w:val="00985AFC"/>
    <w:rsid w:val="00A777AF"/>
    <w:rsid w:val="00AB4173"/>
    <w:rsid w:val="00AC06C6"/>
    <w:rsid w:val="00AF66A6"/>
    <w:rsid w:val="00B10247"/>
    <w:rsid w:val="00B834ED"/>
    <w:rsid w:val="00B86B29"/>
    <w:rsid w:val="00BC5757"/>
    <w:rsid w:val="00BC65AD"/>
    <w:rsid w:val="00BE2675"/>
    <w:rsid w:val="00BE6051"/>
    <w:rsid w:val="00C23A2A"/>
    <w:rsid w:val="00C65738"/>
    <w:rsid w:val="00C7270B"/>
    <w:rsid w:val="00C85864"/>
    <w:rsid w:val="00CF22FA"/>
    <w:rsid w:val="00D17DC0"/>
    <w:rsid w:val="00D326A4"/>
    <w:rsid w:val="00D503CD"/>
    <w:rsid w:val="00D514CD"/>
    <w:rsid w:val="00D60EFF"/>
    <w:rsid w:val="00DB0FC4"/>
    <w:rsid w:val="00E81263"/>
    <w:rsid w:val="00F97A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1024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45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8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8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8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58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5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B0B7-5E4A-4977-A793-14CE6AD7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2018-01-12T15:35:23Z</dcterms:created>
  <dcterms:modified xsi:type="dcterms:W3CDTF">2018-01-12T15:35:23Z</dcterms:modified>
</cp:coreProperties>
</file>