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56828" w:rsidRPr="00D535AF" w:rsidP="007126AC" w14:paraId="12FDEBEF" w14:textId="38D338AF">
      <w:pPr>
        <w:tabs>
          <w:tab w:val="left" w:pos="3010"/>
          <w:tab w:val="right" w:pos="9360"/>
        </w:tabs>
        <w:spacing w:after="120"/>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sidRPr="00D535AF" w:rsidR="00004488">
        <w:rPr>
          <w:rFonts w:ascii="Times New Roman" w:hAnsi="Times New Roman" w:cs="Times New Roman"/>
          <w:b/>
        </w:rPr>
        <w:t>DA 18</w:t>
      </w:r>
      <w:r w:rsidR="004E7349">
        <w:rPr>
          <w:rFonts w:ascii="Times New Roman" w:hAnsi="Times New Roman" w:cs="Times New Roman"/>
          <w:b/>
        </w:rPr>
        <w:t>-414</w:t>
      </w:r>
    </w:p>
    <w:p w:rsidR="00584892" w:rsidRPr="00D535AF" w14:paraId="3250DC68" w14:textId="77777777">
      <w:pPr>
        <w:spacing w:after="120"/>
        <w:jc w:val="center"/>
        <w:rPr>
          <w:rFonts w:ascii="Times New Roman" w:hAnsi="Times New Roman" w:cs="Times New Roman"/>
          <w:sz w:val="32"/>
          <w:szCs w:val="32"/>
        </w:rPr>
      </w:pPr>
      <w:r w:rsidRPr="00D535AF">
        <w:rPr>
          <w:rFonts w:ascii="Times New Roman" w:hAnsi="Times New Roman" w:cs="Times New Roman"/>
          <w:sz w:val="32"/>
          <w:szCs w:val="32"/>
        </w:rPr>
        <w:t>Small Entity Compliance Guide</w:t>
      </w:r>
    </w:p>
    <w:p w:rsidR="008A6E16" w:rsidRPr="00D535AF" w:rsidP="00D535AF" w14:paraId="63245E8A" w14:textId="7D8169A3">
      <w:pPr>
        <w:tabs>
          <w:tab w:val="left" w:pos="7269"/>
        </w:tabs>
        <w:spacing w:after="120"/>
        <w:rPr>
          <w:rFonts w:ascii="Times New Roman" w:hAnsi="Times New Roman" w:cs="Times New Roman"/>
        </w:rPr>
      </w:pPr>
      <w:r w:rsidRPr="00D535AF">
        <w:rPr>
          <w:rFonts w:ascii="Times New Roman" w:hAnsi="Times New Roman" w:cs="Times New Roman"/>
        </w:rPr>
        <w:tab/>
      </w:r>
    </w:p>
    <w:p w:rsidR="00256073" w:rsidRPr="00D535AF" w:rsidP="005140E6" w14:paraId="054BCF65" w14:textId="77777777">
      <w:pPr>
        <w:spacing w:after="0"/>
        <w:jc w:val="center"/>
        <w:rPr>
          <w:rFonts w:ascii="Times New Roman" w:hAnsi="Times New Roman" w:cs="Times New Roman"/>
          <w:b/>
        </w:rPr>
      </w:pPr>
      <w:r w:rsidRPr="00D535AF">
        <w:rPr>
          <w:rFonts w:ascii="Times New Roman" w:hAnsi="Times New Roman" w:cs="Times New Roman"/>
          <w:b/>
        </w:rPr>
        <w:t>Amendment of Parts 1 and 22 of the Commission’s Rules with Regard to the Cellular Service,</w:t>
      </w:r>
    </w:p>
    <w:p w:rsidR="00256073" w:rsidRPr="00D535AF" w:rsidP="005140E6" w14:paraId="48600173" w14:textId="77777777">
      <w:pPr>
        <w:spacing w:after="0"/>
        <w:jc w:val="center"/>
        <w:rPr>
          <w:rFonts w:ascii="Times New Roman" w:hAnsi="Times New Roman" w:cs="Times New Roman"/>
          <w:b/>
        </w:rPr>
      </w:pPr>
      <w:r w:rsidRPr="00D535AF">
        <w:rPr>
          <w:rFonts w:ascii="Times New Roman" w:hAnsi="Times New Roman" w:cs="Times New Roman"/>
          <w:b/>
        </w:rPr>
        <w:t>Including Changes in Licensing of Unserved Area</w:t>
      </w:r>
      <w:r w:rsidRPr="00D535AF" w:rsidR="00122CA2">
        <w:rPr>
          <w:rFonts w:ascii="Times New Roman" w:hAnsi="Times New Roman" w:cs="Times New Roman"/>
          <w:b/>
        </w:rPr>
        <w:t>, et al.</w:t>
      </w:r>
    </w:p>
    <w:p w:rsidR="0051042C" w:rsidRPr="00D535AF" w:rsidP="005140E6" w14:paraId="2E4BCADE" w14:textId="77777777">
      <w:pPr>
        <w:spacing w:after="0"/>
        <w:jc w:val="center"/>
        <w:rPr>
          <w:rFonts w:ascii="Times New Roman" w:hAnsi="Times New Roman" w:cs="Times New Roman"/>
          <w:b/>
          <w:bCs/>
        </w:rPr>
      </w:pPr>
    </w:p>
    <w:p w:rsidR="00E56828" w:rsidRPr="00D535AF" w:rsidP="005140E6" w14:paraId="2624759E" w14:textId="19EB6890">
      <w:pPr>
        <w:spacing w:after="0"/>
        <w:jc w:val="center"/>
        <w:rPr>
          <w:rFonts w:ascii="Times New Roman" w:hAnsi="Times New Roman" w:cs="Times New Roman"/>
          <w:b/>
          <w:bCs/>
        </w:rPr>
      </w:pPr>
      <w:r w:rsidRPr="00D535AF">
        <w:rPr>
          <w:rFonts w:ascii="Times New Roman" w:hAnsi="Times New Roman" w:cs="Times New Roman"/>
          <w:b/>
          <w:bCs/>
        </w:rPr>
        <w:t>FCC 1</w:t>
      </w:r>
      <w:r w:rsidRPr="00D535AF" w:rsidR="00256073">
        <w:rPr>
          <w:rFonts w:ascii="Times New Roman" w:hAnsi="Times New Roman" w:cs="Times New Roman"/>
          <w:b/>
          <w:bCs/>
        </w:rPr>
        <w:t>7</w:t>
      </w:r>
      <w:r w:rsidRPr="00D535AF">
        <w:rPr>
          <w:rFonts w:ascii="Times New Roman" w:hAnsi="Times New Roman" w:cs="Times New Roman"/>
          <w:b/>
          <w:bCs/>
        </w:rPr>
        <w:t>-</w:t>
      </w:r>
      <w:r w:rsidRPr="00D535AF" w:rsidR="00256073">
        <w:rPr>
          <w:rFonts w:ascii="Times New Roman" w:hAnsi="Times New Roman" w:cs="Times New Roman"/>
          <w:b/>
          <w:bCs/>
        </w:rPr>
        <w:t>27</w:t>
      </w:r>
      <w:r w:rsidRPr="00D535AF" w:rsidR="008A6E16">
        <w:rPr>
          <w:rFonts w:ascii="Times New Roman" w:hAnsi="Times New Roman" w:cs="Times New Roman"/>
          <w:b/>
          <w:bCs/>
        </w:rPr>
        <w:t xml:space="preserve"> </w:t>
      </w:r>
    </w:p>
    <w:p w:rsidR="00584892" w:rsidRPr="00D535AF" w:rsidP="005140E6" w14:paraId="5FC0E3E5" w14:textId="7717116F">
      <w:pPr>
        <w:spacing w:after="0"/>
        <w:jc w:val="center"/>
        <w:rPr>
          <w:rFonts w:ascii="Times New Roman" w:hAnsi="Times New Roman" w:cs="Times New Roman"/>
          <w:b/>
          <w:spacing w:val="-2"/>
        </w:rPr>
      </w:pPr>
      <w:r w:rsidRPr="00D535AF">
        <w:rPr>
          <w:rFonts w:ascii="Times New Roman" w:hAnsi="Times New Roman" w:cs="Times New Roman"/>
          <w:b/>
          <w:spacing w:val="-2"/>
        </w:rPr>
        <w:t>WT</w:t>
      </w:r>
      <w:r w:rsidRPr="00D535AF">
        <w:rPr>
          <w:rFonts w:ascii="Times New Roman" w:hAnsi="Times New Roman" w:cs="Times New Roman"/>
          <w:b/>
          <w:spacing w:val="-2"/>
        </w:rPr>
        <w:t xml:space="preserve"> Docket No</w:t>
      </w:r>
      <w:r w:rsidRPr="00D535AF" w:rsidR="00122CA2">
        <w:rPr>
          <w:rFonts w:ascii="Times New Roman" w:hAnsi="Times New Roman" w:cs="Times New Roman"/>
          <w:b/>
          <w:spacing w:val="-2"/>
        </w:rPr>
        <w:t>s</w:t>
      </w:r>
      <w:r w:rsidRPr="00D535AF">
        <w:rPr>
          <w:rFonts w:ascii="Times New Roman" w:hAnsi="Times New Roman" w:cs="Times New Roman"/>
          <w:b/>
          <w:spacing w:val="-2"/>
        </w:rPr>
        <w:t>. 1</w:t>
      </w:r>
      <w:r w:rsidRPr="00D535AF" w:rsidR="00256073">
        <w:rPr>
          <w:rFonts w:ascii="Times New Roman" w:hAnsi="Times New Roman" w:cs="Times New Roman"/>
          <w:b/>
          <w:spacing w:val="-2"/>
        </w:rPr>
        <w:t>2</w:t>
      </w:r>
      <w:r w:rsidRPr="00D535AF">
        <w:rPr>
          <w:rFonts w:ascii="Times New Roman" w:hAnsi="Times New Roman" w:cs="Times New Roman"/>
          <w:b/>
          <w:spacing w:val="-2"/>
        </w:rPr>
        <w:t>-</w:t>
      </w:r>
      <w:r w:rsidRPr="00D535AF" w:rsidR="00256073">
        <w:rPr>
          <w:rFonts w:ascii="Times New Roman" w:hAnsi="Times New Roman" w:cs="Times New Roman"/>
          <w:b/>
          <w:spacing w:val="-2"/>
        </w:rPr>
        <w:t>40</w:t>
      </w:r>
      <w:r w:rsidRPr="00D535AF" w:rsidR="00D13B19">
        <w:rPr>
          <w:rFonts w:ascii="Times New Roman" w:hAnsi="Times New Roman" w:cs="Times New Roman"/>
          <w:b/>
          <w:spacing w:val="-2"/>
        </w:rPr>
        <w:t xml:space="preserve">, </w:t>
      </w:r>
      <w:r w:rsidRPr="00D535AF" w:rsidR="00122CA2">
        <w:rPr>
          <w:rFonts w:ascii="Times New Roman" w:hAnsi="Times New Roman" w:cs="Times New Roman"/>
          <w:b/>
          <w:spacing w:val="-2"/>
        </w:rPr>
        <w:t>10-112</w:t>
      </w:r>
      <w:r w:rsidRPr="00D535AF" w:rsidR="00D13B19">
        <w:rPr>
          <w:rFonts w:ascii="Times New Roman" w:hAnsi="Times New Roman" w:cs="Times New Roman"/>
          <w:b/>
          <w:spacing w:val="-2"/>
        </w:rPr>
        <w:t xml:space="preserve"> and 16-138</w:t>
      </w:r>
    </w:p>
    <w:p w:rsidR="00D13B19" w:rsidRPr="00D535AF" w:rsidP="007126AC" w14:paraId="7AD07C34" w14:textId="545C68A3">
      <w:pPr>
        <w:spacing w:after="120"/>
        <w:jc w:val="center"/>
        <w:rPr>
          <w:rFonts w:ascii="Times New Roman" w:hAnsi="Times New Roman" w:cs="Times New Roman"/>
          <w:b/>
          <w:spacing w:val="-2"/>
        </w:rPr>
      </w:pPr>
      <w:r w:rsidRPr="00D535AF">
        <w:rPr>
          <w:rFonts w:ascii="Times New Roman" w:hAnsi="Times New Roman" w:cs="Times New Roman"/>
          <w:b/>
          <w:spacing w:val="-2"/>
        </w:rPr>
        <w:t>RM Nos. 11510 and 11660</w:t>
      </w:r>
    </w:p>
    <w:p w:rsidR="00584892" w:rsidRPr="00D535AF" w:rsidP="007126AC" w14:paraId="05F3BC8F" w14:textId="65330677">
      <w:pPr>
        <w:spacing w:after="120"/>
        <w:jc w:val="center"/>
        <w:rPr>
          <w:rFonts w:ascii="Times New Roman" w:hAnsi="Times New Roman" w:cs="Times New Roman"/>
          <w:b/>
        </w:rPr>
      </w:pPr>
      <w:r w:rsidRPr="00D535AF">
        <w:rPr>
          <w:rFonts w:ascii="Times New Roman" w:hAnsi="Times New Roman" w:cs="Times New Roman"/>
          <w:b/>
        </w:rPr>
        <w:t>Released March 24</w:t>
      </w:r>
      <w:r w:rsidRPr="00D535AF" w:rsidR="00E56828">
        <w:rPr>
          <w:rFonts w:ascii="Times New Roman" w:hAnsi="Times New Roman" w:cs="Times New Roman"/>
          <w:b/>
        </w:rPr>
        <w:t>, 2017</w:t>
      </w:r>
    </w:p>
    <w:p w:rsidR="00584892" w:rsidRPr="00D535AF" w:rsidP="007126AC" w14:paraId="6A151A73" w14:textId="09307227">
      <w:pPr>
        <w:tabs>
          <w:tab w:val="left" w:pos="360"/>
        </w:tabs>
        <w:spacing w:after="120"/>
        <w:ind w:left="540" w:right="270"/>
        <w:jc w:val="both"/>
        <w:rPr>
          <w:rFonts w:ascii="Times New Roman" w:hAnsi="Times New Roman" w:cs="Times New Roman"/>
          <w:b/>
        </w:rPr>
      </w:pPr>
      <w:r w:rsidRPr="00D535AF">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D535AF" w:rsidR="00D90F78">
        <w:rPr>
          <w:rFonts w:ascii="Times New Roman" w:hAnsi="Times New Roman" w:cs="Times New Roman"/>
          <w:b/>
        </w:rPr>
        <w:t xml:space="preserve">revised </w:t>
      </w:r>
      <w:r w:rsidRPr="00D535AF">
        <w:rPr>
          <w:rFonts w:ascii="Times New Roman" w:hAnsi="Times New Roman" w:cs="Times New Roman"/>
          <w:b/>
        </w:rPr>
        <w:t xml:space="preserve">rules adopted in the above-referenced </w:t>
      </w:r>
      <w:r w:rsidRPr="00D535AF" w:rsidR="00D90F78">
        <w:rPr>
          <w:rFonts w:ascii="Times New Roman" w:hAnsi="Times New Roman" w:cs="Times New Roman"/>
          <w:b/>
        </w:rPr>
        <w:t xml:space="preserve">Federal Communications Commission (FCC or Commission) </w:t>
      </w:r>
      <w:r w:rsidRPr="00D535AF">
        <w:rPr>
          <w:rFonts w:ascii="Times New Roman" w:hAnsi="Times New Roman" w:cs="Times New Roman"/>
          <w:b/>
        </w:rPr>
        <w:t xml:space="preserve">rulemaking docket(s).  This Guide is not intended to replace </w:t>
      </w:r>
      <w:r w:rsidRPr="00D535AF" w:rsidR="00D90F78">
        <w:rPr>
          <w:rFonts w:ascii="Times New Roman" w:hAnsi="Times New Roman" w:cs="Times New Roman"/>
          <w:b/>
        </w:rPr>
        <w:t xml:space="preserve">or supersede these </w:t>
      </w:r>
      <w:r w:rsidRPr="00D535AF">
        <w:rPr>
          <w:rFonts w:ascii="Times New Roman" w:hAnsi="Times New Roman" w:cs="Times New Roman"/>
          <w:b/>
        </w:rPr>
        <w:t xml:space="preserve">rules, </w:t>
      </w:r>
      <w:r w:rsidRPr="00D535AF" w:rsidR="00D90F78">
        <w:rPr>
          <w:rFonts w:ascii="Times New Roman" w:hAnsi="Times New Roman" w:cs="Times New Roman"/>
          <w:b/>
        </w:rPr>
        <w:t xml:space="preserve">but to facilitate compliance </w:t>
      </w:r>
      <w:r w:rsidRPr="00D535AF">
        <w:rPr>
          <w:rFonts w:ascii="Times New Roman" w:hAnsi="Times New Roman" w:cs="Times New Roman"/>
          <w:b/>
        </w:rPr>
        <w:t xml:space="preserve">with the rules.  Although we have attempted to cover all parts of the rules that might be especially important to small entities, the coverage may not be exhaustive.  This Guide </w:t>
      </w:r>
      <w:r w:rsidRPr="00D535AF" w:rsidR="00D90F78">
        <w:rPr>
          <w:rFonts w:ascii="Times New Roman" w:hAnsi="Times New Roman" w:cs="Times New Roman"/>
          <w:b/>
        </w:rPr>
        <w:t>cannot anticipate all situations in which the rules apply.</w:t>
      </w:r>
      <w:r w:rsidRPr="00D535AF" w:rsidR="00917217">
        <w:rPr>
          <w:rFonts w:ascii="Times New Roman" w:hAnsi="Times New Roman" w:cs="Times New Roman"/>
          <w:b/>
        </w:rPr>
        <w:t xml:space="preserve"> </w:t>
      </w:r>
      <w:r w:rsidRPr="00D535AF" w:rsidR="00D90F78">
        <w:rPr>
          <w:rFonts w:ascii="Times New Roman" w:hAnsi="Times New Roman" w:cs="Times New Roman"/>
          <w:b/>
        </w:rPr>
        <w:t xml:space="preserve"> Furthermore, </w:t>
      </w:r>
      <w:r w:rsidRPr="00D535AF">
        <w:rPr>
          <w:rFonts w:ascii="Times New Roman" w:hAnsi="Times New Roman" w:cs="Times New Roman"/>
          <w:b/>
        </w:rPr>
        <w:t xml:space="preserve">the </w:t>
      </w:r>
      <w:r w:rsidRPr="00D535AF" w:rsidR="00D90F78">
        <w:rPr>
          <w:rFonts w:ascii="Times New Roman" w:hAnsi="Times New Roman" w:cs="Times New Roman"/>
          <w:b/>
        </w:rPr>
        <w:t xml:space="preserve">Commission </w:t>
      </w:r>
      <w:r w:rsidRPr="00D535AF">
        <w:rPr>
          <w:rFonts w:ascii="Times New Roman" w:hAnsi="Times New Roman" w:cs="Times New Roman"/>
          <w:b/>
        </w:rPr>
        <w:t xml:space="preserve">retains the discretion to adopt case-by-case </w:t>
      </w:r>
      <w:r w:rsidRPr="00D535AF" w:rsidR="00D90F78">
        <w:rPr>
          <w:rFonts w:ascii="Times New Roman" w:hAnsi="Times New Roman" w:cs="Times New Roman"/>
          <w:b/>
        </w:rPr>
        <w:t>approaches</w:t>
      </w:r>
      <w:r w:rsidRPr="00D535AF" w:rsidR="00917217">
        <w:rPr>
          <w:rFonts w:ascii="Times New Roman" w:hAnsi="Times New Roman" w:cs="Times New Roman"/>
          <w:b/>
        </w:rPr>
        <w:t>,</w:t>
      </w:r>
      <w:r w:rsidRPr="00D535AF" w:rsidR="00D90F78">
        <w:rPr>
          <w:rFonts w:ascii="Times New Roman" w:hAnsi="Times New Roman" w:cs="Times New Roman"/>
          <w:b/>
        </w:rPr>
        <w:t xml:space="preserve"> where appropriate, </w:t>
      </w:r>
      <w:r w:rsidRPr="00D535AF">
        <w:rPr>
          <w:rFonts w:ascii="Times New Roman" w:hAnsi="Times New Roman" w:cs="Times New Roman"/>
          <w:b/>
        </w:rPr>
        <w:t>that may differ from this Guide.  Any decision regarding a particular small entity will be based on the statute and</w:t>
      </w:r>
      <w:r w:rsidRPr="00D535AF" w:rsidR="00D90F78">
        <w:rPr>
          <w:rFonts w:ascii="Times New Roman" w:hAnsi="Times New Roman" w:cs="Times New Roman"/>
          <w:b/>
        </w:rPr>
        <w:t xml:space="preserve"> any relevant rules</w:t>
      </w:r>
      <w:r w:rsidRPr="00D535AF">
        <w:rPr>
          <w:rFonts w:ascii="Times New Roman" w:hAnsi="Times New Roman" w:cs="Times New Roman"/>
          <w:b/>
        </w:rPr>
        <w:t xml:space="preserve">. </w:t>
      </w:r>
    </w:p>
    <w:p w:rsidR="00584892" w:rsidRPr="00D535AF" w:rsidP="00FF73EA" w14:paraId="31D97FBA" w14:textId="35F79278">
      <w:pPr>
        <w:tabs>
          <w:tab w:val="left" w:pos="360"/>
        </w:tabs>
        <w:ind w:left="540" w:right="270"/>
        <w:jc w:val="both"/>
        <w:rPr>
          <w:rFonts w:ascii="Times New Roman" w:hAnsi="Times New Roman" w:cs="Times New Roman"/>
          <w:b/>
        </w:rPr>
      </w:pPr>
      <w:r w:rsidRPr="00D535A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D535AF" w:rsidR="00FF73EA">
        <w:rPr>
          <w:rFonts w:ascii="Times New Roman" w:hAnsi="Times New Roman" w:cs="Times New Roman"/>
          <w:b/>
        </w:rPr>
        <w:t xml:space="preserve">. </w:t>
      </w:r>
      <w:r w:rsidRPr="00D535AF">
        <w:rPr>
          <w:rFonts w:ascii="Times New Roman" w:hAnsi="Times New Roman" w:cs="Times New Roman"/>
          <w:b/>
        </w:rPr>
        <w:t xml:space="preserve"> </w:t>
      </w:r>
      <w:r w:rsidRPr="00D535AF" w:rsidR="00FF73EA">
        <w:rPr>
          <w:rFonts w:ascii="Times New Roman" w:hAnsi="Times New Roman" w:cs="Times New Roman"/>
          <w:b/>
        </w:rPr>
        <w:t>T</w:t>
      </w:r>
      <w:r w:rsidRPr="00D535AF">
        <w:rPr>
          <w:rFonts w:ascii="Times New Roman" w:hAnsi="Times New Roman" w:cs="Times New Roman"/>
          <w:b/>
        </w:rPr>
        <w:t xml:space="preserve">he FCC will </w:t>
      </w:r>
      <w:r w:rsidRPr="00D535AF" w:rsidR="00FF73EA">
        <w:rPr>
          <w:rFonts w:ascii="Times New Roman" w:hAnsi="Times New Roman" w:cs="Times New Roman"/>
          <w:b/>
        </w:rPr>
        <w:t xml:space="preserve">then </w:t>
      </w:r>
      <w:r w:rsidRPr="00D535A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D535AF" w:rsidR="00FF73EA">
        <w:rPr>
          <w:rFonts w:ascii="Times New Roman" w:hAnsi="Times New Roman" w:cs="Times New Roman"/>
          <w:b/>
        </w:rPr>
        <w:t xml:space="preserve">it may </w:t>
      </w:r>
      <w:r w:rsidRPr="00D535AF">
        <w:rPr>
          <w:rFonts w:ascii="Times New Roman" w:hAnsi="Times New Roman" w:cs="Times New Roman"/>
          <w:b/>
        </w:rPr>
        <w:t>clarify or update the text of the Guide.  Direct your comments and recommendations, or calls for further assistance, to the FCC’s Consumer Center:</w:t>
      </w:r>
    </w:p>
    <w:p w:rsidR="004F4A40" w:rsidP="004F4A40" w14:paraId="1C671725" w14:textId="77777777">
      <w:pPr>
        <w:ind w:left="547" w:right="274"/>
        <w:contextualSpacing/>
        <w:jc w:val="center"/>
        <w:rPr>
          <w:rFonts w:ascii="Times New Roman" w:hAnsi="Times New Roman" w:cs="Times New Roman"/>
          <w:b/>
          <w:color w:val="000000"/>
        </w:rPr>
      </w:pPr>
      <w:r w:rsidRPr="00D535AF">
        <w:rPr>
          <w:rFonts w:ascii="Times New Roman" w:hAnsi="Times New Roman" w:cs="Times New Roman"/>
          <w:b/>
          <w:color w:val="000000"/>
        </w:rPr>
        <w:t>1-888-CALL-</w:t>
      </w:r>
      <w:r w:rsidRPr="00D535AF" w:rsidR="001C40D7">
        <w:rPr>
          <w:rFonts w:ascii="Times New Roman" w:hAnsi="Times New Roman" w:cs="Times New Roman"/>
          <w:b/>
          <w:color w:val="000000"/>
        </w:rPr>
        <w:t>FCC (</w:t>
      </w:r>
      <w:r w:rsidRPr="00D535AF">
        <w:rPr>
          <w:rFonts w:ascii="Times New Roman" w:hAnsi="Times New Roman" w:cs="Times New Roman"/>
          <w:b/>
          <w:color w:val="000000"/>
        </w:rPr>
        <w:t>1-888-225-5322) </w:t>
      </w:r>
      <w:r w:rsidRPr="00D535AF">
        <w:rPr>
          <w:rFonts w:ascii="Times New Roman" w:hAnsi="Times New Roman" w:cs="Times New Roman"/>
          <w:b/>
          <w:color w:val="000000"/>
        </w:rPr>
        <w:br/>
        <w:t>TTY: 1-888-TELL-FCC</w:t>
      </w:r>
      <w:r w:rsidRPr="00D535AF" w:rsidR="006F6BF7">
        <w:rPr>
          <w:rFonts w:ascii="Times New Roman" w:hAnsi="Times New Roman" w:cs="Times New Roman"/>
          <w:b/>
          <w:color w:val="000000"/>
        </w:rPr>
        <w:t> (</w:t>
      </w:r>
      <w:r w:rsidRPr="00D535AF">
        <w:rPr>
          <w:rFonts w:ascii="Times New Roman" w:hAnsi="Times New Roman" w:cs="Times New Roman"/>
          <w:b/>
          <w:color w:val="000000"/>
        </w:rPr>
        <w:t>1-888-835-5322)</w:t>
      </w:r>
    </w:p>
    <w:p w:rsidR="00584892" w:rsidRPr="00D535AF" w:rsidP="004F4A40" w14:paraId="786A61E7" w14:textId="39EFA023">
      <w:pPr>
        <w:ind w:left="547" w:right="274"/>
        <w:contextualSpacing/>
        <w:jc w:val="center"/>
        <w:rPr>
          <w:rFonts w:ascii="Times New Roman" w:hAnsi="Times New Roman" w:cs="Times New Roman"/>
          <w:b/>
          <w:color w:val="000000"/>
        </w:rPr>
      </w:pPr>
      <w:r w:rsidRPr="00D535AF">
        <w:rPr>
          <w:rFonts w:ascii="Times New Roman" w:hAnsi="Times New Roman" w:cs="Times New Roman"/>
          <w:b/>
        </w:rPr>
        <w:t>Videophone: 1-844-4-FCC-ASL (1-844-432-2275)</w:t>
      </w:r>
      <w:r w:rsidRPr="00D535AF">
        <w:rPr>
          <w:rFonts w:ascii="Times New Roman" w:hAnsi="Times New Roman" w:cs="Times New Roman"/>
          <w:b/>
          <w:color w:val="000000"/>
        </w:rPr>
        <w:t> </w:t>
      </w:r>
      <w:r w:rsidRPr="00D535AF">
        <w:rPr>
          <w:rFonts w:ascii="Times New Roman" w:hAnsi="Times New Roman" w:cs="Times New Roman"/>
          <w:b/>
          <w:color w:val="000000"/>
        </w:rPr>
        <w:br/>
        <w:t xml:space="preserve">Fax: </w:t>
      </w:r>
      <w:r w:rsidRPr="00D535AF" w:rsidR="00E56828">
        <w:rPr>
          <w:rFonts w:ascii="Times New Roman" w:hAnsi="Times New Roman" w:cs="Times New Roman"/>
          <w:b/>
          <w:color w:val="000000"/>
        </w:rPr>
        <w:t>1-866-</w:t>
      </w:r>
      <w:r w:rsidRPr="00D535AF">
        <w:rPr>
          <w:rFonts w:ascii="Times New Roman" w:hAnsi="Times New Roman" w:cs="Times New Roman"/>
          <w:b/>
          <w:color w:val="000000"/>
        </w:rPr>
        <w:t>-418-0232</w:t>
      </w:r>
    </w:p>
    <w:p w:rsidR="00C35DFF" w:rsidRPr="00D535AF" w:rsidP="00180ED5" w14:paraId="17A25E6C" w14:textId="16AF4E50">
      <w:pPr>
        <w:pStyle w:val="TOCTitle"/>
        <w:rPr>
          <w:rFonts w:ascii="Times New Roman" w:hAnsi="Times New Roman" w:cs="Times New Roman"/>
        </w:rPr>
      </w:pPr>
      <w:bookmarkStart w:id="1" w:name="TOChere"/>
      <w:r w:rsidRPr="00D535AF">
        <w:rPr>
          <w:rFonts w:ascii="Times New Roman" w:hAnsi="Times New Roman" w:cs="Times New Roman"/>
        </w:rPr>
        <w:t>Table of Contents</w:t>
      </w:r>
    </w:p>
    <w:p w:rsidR="00180ED5" w:rsidRPr="00D535AF" w:rsidP="00180ED5" w14:paraId="5E5C03D7" w14:textId="197FC083">
      <w:pPr>
        <w:pStyle w:val="Paratitle"/>
        <w:rPr>
          <w:rFonts w:ascii="Times New Roman" w:hAnsi="Times New Roman" w:cs="Times New Roman"/>
        </w:rPr>
      </w:pPr>
      <w:r w:rsidRPr="00D535AF">
        <w:rPr>
          <w:rFonts w:ascii="Times New Roman" w:hAnsi="Times New Roman" w:cs="Times New Roman"/>
        </w:rPr>
        <w:tab/>
      </w:r>
      <w:bookmarkStart w:id="2" w:name="start_here"/>
      <w:bookmarkEnd w:id="2"/>
    </w:p>
    <w:p w:rsidR="00180ED5" w:rsidRPr="00D535AF" w:rsidP="00180ED5" w14:paraId="5C03A81F" w14:textId="55092733">
      <w:pPr>
        <w:pStyle w:val="TOC1"/>
        <w:rPr>
          <w:rFonts w:ascii="Times New Roman" w:hAnsi="Times New Roman" w:eastAsiaTheme="minorEastAsia" w:cs="Times New Roman"/>
          <w:caps w:val="0"/>
        </w:rPr>
      </w:pPr>
      <w:r w:rsidRPr="00D535AF">
        <w:rPr>
          <w:rFonts w:ascii="Times New Roman" w:hAnsi="Times New Roman" w:cs="Times New Roman"/>
        </w:rPr>
        <w:t>I.</w:t>
      </w:r>
      <w:r w:rsidRPr="00D535AF">
        <w:rPr>
          <w:rFonts w:ascii="Times New Roman" w:hAnsi="Times New Roman" w:eastAsiaTheme="minorEastAsia" w:cs="Times New Roman"/>
          <w:caps w:val="0"/>
        </w:rPr>
        <w:tab/>
      </w:r>
      <w:r w:rsidRPr="00D535AF">
        <w:rPr>
          <w:rFonts w:ascii="Times New Roman" w:hAnsi="Times New Roman" w:cs="Times New Roman"/>
        </w:rPr>
        <w:t>Objectives of the Proceeding</w:t>
      </w:r>
      <w:r w:rsidRPr="00D535AF">
        <w:rPr>
          <w:rFonts w:ascii="Times New Roman" w:hAnsi="Times New Roman" w:cs="Times New Roman"/>
        </w:rPr>
        <w:tab/>
      </w:r>
      <w:r w:rsidRPr="00D535AF" w:rsidR="00FF73EA">
        <w:rPr>
          <w:rFonts w:ascii="Times New Roman" w:hAnsi="Times New Roman" w:cs="Times New Roman"/>
        </w:rPr>
        <w:t>1</w:t>
      </w:r>
    </w:p>
    <w:p w:rsidR="00180ED5" w:rsidRPr="00D535AF" w:rsidP="00180ED5" w14:paraId="135597F6" w14:textId="5B319F8D">
      <w:pPr>
        <w:pStyle w:val="TOC1"/>
        <w:rPr>
          <w:rFonts w:ascii="Times New Roman" w:hAnsi="Times New Roman" w:eastAsiaTheme="minorEastAsia" w:cs="Times New Roman"/>
          <w:caps w:val="0"/>
        </w:rPr>
      </w:pPr>
      <w:r w:rsidRPr="00D535AF">
        <w:rPr>
          <w:rFonts w:ascii="Times New Roman" w:hAnsi="Times New Roman" w:cs="Times New Roman"/>
        </w:rPr>
        <w:t>II.</w:t>
      </w:r>
      <w:r w:rsidRPr="00D535AF">
        <w:rPr>
          <w:rFonts w:ascii="Times New Roman" w:hAnsi="Times New Roman" w:eastAsiaTheme="minorEastAsia" w:cs="Times New Roman"/>
          <w:caps w:val="0"/>
        </w:rPr>
        <w:tab/>
      </w:r>
      <w:r w:rsidRPr="00D535AF">
        <w:rPr>
          <w:rFonts w:ascii="Times New Roman" w:hAnsi="Times New Roman" w:cs="Times New Roman"/>
        </w:rPr>
        <w:t>compliance requirements</w:t>
      </w:r>
      <w:r w:rsidRPr="00D535AF">
        <w:rPr>
          <w:rFonts w:ascii="Times New Roman" w:hAnsi="Times New Roman" w:cs="Times New Roman"/>
        </w:rPr>
        <w:tab/>
      </w:r>
      <w:r w:rsidRPr="00D535AF" w:rsidR="00FF73EA">
        <w:rPr>
          <w:rFonts w:ascii="Times New Roman" w:hAnsi="Times New Roman" w:cs="Times New Roman"/>
        </w:rPr>
        <w:t>1</w:t>
      </w:r>
    </w:p>
    <w:p w:rsidR="00180ED5" w:rsidRPr="00D535AF" w:rsidP="00180ED5" w14:paraId="55B38505" w14:textId="19C2BDC4">
      <w:pPr>
        <w:pStyle w:val="TOC2"/>
        <w:tabs>
          <w:tab w:val="left" w:pos="360"/>
        </w:tabs>
        <w:rPr>
          <w:rFonts w:ascii="Times New Roman" w:hAnsi="Times New Roman" w:eastAsiaTheme="minorEastAsia" w:cs="Times New Roman"/>
        </w:rPr>
      </w:pPr>
      <w:r w:rsidRPr="00D535AF">
        <w:rPr>
          <w:rFonts w:ascii="Times New Roman" w:hAnsi="Times New Roman" w:cs="Times New Roman"/>
        </w:rPr>
        <w:t>A.</w:t>
      </w:r>
      <w:r w:rsidRPr="00D535AF">
        <w:rPr>
          <w:rFonts w:ascii="Times New Roman" w:hAnsi="Times New Roman" w:eastAsiaTheme="minorEastAsia" w:cs="Times New Roman"/>
        </w:rPr>
        <w:tab/>
      </w:r>
      <w:r w:rsidRPr="00D535AF">
        <w:rPr>
          <w:rFonts w:ascii="Times New Roman" w:hAnsi="Times New Roman" w:cs="Times New Roman"/>
        </w:rPr>
        <w:t>Revised Power and Power Measurement Rules (47 CFR § 22.913; 47 CFR § 22.99)</w:t>
      </w:r>
      <w:r w:rsidRPr="00D535AF">
        <w:rPr>
          <w:rFonts w:ascii="Times New Roman" w:hAnsi="Times New Roman" w:cs="Times New Roman"/>
        </w:rPr>
        <w:tab/>
      </w:r>
      <w:r w:rsidRPr="00D535AF" w:rsidR="00FF73EA">
        <w:rPr>
          <w:rFonts w:ascii="Times New Roman" w:hAnsi="Times New Roman" w:cs="Times New Roman"/>
        </w:rPr>
        <w:t>2</w:t>
      </w:r>
    </w:p>
    <w:p w:rsidR="00180ED5" w:rsidRPr="00D535AF" w:rsidP="00180ED5" w14:paraId="6302E3AF" w14:textId="5EF6BE00">
      <w:pPr>
        <w:pStyle w:val="TOC2"/>
        <w:tabs>
          <w:tab w:val="left" w:pos="360"/>
        </w:tabs>
        <w:rPr>
          <w:rFonts w:ascii="Times New Roman" w:hAnsi="Times New Roman" w:eastAsiaTheme="minorEastAsia" w:cs="Times New Roman"/>
        </w:rPr>
      </w:pPr>
      <w:r w:rsidRPr="00D535AF">
        <w:rPr>
          <w:rFonts w:ascii="Times New Roman" w:hAnsi="Times New Roman" w:cs="Times New Roman"/>
        </w:rPr>
        <w:t>B.</w:t>
      </w:r>
      <w:r w:rsidRPr="00D535AF">
        <w:rPr>
          <w:rFonts w:ascii="Times New Roman" w:hAnsi="Times New Roman" w:eastAsiaTheme="minorEastAsia" w:cs="Times New Roman"/>
        </w:rPr>
        <w:tab/>
      </w:r>
      <w:r w:rsidRPr="00D535AF">
        <w:rPr>
          <w:rFonts w:ascii="Times New Roman" w:hAnsi="Times New Roman" w:cs="Times New Roman"/>
        </w:rPr>
        <w:t>Interference Resolution Process (47 CFR §§ 22.970-22.973); Public Forum to Facilitate Multi-stakeholder Co-existence</w:t>
      </w:r>
      <w:r w:rsidRPr="00D535AF">
        <w:rPr>
          <w:rFonts w:ascii="Times New Roman" w:hAnsi="Times New Roman" w:cs="Times New Roman"/>
        </w:rPr>
        <w:tab/>
      </w:r>
      <w:r w:rsidRPr="00D535AF" w:rsidR="00FF73EA">
        <w:rPr>
          <w:rFonts w:ascii="Times New Roman" w:hAnsi="Times New Roman" w:cs="Times New Roman"/>
        </w:rPr>
        <w:t>5</w:t>
      </w:r>
    </w:p>
    <w:p w:rsidR="00180ED5" w:rsidRPr="00D535AF" w:rsidP="00180ED5" w14:paraId="00E5ACBC" w14:textId="3AE3EFE0">
      <w:pPr>
        <w:pStyle w:val="TOC2"/>
        <w:tabs>
          <w:tab w:val="left" w:pos="360"/>
        </w:tabs>
        <w:rPr>
          <w:rFonts w:ascii="Times New Roman" w:hAnsi="Times New Roman" w:eastAsiaTheme="minorEastAsia" w:cs="Times New Roman"/>
        </w:rPr>
      </w:pPr>
      <w:r w:rsidRPr="00D535AF">
        <w:rPr>
          <w:rFonts w:ascii="Times New Roman" w:hAnsi="Times New Roman" w:cs="Times New Roman"/>
        </w:rPr>
        <w:t>C.</w:t>
      </w:r>
      <w:r w:rsidRPr="00D535AF">
        <w:rPr>
          <w:rFonts w:ascii="Times New Roman" w:hAnsi="Times New Roman" w:eastAsiaTheme="minorEastAsia" w:cs="Times New Roman"/>
        </w:rPr>
        <w:tab/>
      </w:r>
      <w:r w:rsidRPr="00D535AF">
        <w:rPr>
          <w:rFonts w:ascii="Times New Roman" w:hAnsi="Times New Roman" w:cs="Times New Roman"/>
        </w:rPr>
        <w:t>Revised Methodology to Calculate SABs and CGSAs; Deletion of Outdated References (47 CFR § 22.911)</w:t>
      </w:r>
      <w:r w:rsidRPr="00D535AF">
        <w:rPr>
          <w:rFonts w:ascii="Times New Roman" w:hAnsi="Times New Roman" w:cs="Times New Roman"/>
        </w:rPr>
        <w:tab/>
      </w:r>
      <w:r w:rsidRPr="00D535AF" w:rsidR="00FF73EA">
        <w:rPr>
          <w:rFonts w:ascii="Times New Roman" w:hAnsi="Times New Roman" w:cs="Times New Roman"/>
        </w:rPr>
        <w:t>6</w:t>
      </w:r>
    </w:p>
    <w:p w:rsidR="00180ED5" w:rsidRPr="00D535AF" w:rsidP="00180ED5" w14:paraId="06205AF4" w14:textId="5576311A">
      <w:pPr>
        <w:pStyle w:val="TOC2"/>
        <w:tabs>
          <w:tab w:val="left" w:pos="360"/>
        </w:tabs>
        <w:rPr>
          <w:rFonts w:ascii="Times New Roman" w:hAnsi="Times New Roman" w:eastAsiaTheme="minorEastAsia" w:cs="Times New Roman"/>
        </w:rPr>
      </w:pPr>
      <w:r w:rsidRPr="00D535AF">
        <w:rPr>
          <w:rFonts w:ascii="Times New Roman" w:hAnsi="Times New Roman" w:cs="Times New Roman"/>
        </w:rPr>
        <w:t>D.</w:t>
      </w:r>
      <w:r w:rsidRPr="00D535AF">
        <w:rPr>
          <w:rFonts w:ascii="Times New Roman" w:hAnsi="Times New Roman" w:eastAsiaTheme="minorEastAsia" w:cs="Times New Roman"/>
        </w:rPr>
        <w:tab/>
      </w:r>
      <w:r w:rsidRPr="00D535AF">
        <w:rPr>
          <w:rFonts w:ascii="Times New Roman" w:hAnsi="Times New Roman" w:cs="Times New Roman"/>
        </w:rPr>
        <w:t>Permanent Discontinuance of Operations (47 CFR § 22.947)</w:t>
      </w:r>
      <w:r w:rsidRPr="00D535AF">
        <w:rPr>
          <w:rFonts w:ascii="Times New Roman" w:hAnsi="Times New Roman" w:cs="Times New Roman"/>
        </w:rPr>
        <w:tab/>
      </w:r>
      <w:r w:rsidRPr="00D535AF" w:rsidR="00FF73EA">
        <w:rPr>
          <w:rFonts w:ascii="Times New Roman" w:hAnsi="Times New Roman" w:cs="Times New Roman"/>
        </w:rPr>
        <w:t>7</w:t>
      </w:r>
    </w:p>
    <w:p w:rsidR="00180ED5" w:rsidRPr="00D535AF" w:rsidP="00180ED5" w14:paraId="224DEE07" w14:textId="32468C49">
      <w:pPr>
        <w:pStyle w:val="TOC2"/>
        <w:tabs>
          <w:tab w:val="left" w:pos="360"/>
        </w:tabs>
        <w:rPr>
          <w:rFonts w:ascii="Times New Roman" w:hAnsi="Times New Roman" w:eastAsiaTheme="minorEastAsia" w:cs="Times New Roman"/>
        </w:rPr>
      </w:pPr>
      <w:r w:rsidRPr="00D535AF">
        <w:rPr>
          <w:rFonts w:ascii="Times New Roman" w:hAnsi="Times New Roman" w:cs="Times New Roman"/>
        </w:rPr>
        <w:t>E.</w:t>
      </w:r>
      <w:r w:rsidRPr="00D535AF">
        <w:rPr>
          <w:rFonts w:ascii="Times New Roman" w:hAnsi="Times New Roman" w:eastAsiaTheme="minorEastAsia" w:cs="Times New Roman"/>
        </w:rPr>
        <w:tab/>
      </w:r>
      <w:r w:rsidRPr="00D535AF">
        <w:rPr>
          <w:rFonts w:ascii="Times New Roman" w:hAnsi="Times New Roman" w:cs="Times New Roman"/>
        </w:rPr>
        <w:t>Filings for Certain Minor Modifications (47 CFR § 22.953(c))</w:t>
      </w:r>
      <w:r w:rsidRPr="00D535AF">
        <w:rPr>
          <w:rFonts w:ascii="Times New Roman" w:hAnsi="Times New Roman" w:cs="Times New Roman"/>
        </w:rPr>
        <w:tab/>
      </w:r>
      <w:r w:rsidRPr="00D535AF" w:rsidR="00FF73EA">
        <w:rPr>
          <w:rFonts w:ascii="Times New Roman" w:hAnsi="Times New Roman" w:cs="Times New Roman"/>
        </w:rPr>
        <w:t>8</w:t>
      </w:r>
    </w:p>
    <w:p w:rsidR="00180ED5" w:rsidRPr="00D535AF" w:rsidP="00180ED5" w14:paraId="22B14809" w14:textId="15C72C4F">
      <w:pPr>
        <w:pStyle w:val="TOC2"/>
        <w:tabs>
          <w:tab w:val="left" w:pos="360"/>
        </w:tabs>
        <w:rPr>
          <w:rFonts w:ascii="Times New Roman" w:hAnsi="Times New Roman" w:eastAsiaTheme="minorEastAsia" w:cs="Times New Roman"/>
        </w:rPr>
      </w:pPr>
      <w:r w:rsidRPr="00D535AF">
        <w:rPr>
          <w:rFonts w:ascii="Times New Roman" w:hAnsi="Times New Roman" w:cs="Times New Roman"/>
        </w:rPr>
        <w:t>F.</w:t>
      </w:r>
      <w:r w:rsidRPr="00D535AF">
        <w:rPr>
          <w:rFonts w:ascii="Times New Roman" w:hAnsi="Times New Roman" w:eastAsiaTheme="minorEastAsia" w:cs="Times New Roman"/>
        </w:rPr>
        <w:tab/>
      </w:r>
      <w:r w:rsidRPr="00D535AF">
        <w:rPr>
          <w:rFonts w:ascii="Times New Roman" w:hAnsi="Times New Roman" w:cs="Times New Roman"/>
        </w:rPr>
        <w:t>Deletion of Cellular Service Comparative Renewal Rules (47 CFR §§ 22.935, 22.936, 22.939, 22.940, and 22.943)</w:t>
      </w:r>
      <w:r w:rsidRPr="00D535AF">
        <w:rPr>
          <w:rFonts w:ascii="Times New Roman" w:hAnsi="Times New Roman" w:cs="Times New Roman"/>
        </w:rPr>
        <w:tab/>
      </w:r>
      <w:r w:rsidR="00992AC2">
        <w:rPr>
          <w:rFonts w:ascii="Times New Roman" w:hAnsi="Times New Roman" w:cs="Times New Roman"/>
        </w:rPr>
        <w:t>9</w:t>
      </w:r>
    </w:p>
    <w:p w:rsidR="00180ED5" w:rsidRPr="00D535AF" w:rsidP="00180ED5" w14:paraId="06255262" w14:textId="116571DE">
      <w:pPr>
        <w:pStyle w:val="TOC2"/>
        <w:tabs>
          <w:tab w:val="left" w:pos="360"/>
        </w:tabs>
        <w:rPr>
          <w:rFonts w:ascii="Times New Roman" w:hAnsi="Times New Roman" w:eastAsiaTheme="minorEastAsia" w:cs="Times New Roman"/>
        </w:rPr>
      </w:pPr>
      <w:r w:rsidRPr="00D535AF">
        <w:rPr>
          <w:rFonts w:ascii="Times New Roman" w:hAnsi="Times New Roman" w:cs="Times New Roman"/>
        </w:rPr>
        <w:t>G.</w:t>
      </w:r>
      <w:r w:rsidRPr="00D535AF">
        <w:rPr>
          <w:rFonts w:ascii="Times New Roman" w:hAnsi="Times New Roman" w:eastAsiaTheme="minorEastAsia" w:cs="Times New Roman"/>
        </w:rPr>
        <w:tab/>
      </w:r>
      <w:r w:rsidRPr="00D535AF">
        <w:rPr>
          <w:rFonts w:ascii="Times New Roman" w:hAnsi="Times New Roman" w:cs="Times New Roman"/>
        </w:rPr>
        <w:t>Other Technical Rules Updated or Deleted (47 CFR §§ 22.169, 22.955, 22.957; 22.907; and 22.917)</w:t>
      </w:r>
      <w:r w:rsidRPr="00D535AF">
        <w:rPr>
          <w:rFonts w:ascii="Times New Roman" w:hAnsi="Times New Roman" w:cs="Times New Roman"/>
        </w:rPr>
        <w:tab/>
      </w:r>
      <w:r w:rsidR="00992AC2">
        <w:rPr>
          <w:rFonts w:ascii="Times New Roman" w:hAnsi="Times New Roman" w:cs="Times New Roman"/>
        </w:rPr>
        <w:t>9</w:t>
      </w:r>
    </w:p>
    <w:p w:rsidR="00BD201F" w:rsidRPr="00BD201F" w:rsidP="00BD201F" w14:paraId="68654A09" w14:textId="10D62B84">
      <w:pPr>
        <w:pStyle w:val="TOC1"/>
        <w:rPr>
          <w:rFonts w:ascii="Times New Roman" w:hAnsi="Times New Roman" w:cs="Times New Roman"/>
        </w:rPr>
      </w:pPr>
      <w:r w:rsidRPr="00D535AF">
        <w:rPr>
          <w:rFonts w:ascii="Times New Roman" w:hAnsi="Times New Roman" w:cs="Times New Roman"/>
        </w:rPr>
        <w:t>III.</w:t>
      </w:r>
      <w:r w:rsidRPr="00D535AF">
        <w:rPr>
          <w:rFonts w:ascii="Times New Roman" w:hAnsi="Times New Roman" w:eastAsiaTheme="minorEastAsia" w:cs="Times New Roman"/>
          <w:caps w:val="0"/>
        </w:rPr>
        <w:tab/>
      </w:r>
      <w:r w:rsidRPr="00D535AF">
        <w:rPr>
          <w:rFonts w:ascii="Times New Roman" w:hAnsi="Times New Roman" w:cs="Times New Roman"/>
        </w:rPr>
        <w:t>Recordkeeping and REPORTING Requirements</w:t>
      </w:r>
      <w:r w:rsidRPr="00D535AF">
        <w:rPr>
          <w:rFonts w:ascii="Times New Roman" w:hAnsi="Times New Roman" w:cs="Times New Roman"/>
        </w:rPr>
        <w:tab/>
      </w:r>
      <w:r w:rsidR="004F4A40">
        <w:rPr>
          <w:rFonts w:ascii="Times New Roman" w:hAnsi="Times New Roman" w:cs="Times New Roman"/>
        </w:rPr>
        <w:t>10</w:t>
      </w:r>
    </w:p>
    <w:p w:rsidR="00180ED5" w:rsidRPr="00D535AF" w:rsidP="00180ED5" w14:paraId="14459199" w14:textId="32FA59A2">
      <w:pPr>
        <w:pStyle w:val="TOC1"/>
        <w:rPr>
          <w:rFonts w:ascii="Times New Roman" w:hAnsi="Times New Roman" w:eastAsiaTheme="minorEastAsia" w:cs="Times New Roman"/>
          <w:caps w:val="0"/>
        </w:rPr>
      </w:pPr>
      <w:r w:rsidRPr="00D535AF">
        <w:rPr>
          <w:rFonts w:ascii="Times New Roman" w:hAnsi="Times New Roman" w:cs="Times New Roman"/>
        </w:rPr>
        <w:t>IV.</w:t>
      </w:r>
      <w:r w:rsidRPr="00D535AF">
        <w:rPr>
          <w:rFonts w:ascii="Times New Roman" w:hAnsi="Times New Roman" w:eastAsiaTheme="minorEastAsia" w:cs="Times New Roman"/>
          <w:caps w:val="0"/>
        </w:rPr>
        <w:tab/>
      </w:r>
      <w:r w:rsidRPr="00D535AF">
        <w:rPr>
          <w:rFonts w:ascii="Times New Roman" w:hAnsi="Times New Roman" w:cs="Times New Roman"/>
        </w:rPr>
        <w:t>implementation DATE</w:t>
      </w:r>
      <w:r w:rsidRPr="00D535AF">
        <w:rPr>
          <w:rFonts w:ascii="Times New Roman" w:hAnsi="Times New Roman" w:cs="Times New Roman"/>
        </w:rPr>
        <w:tab/>
      </w:r>
      <w:r w:rsidRPr="00D535AF" w:rsidR="00FF73EA">
        <w:rPr>
          <w:rFonts w:ascii="Times New Roman" w:hAnsi="Times New Roman" w:cs="Times New Roman"/>
        </w:rPr>
        <w:t>1</w:t>
      </w:r>
      <w:r w:rsidR="00A32B9A">
        <w:rPr>
          <w:rFonts w:ascii="Times New Roman" w:hAnsi="Times New Roman" w:cs="Times New Roman"/>
        </w:rPr>
        <w:t>1</w:t>
      </w:r>
    </w:p>
    <w:p w:rsidR="00180ED5" w:rsidRPr="00D535AF" w:rsidP="00180ED5" w14:paraId="4BEF6390" w14:textId="34E4582E">
      <w:pPr>
        <w:pStyle w:val="TOC1"/>
        <w:rPr>
          <w:rFonts w:ascii="Times New Roman" w:hAnsi="Times New Roman" w:eastAsiaTheme="minorEastAsia" w:cs="Times New Roman"/>
          <w:caps w:val="0"/>
        </w:rPr>
      </w:pPr>
      <w:r w:rsidRPr="00D535AF">
        <w:rPr>
          <w:rFonts w:ascii="Times New Roman" w:hAnsi="Times New Roman" w:cs="Times New Roman"/>
        </w:rPr>
        <w:t>V.</w:t>
      </w:r>
      <w:r w:rsidRPr="00D535AF">
        <w:rPr>
          <w:rFonts w:ascii="Times New Roman" w:hAnsi="Times New Roman" w:eastAsiaTheme="minorEastAsia" w:cs="Times New Roman"/>
          <w:caps w:val="0"/>
        </w:rPr>
        <w:tab/>
      </w:r>
      <w:r w:rsidRPr="00D535AF">
        <w:rPr>
          <w:rFonts w:ascii="Times New Roman" w:hAnsi="Times New Roman" w:cs="Times New Roman"/>
        </w:rPr>
        <w:t>INTERNET linkS</w:t>
      </w:r>
      <w:r w:rsidRPr="00D535AF">
        <w:rPr>
          <w:rFonts w:ascii="Times New Roman" w:hAnsi="Times New Roman" w:cs="Times New Roman"/>
        </w:rPr>
        <w:tab/>
      </w:r>
      <w:r w:rsidRPr="00D535AF" w:rsidR="00FF73EA">
        <w:rPr>
          <w:rFonts w:ascii="Times New Roman" w:hAnsi="Times New Roman" w:cs="Times New Roman"/>
        </w:rPr>
        <w:t>1</w:t>
      </w:r>
      <w:r w:rsidR="004F4A40">
        <w:rPr>
          <w:rFonts w:ascii="Times New Roman" w:hAnsi="Times New Roman" w:cs="Times New Roman"/>
        </w:rPr>
        <w:t>2</w:t>
      </w:r>
    </w:p>
    <w:p w:rsidR="004D7B0C" w:rsidRPr="00D535AF" w14:paraId="7776078E" w14:textId="77777777">
      <w:pPr>
        <w:jc w:val="both"/>
        <w:rPr>
          <w:rFonts w:ascii="Times New Roman" w:hAnsi="Times New Roman" w:cs="Times New Roman"/>
        </w:rPr>
        <w:sectPr w:rsidSect="00DE61F2">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pgNumType w:start="0"/>
          <w:cols w:space="720"/>
          <w:titlePg/>
        </w:sectPr>
      </w:pPr>
      <w:bookmarkEnd w:id="1"/>
    </w:p>
    <w:p w:rsidR="00584892" w:rsidRPr="00D535AF" w:rsidP="00AD762B" w14:paraId="51D0A53D" w14:textId="77777777">
      <w:pPr>
        <w:pStyle w:val="Heading1"/>
        <w:rPr>
          <w:rFonts w:ascii="Times New Roman" w:hAnsi="Times New Roman" w:cs="Times New Roman"/>
        </w:rPr>
      </w:pPr>
      <w:bookmarkStart w:id="3" w:name="_Toc103419948"/>
      <w:bookmarkStart w:id="4" w:name="_Toc103420572"/>
      <w:bookmarkStart w:id="5" w:name="_Toc103420714"/>
      <w:bookmarkStart w:id="6" w:name="_Toc103420758"/>
      <w:bookmarkStart w:id="7" w:name="_Toc103420818"/>
      <w:bookmarkStart w:id="8" w:name="_Toc103420865"/>
      <w:bookmarkStart w:id="9" w:name="_Toc103420953"/>
      <w:bookmarkStart w:id="10" w:name="_Toc103421292"/>
      <w:bookmarkStart w:id="11" w:name="_Toc103421410"/>
      <w:bookmarkStart w:id="12" w:name="_Toc103421504"/>
      <w:bookmarkStart w:id="13" w:name="_Toc103488261"/>
      <w:bookmarkStart w:id="14" w:name="_Toc125945573"/>
      <w:bookmarkStart w:id="15" w:name="_Toc153861058"/>
      <w:bookmarkStart w:id="16" w:name="_Toc176072634"/>
      <w:bookmarkStart w:id="17" w:name="_Toc176072760"/>
      <w:bookmarkStart w:id="18" w:name="_Toc176072786"/>
      <w:bookmarkStart w:id="19" w:name="_Toc176072810"/>
      <w:bookmarkStart w:id="20" w:name="_Toc179100553"/>
      <w:bookmarkStart w:id="21" w:name="_Toc179100918"/>
      <w:bookmarkStart w:id="22" w:name="_Toc216065688"/>
      <w:bookmarkStart w:id="23" w:name="_Toc326229719"/>
      <w:bookmarkStart w:id="24" w:name="_Toc326658329"/>
      <w:bookmarkStart w:id="25" w:name="_Toc326746785"/>
      <w:bookmarkStart w:id="26" w:name="_Toc326826051"/>
      <w:bookmarkStart w:id="27" w:name="_Toc419722978"/>
      <w:bookmarkStart w:id="28" w:name="_Toc419800653"/>
      <w:bookmarkStart w:id="29" w:name="_Toc419800718"/>
      <w:bookmarkStart w:id="30" w:name="_Toc492564180"/>
      <w:bookmarkStart w:id="31" w:name="_Toc504060943"/>
      <w:r w:rsidRPr="00D535AF">
        <w:rPr>
          <w:rFonts w:ascii="Times New Roman" w:hAnsi="Times New Roman" w:cs="Times New Roman"/>
        </w:rPr>
        <w:t>Objectives of the Proceeding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A4648" w:rsidRPr="00D535AF" w:rsidP="001134EC" w14:paraId="187DD0E7" w14:textId="7AE306A8">
      <w:pPr>
        <w:ind w:firstLine="720"/>
        <w:jc w:val="both"/>
        <w:rPr>
          <w:rFonts w:ascii="Times New Roman" w:hAnsi="Times New Roman" w:cs="Times New Roman"/>
        </w:rPr>
      </w:pPr>
      <w:r w:rsidRPr="00D535AF">
        <w:rPr>
          <w:rFonts w:ascii="Times New Roman" w:hAnsi="Times New Roman" w:cs="Times New Roman"/>
        </w:rPr>
        <w:t>In the</w:t>
      </w:r>
      <w:r w:rsidRPr="00D535AF" w:rsidR="00584892">
        <w:rPr>
          <w:rFonts w:ascii="Times New Roman" w:hAnsi="Times New Roman" w:cs="Times New Roman"/>
        </w:rPr>
        <w:t xml:space="preserve"> </w:t>
      </w:r>
      <w:r w:rsidRPr="00D535AF" w:rsidR="00F33541">
        <w:rPr>
          <w:rFonts w:ascii="Times New Roman" w:hAnsi="Times New Roman" w:cs="Times New Roman"/>
          <w:i/>
        </w:rPr>
        <w:t>Second</w:t>
      </w:r>
      <w:r w:rsidRPr="00D535AF" w:rsidR="00F33541">
        <w:rPr>
          <w:rFonts w:ascii="Times New Roman" w:hAnsi="Times New Roman" w:cs="Times New Roman"/>
        </w:rPr>
        <w:t xml:space="preserve"> </w:t>
      </w:r>
      <w:r w:rsidRPr="00D535AF" w:rsidR="00642669">
        <w:rPr>
          <w:rFonts w:ascii="Times New Roman" w:hAnsi="Times New Roman" w:cs="Times New Roman"/>
          <w:i/>
        </w:rPr>
        <w:t xml:space="preserve">Report and </w:t>
      </w:r>
      <w:r w:rsidRPr="00D535AF" w:rsidR="00584892">
        <w:rPr>
          <w:rFonts w:ascii="Times New Roman" w:hAnsi="Times New Roman" w:cs="Times New Roman"/>
          <w:i/>
        </w:rPr>
        <w:t xml:space="preserve">Order </w:t>
      </w:r>
      <w:r w:rsidRPr="00D535AF">
        <w:rPr>
          <w:rFonts w:ascii="Times New Roman" w:hAnsi="Times New Roman" w:cs="Times New Roman"/>
        </w:rPr>
        <w:t>in WT Docket No. 12-40</w:t>
      </w:r>
      <w:r w:rsidRPr="00D535AF">
        <w:rPr>
          <w:rFonts w:ascii="Times New Roman" w:hAnsi="Times New Roman" w:cs="Times New Roman"/>
          <w:i/>
        </w:rPr>
        <w:t xml:space="preserve"> </w:t>
      </w:r>
      <w:r w:rsidRPr="00D535AF" w:rsidR="00F33541">
        <w:rPr>
          <w:rFonts w:ascii="Times New Roman" w:hAnsi="Times New Roman" w:cs="Times New Roman"/>
        </w:rPr>
        <w:t xml:space="preserve">and </w:t>
      </w:r>
      <w:r w:rsidRPr="00D535AF">
        <w:rPr>
          <w:rFonts w:ascii="Times New Roman" w:hAnsi="Times New Roman" w:cs="Times New Roman"/>
        </w:rPr>
        <w:t xml:space="preserve">the companion </w:t>
      </w:r>
      <w:r w:rsidRPr="00D535AF" w:rsidR="00F33541">
        <w:rPr>
          <w:rFonts w:ascii="Times New Roman" w:hAnsi="Times New Roman" w:cs="Times New Roman"/>
          <w:i/>
        </w:rPr>
        <w:t>Report and Order</w:t>
      </w:r>
      <w:r w:rsidRPr="00D535AF">
        <w:rPr>
          <w:rFonts w:ascii="Times New Roman" w:hAnsi="Times New Roman" w:cs="Times New Roman"/>
        </w:rPr>
        <w:t xml:space="preserve"> in WT Docket No.10-11</w:t>
      </w:r>
      <w:r w:rsidRPr="00D535AF" w:rsidR="00C269A2">
        <w:rPr>
          <w:rFonts w:ascii="Times New Roman" w:hAnsi="Times New Roman" w:cs="Times New Roman"/>
        </w:rPr>
        <w:t>2</w:t>
      </w:r>
      <w:r w:rsidRPr="00D535AF" w:rsidR="0089649F">
        <w:rPr>
          <w:rFonts w:ascii="Times New Roman" w:hAnsi="Times New Roman" w:cs="Times New Roman"/>
        </w:rPr>
        <w:t>,</w:t>
      </w:r>
      <w:r w:rsidRPr="00D535AF" w:rsidR="00584892">
        <w:rPr>
          <w:rFonts w:ascii="Times New Roman" w:hAnsi="Times New Roman" w:cs="Times New Roman"/>
        </w:rPr>
        <w:t xml:space="preserve"> </w:t>
      </w:r>
      <w:r w:rsidRPr="00D535AF" w:rsidR="000D6F4B">
        <w:rPr>
          <w:rFonts w:ascii="Times New Roman" w:hAnsi="Times New Roman" w:cs="Times New Roman"/>
        </w:rPr>
        <w:t xml:space="preserve">released </w:t>
      </w:r>
      <w:r w:rsidRPr="00D535AF" w:rsidR="00B02730">
        <w:rPr>
          <w:rFonts w:ascii="Times New Roman" w:hAnsi="Times New Roman" w:cs="Times New Roman"/>
        </w:rPr>
        <w:t xml:space="preserve">as a single document </w:t>
      </w:r>
      <w:r w:rsidRPr="00D535AF" w:rsidR="000D6F4B">
        <w:rPr>
          <w:rFonts w:ascii="Times New Roman" w:hAnsi="Times New Roman" w:cs="Times New Roman"/>
        </w:rPr>
        <w:t>on March 24, 2017</w:t>
      </w:r>
      <w:r w:rsidRPr="00D535AF" w:rsidR="00B1093B">
        <w:rPr>
          <w:rFonts w:ascii="Times New Roman" w:hAnsi="Times New Roman" w:cs="Times New Roman"/>
        </w:rPr>
        <w:t xml:space="preserve"> (</w:t>
      </w:r>
      <w:r w:rsidRPr="00D535AF" w:rsidR="00B1093B">
        <w:rPr>
          <w:rFonts w:ascii="Times New Roman" w:hAnsi="Times New Roman" w:cs="Times New Roman"/>
          <w:i/>
        </w:rPr>
        <w:t>Second R&amp;O</w:t>
      </w:r>
      <w:r w:rsidRPr="00D535AF" w:rsidR="00B1093B">
        <w:rPr>
          <w:rFonts w:ascii="Times New Roman" w:hAnsi="Times New Roman" w:cs="Times New Roman"/>
        </w:rPr>
        <w:t>)</w:t>
      </w:r>
      <w:r w:rsidRPr="00D535AF" w:rsidR="000D6F4B">
        <w:rPr>
          <w:rFonts w:ascii="Times New Roman" w:hAnsi="Times New Roman" w:cs="Times New Roman"/>
        </w:rPr>
        <w:t xml:space="preserve">, </w:t>
      </w:r>
      <w:r w:rsidRPr="00D535AF" w:rsidR="00584892">
        <w:rPr>
          <w:rFonts w:ascii="Times New Roman" w:hAnsi="Times New Roman" w:cs="Times New Roman"/>
        </w:rPr>
        <w:t xml:space="preserve">the Commission </w:t>
      </w:r>
      <w:r w:rsidRPr="00D535AF" w:rsidR="00642669">
        <w:rPr>
          <w:rFonts w:ascii="Times New Roman" w:hAnsi="Times New Roman" w:cs="Times New Roman"/>
        </w:rPr>
        <w:t>adopted</w:t>
      </w:r>
      <w:r w:rsidRPr="00D535AF" w:rsidR="003D35D9">
        <w:rPr>
          <w:rFonts w:ascii="Times New Roman" w:hAnsi="Times New Roman" w:cs="Times New Roman"/>
        </w:rPr>
        <w:t xml:space="preserve"> </w:t>
      </w:r>
      <w:r w:rsidRPr="00D535AF">
        <w:rPr>
          <w:rFonts w:ascii="Times New Roman" w:hAnsi="Times New Roman" w:cs="Times New Roman"/>
        </w:rPr>
        <w:t xml:space="preserve">revised </w:t>
      </w:r>
      <w:r w:rsidRPr="00D535AF" w:rsidR="00F109D2">
        <w:rPr>
          <w:rFonts w:ascii="Times New Roman" w:hAnsi="Times New Roman" w:cs="Times New Roman"/>
        </w:rPr>
        <w:t xml:space="preserve">rules </w:t>
      </w:r>
      <w:r w:rsidRPr="00D535AF">
        <w:rPr>
          <w:rFonts w:ascii="Times New Roman" w:hAnsi="Times New Roman" w:cs="Times New Roman"/>
        </w:rPr>
        <w:t xml:space="preserve">and also eliminated certain rules applicable to the 800 MHz Cellular Service.  </w:t>
      </w:r>
      <w:r w:rsidRPr="00D535AF">
        <w:rPr>
          <w:rFonts w:ascii="Times New Roman" w:hAnsi="Times New Roman" w:cs="Times New Roman"/>
        </w:rPr>
        <w:t xml:space="preserve">The Commission </w:t>
      </w:r>
      <w:r w:rsidRPr="00D535AF" w:rsidR="0041244C">
        <w:rPr>
          <w:rFonts w:ascii="Times New Roman" w:hAnsi="Times New Roman" w:cs="Times New Roman"/>
        </w:rPr>
        <w:t xml:space="preserve">most notably </w:t>
      </w:r>
      <w:r w:rsidRPr="00D535AF">
        <w:rPr>
          <w:rFonts w:ascii="Times New Roman" w:hAnsi="Times New Roman" w:cs="Times New Roman"/>
        </w:rPr>
        <w:t>revised the outdated Cellular power rules that were adopted when commercial mobile service was provided using narrowband technologies.  The Commission took into account the availability of advanced mobile broadband technologies</w:t>
      </w:r>
      <w:r w:rsidRPr="00D535AF" w:rsidR="0041244C">
        <w:rPr>
          <w:rFonts w:ascii="Times New Roman" w:hAnsi="Times New Roman" w:cs="Times New Roman"/>
        </w:rPr>
        <w:t xml:space="preserve"> </w:t>
      </w:r>
      <w:r w:rsidRPr="00D535AF">
        <w:rPr>
          <w:rFonts w:ascii="Times New Roman" w:hAnsi="Times New Roman" w:cs="Times New Roman"/>
        </w:rPr>
        <w:t xml:space="preserve">such as </w:t>
      </w:r>
      <w:r w:rsidRPr="00D535AF" w:rsidR="00B1093B">
        <w:rPr>
          <w:rFonts w:ascii="Times New Roman" w:hAnsi="Times New Roman" w:cs="Times New Roman"/>
        </w:rPr>
        <w:t>long term evolution (</w:t>
      </w:r>
      <w:r w:rsidRPr="00D535AF" w:rsidR="0041244C">
        <w:rPr>
          <w:rFonts w:ascii="Times New Roman" w:hAnsi="Times New Roman" w:cs="Times New Roman"/>
        </w:rPr>
        <w:t>LTE</w:t>
      </w:r>
      <w:r w:rsidRPr="00D535AF" w:rsidR="00B1093B">
        <w:rPr>
          <w:rFonts w:ascii="Times New Roman" w:hAnsi="Times New Roman" w:cs="Times New Roman"/>
        </w:rPr>
        <w:t>)</w:t>
      </w:r>
      <w:r w:rsidRPr="00D535AF" w:rsidR="0041244C">
        <w:rPr>
          <w:rFonts w:ascii="Times New Roman" w:hAnsi="Times New Roman" w:cs="Times New Roman"/>
        </w:rPr>
        <w:t xml:space="preserve"> </w:t>
      </w:r>
      <w:r w:rsidRPr="00D535AF">
        <w:rPr>
          <w:rFonts w:ascii="Times New Roman" w:hAnsi="Times New Roman" w:cs="Times New Roman"/>
        </w:rPr>
        <w:t xml:space="preserve">by adopting power rules based on power spectral density (PSD) metrics that parallel those that apply in other spectrum bands used to provide mobile broadband service.  </w:t>
      </w:r>
      <w:r w:rsidRPr="00D535AF" w:rsidR="00452ADC">
        <w:rPr>
          <w:rFonts w:ascii="Times New Roman" w:hAnsi="Times New Roman" w:cs="Times New Roman"/>
        </w:rPr>
        <w:t xml:space="preserve">Because the </w:t>
      </w:r>
      <w:r w:rsidRPr="00D535AF" w:rsidR="00876C3D">
        <w:rPr>
          <w:rFonts w:ascii="Times New Roman" w:hAnsi="Times New Roman" w:cs="Times New Roman"/>
        </w:rPr>
        <w:t>Cellular Service shares the 800 MHz spectrum with public safety licensees, i</w:t>
      </w:r>
      <w:r w:rsidRPr="00D535AF">
        <w:rPr>
          <w:rFonts w:ascii="Times New Roman" w:hAnsi="Times New Roman" w:cs="Times New Roman"/>
        </w:rPr>
        <w:t xml:space="preserve">n revising </w:t>
      </w:r>
      <w:r w:rsidRPr="00D535AF" w:rsidR="00876C3D">
        <w:rPr>
          <w:rFonts w:ascii="Times New Roman" w:hAnsi="Times New Roman" w:cs="Times New Roman"/>
        </w:rPr>
        <w:t xml:space="preserve">the </w:t>
      </w:r>
      <w:r w:rsidRPr="00D535AF" w:rsidR="0041244C">
        <w:rPr>
          <w:rFonts w:ascii="Times New Roman" w:hAnsi="Times New Roman" w:cs="Times New Roman"/>
        </w:rPr>
        <w:t xml:space="preserve">Cellular power </w:t>
      </w:r>
      <w:r w:rsidRPr="00D535AF">
        <w:rPr>
          <w:rFonts w:ascii="Times New Roman" w:hAnsi="Times New Roman" w:cs="Times New Roman"/>
        </w:rPr>
        <w:t>rules</w:t>
      </w:r>
      <w:r w:rsidRPr="00D535AF" w:rsidR="0041244C">
        <w:rPr>
          <w:rFonts w:ascii="Times New Roman" w:hAnsi="Times New Roman" w:cs="Times New Roman"/>
        </w:rPr>
        <w:t xml:space="preserve"> t</w:t>
      </w:r>
      <w:r w:rsidRPr="00D535AF">
        <w:rPr>
          <w:rFonts w:ascii="Times New Roman" w:hAnsi="Times New Roman" w:cs="Times New Roman"/>
        </w:rPr>
        <w:t xml:space="preserve">he Commission took steps to address the potential for increased </w:t>
      </w:r>
      <w:r w:rsidRPr="00D535AF" w:rsidR="00876C3D">
        <w:rPr>
          <w:rFonts w:ascii="Times New Roman" w:hAnsi="Times New Roman" w:cs="Times New Roman"/>
        </w:rPr>
        <w:t xml:space="preserve">unacceptable </w:t>
      </w:r>
      <w:r w:rsidRPr="00D535AF">
        <w:rPr>
          <w:rFonts w:ascii="Times New Roman" w:hAnsi="Times New Roman" w:cs="Times New Roman"/>
        </w:rPr>
        <w:t xml:space="preserve">interference to public safety and other adjacent-band systems.  </w:t>
      </w:r>
      <w:r w:rsidRPr="00D535AF" w:rsidR="0041244C">
        <w:rPr>
          <w:rFonts w:ascii="Times New Roman" w:hAnsi="Times New Roman" w:cs="Times New Roman"/>
        </w:rPr>
        <w:t xml:space="preserve">The adopted reforms </w:t>
      </w:r>
      <w:r w:rsidRPr="00D535AF" w:rsidR="00006ECE">
        <w:rPr>
          <w:rFonts w:ascii="Times New Roman" w:hAnsi="Times New Roman" w:cs="Times New Roman"/>
        </w:rPr>
        <w:t xml:space="preserve">also </w:t>
      </w:r>
      <w:r w:rsidRPr="00D535AF" w:rsidR="0041244C">
        <w:rPr>
          <w:rFonts w:ascii="Times New Roman" w:hAnsi="Times New Roman" w:cs="Times New Roman"/>
        </w:rPr>
        <w:t>include updates to other technical rule</w:t>
      </w:r>
      <w:r w:rsidRPr="00D535AF" w:rsidR="00CD3CE4">
        <w:rPr>
          <w:rFonts w:ascii="Times New Roman" w:hAnsi="Times New Roman" w:cs="Times New Roman"/>
        </w:rPr>
        <w:t xml:space="preserve">s, and modernization of </w:t>
      </w:r>
      <w:r w:rsidRPr="00D535AF">
        <w:rPr>
          <w:rFonts w:ascii="Times New Roman" w:hAnsi="Times New Roman" w:cs="Times New Roman"/>
        </w:rPr>
        <w:t xml:space="preserve">licensing rules to eliminate </w:t>
      </w:r>
      <w:r w:rsidRPr="00D535AF" w:rsidR="00876C3D">
        <w:rPr>
          <w:rFonts w:ascii="Times New Roman" w:hAnsi="Times New Roman" w:cs="Times New Roman"/>
        </w:rPr>
        <w:t xml:space="preserve">certain </w:t>
      </w:r>
      <w:r w:rsidRPr="00D535AF">
        <w:rPr>
          <w:rFonts w:ascii="Times New Roman" w:hAnsi="Times New Roman" w:cs="Times New Roman"/>
        </w:rPr>
        <w:t xml:space="preserve">filing requirements and </w:t>
      </w:r>
      <w:r w:rsidRPr="00D535AF" w:rsidR="005408BB">
        <w:rPr>
          <w:rFonts w:ascii="Times New Roman" w:hAnsi="Times New Roman" w:cs="Times New Roman"/>
        </w:rPr>
        <w:t xml:space="preserve">the Part 22 comparative hearing </w:t>
      </w:r>
      <w:r w:rsidRPr="00D535AF" w:rsidR="006A79AE">
        <w:rPr>
          <w:rFonts w:ascii="Times New Roman" w:hAnsi="Times New Roman" w:cs="Times New Roman"/>
        </w:rPr>
        <w:t xml:space="preserve">license renewal rules </w:t>
      </w:r>
      <w:r w:rsidRPr="00D535AF" w:rsidR="00B02730">
        <w:rPr>
          <w:rFonts w:ascii="Times New Roman" w:hAnsi="Times New Roman" w:cs="Times New Roman"/>
        </w:rPr>
        <w:t xml:space="preserve">that had applied </w:t>
      </w:r>
      <w:r w:rsidRPr="00D535AF" w:rsidR="006A79AE">
        <w:rPr>
          <w:rFonts w:ascii="Times New Roman" w:hAnsi="Times New Roman" w:cs="Times New Roman"/>
        </w:rPr>
        <w:t xml:space="preserve">to the Cellular Service.  </w:t>
      </w:r>
      <w:r w:rsidRPr="00D535AF">
        <w:rPr>
          <w:rFonts w:ascii="Times New Roman" w:hAnsi="Times New Roman" w:cs="Times New Roman"/>
        </w:rPr>
        <w:t xml:space="preserve">   </w:t>
      </w:r>
    </w:p>
    <w:p w:rsidR="00B1093B" w:rsidRPr="00D535AF" w:rsidP="001134EC" w14:paraId="7FA1AE54" w14:textId="5580C360">
      <w:pPr>
        <w:ind w:firstLine="720"/>
        <w:jc w:val="both"/>
        <w:rPr>
          <w:rFonts w:ascii="Times New Roman" w:hAnsi="Times New Roman" w:cs="Times New Roman"/>
        </w:rPr>
      </w:pPr>
      <w:r w:rsidRPr="00D535AF">
        <w:rPr>
          <w:rFonts w:ascii="Times New Roman" w:hAnsi="Times New Roman" w:cs="Times New Roman"/>
        </w:rPr>
        <w:t xml:space="preserve">The Commission’s actions reduce barriers to innovation and investment in new technologies, reduce unnecessary regulatory burdens on licensees, promote greater spectrum efficiency, and facilitate the deployment of ubiquitous broadband connectivity demanded by consumers in the 800 MHz Cellular spectrum.  In particular, the conversion of this band to a more flexible regime by revising certain technical and service rules will facilitate the use of Cellular spectrum to provide advanced mobile broadband services such as </w:t>
      </w:r>
      <w:r w:rsidRPr="00D535AF" w:rsidR="00AA19B3">
        <w:rPr>
          <w:rFonts w:ascii="Times New Roman" w:hAnsi="Times New Roman" w:cs="Times New Roman"/>
        </w:rPr>
        <w:t>LTE</w:t>
      </w:r>
      <w:r w:rsidRPr="00D535AF">
        <w:rPr>
          <w:rFonts w:ascii="Times New Roman" w:hAnsi="Times New Roman" w:cs="Times New Roman"/>
        </w:rPr>
        <w:t>, and will eliminate unnecessary rules and burdens for Cellular licensees.  With the continued skyrocketing demand for mobile broadband, it is imperative that providers be able to use Cellular spectrum in addition to the Broadband Personal Communications Service (PCS), Advanced Wireless Services (AWS), and 700 MHz spectrum bands that are already largely used today to provide LTE and other advanced mobile broadband services.</w:t>
      </w:r>
    </w:p>
    <w:p w:rsidR="00012758" w:rsidRPr="00D535AF" w:rsidP="00222A68" w14:paraId="698B7A36" w14:textId="7AEB922D">
      <w:pPr>
        <w:ind w:firstLine="720"/>
        <w:jc w:val="both"/>
        <w:rPr>
          <w:rFonts w:ascii="Times New Roman" w:hAnsi="Times New Roman" w:cs="Times New Roman"/>
        </w:rPr>
      </w:pPr>
      <w:r w:rsidRPr="00D535AF">
        <w:rPr>
          <w:rFonts w:ascii="Times New Roman" w:hAnsi="Times New Roman" w:cs="Times New Roman"/>
        </w:rPr>
        <w:t>All of the</w:t>
      </w:r>
      <w:r w:rsidRPr="00D535AF" w:rsidR="00327D6B">
        <w:rPr>
          <w:rFonts w:ascii="Times New Roman" w:hAnsi="Times New Roman" w:cs="Times New Roman"/>
        </w:rPr>
        <w:t xml:space="preserve"> rule changes </w:t>
      </w:r>
      <w:r w:rsidRPr="00D535AF">
        <w:rPr>
          <w:rFonts w:ascii="Times New Roman" w:hAnsi="Times New Roman" w:cs="Times New Roman"/>
        </w:rPr>
        <w:t>a</w:t>
      </w:r>
      <w:r w:rsidRPr="00D535AF" w:rsidR="00AA19B3">
        <w:rPr>
          <w:rFonts w:ascii="Times New Roman" w:hAnsi="Times New Roman" w:cs="Times New Roman"/>
        </w:rPr>
        <w:t xml:space="preserve">dopted in the </w:t>
      </w:r>
      <w:r w:rsidRPr="00D535AF" w:rsidR="00AA19B3">
        <w:rPr>
          <w:rFonts w:ascii="Times New Roman" w:hAnsi="Times New Roman" w:cs="Times New Roman"/>
          <w:i/>
        </w:rPr>
        <w:t>Second R&amp;O</w:t>
      </w:r>
      <w:r w:rsidRPr="00D535AF" w:rsidR="00AA19B3">
        <w:rPr>
          <w:rFonts w:ascii="Times New Roman" w:hAnsi="Times New Roman" w:cs="Times New Roman"/>
        </w:rPr>
        <w:t xml:space="preserve"> </w:t>
      </w:r>
      <w:r w:rsidRPr="00D535AF" w:rsidR="006A79AE">
        <w:rPr>
          <w:rFonts w:ascii="Times New Roman" w:hAnsi="Times New Roman" w:cs="Times New Roman"/>
        </w:rPr>
        <w:t xml:space="preserve">provide Cellular licensees with enhanced flexibility to improve their service to consumers.  They also </w:t>
      </w:r>
      <w:r w:rsidRPr="00D535AF" w:rsidR="00327D6B">
        <w:rPr>
          <w:rFonts w:ascii="Times New Roman" w:hAnsi="Times New Roman" w:cs="Times New Roman"/>
        </w:rPr>
        <w:t>advance the Commission’s goals of harmonizing the rules across competing commercial wireless services w</w:t>
      </w:r>
      <w:r w:rsidRPr="00D535AF" w:rsidR="006A79AE">
        <w:rPr>
          <w:rFonts w:ascii="Times New Roman" w:hAnsi="Times New Roman" w:cs="Times New Roman"/>
        </w:rPr>
        <w:t xml:space="preserve">here practicable, and enabling more efficient </w:t>
      </w:r>
      <w:r w:rsidRPr="00D535AF" w:rsidR="00327D6B">
        <w:rPr>
          <w:rFonts w:ascii="Times New Roman" w:hAnsi="Times New Roman" w:cs="Times New Roman"/>
        </w:rPr>
        <w:t xml:space="preserve">use of licensee and Commission resources.  </w:t>
      </w:r>
    </w:p>
    <w:p w:rsidR="00584892" w:rsidRPr="00D535AF" w:rsidP="00AD762B" w14:paraId="26DC482E" w14:textId="4F695EBB">
      <w:pPr>
        <w:pStyle w:val="Heading1"/>
        <w:rPr>
          <w:rFonts w:ascii="Times New Roman" w:hAnsi="Times New Roman" w:cs="Times New Roman"/>
        </w:rPr>
      </w:pPr>
      <w:bookmarkStart w:id="32" w:name="_Toc153861059"/>
      <w:bookmarkStart w:id="33" w:name="_Toc176072635"/>
      <w:bookmarkStart w:id="34" w:name="_Toc176072761"/>
      <w:bookmarkStart w:id="35" w:name="_Toc176072787"/>
      <w:bookmarkStart w:id="36" w:name="_Toc176072811"/>
      <w:bookmarkStart w:id="37" w:name="_Toc179100554"/>
      <w:bookmarkStart w:id="38" w:name="_Toc179100919"/>
      <w:bookmarkStart w:id="39" w:name="_Toc216065689"/>
      <w:bookmarkStart w:id="40" w:name="_Toc326229720"/>
      <w:bookmarkStart w:id="41" w:name="_Toc326658330"/>
      <w:bookmarkStart w:id="42" w:name="_Toc326746786"/>
      <w:bookmarkStart w:id="43" w:name="_Toc326826052"/>
      <w:bookmarkStart w:id="44" w:name="_Toc419722979"/>
      <w:bookmarkStart w:id="45" w:name="_Toc419800654"/>
      <w:bookmarkStart w:id="46" w:name="_Toc419800719"/>
      <w:bookmarkStart w:id="47" w:name="_Toc492564181"/>
      <w:bookmarkStart w:id="48" w:name="_Toc504060944"/>
      <w:r w:rsidRPr="00D535AF">
        <w:rPr>
          <w:rFonts w:ascii="Times New Roman" w:hAnsi="Times New Roman" w:cs="Times New Roman"/>
        </w:rPr>
        <w:t>compliance requirements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535AF">
        <w:rPr>
          <w:rFonts w:ascii="Times New Roman" w:hAnsi="Times New Roman" w:cs="Times New Roman"/>
        </w:rPr>
        <w:t xml:space="preserve"> </w:t>
      </w:r>
    </w:p>
    <w:p w:rsidR="00BE6E7F" w:rsidRPr="00D535AF" w:rsidP="003520A4" w14:paraId="534AC24D" w14:textId="4B132AF8">
      <w:pPr>
        <w:ind w:firstLine="720"/>
        <w:jc w:val="both"/>
        <w:rPr>
          <w:rFonts w:ascii="Times New Roman" w:hAnsi="Times New Roman" w:cs="Times New Roman"/>
        </w:rPr>
      </w:pPr>
      <w:r w:rsidRPr="00D535AF">
        <w:rPr>
          <w:rFonts w:ascii="Times New Roman" w:hAnsi="Times New Roman" w:cs="Times New Roman"/>
        </w:rPr>
        <w:t>In t</w:t>
      </w:r>
      <w:r w:rsidRPr="00D535AF" w:rsidR="0004215A">
        <w:rPr>
          <w:rFonts w:ascii="Times New Roman" w:hAnsi="Times New Roman" w:cs="Times New Roman"/>
        </w:rPr>
        <w:t xml:space="preserve">he </w:t>
      </w:r>
      <w:r w:rsidRPr="00D535AF" w:rsidR="0004215A">
        <w:rPr>
          <w:rFonts w:ascii="Times New Roman" w:hAnsi="Times New Roman" w:cs="Times New Roman"/>
          <w:i/>
        </w:rPr>
        <w:t>Second R&amp;O</w:t>
      </w:r>
      <w:r w:rsidRPr="00D535AF" w:rsidR="00006ECE">
        <w:rPr>
          <w:rFonts w:ascii="Times New Roman" w:hAnsi="Times New Roman" w:cs="Times New Roman"/>
        </w:rPr>
        <w:t xml:space="preserve">, the Commission </w:t>
      </w:r>
      <w:r w:rsidRPr="00D535AF" w:rsidR="00274B11">
        <w:rPr>
          <w:rFonts w:ascii="Times New Roman" w:hAnsi="Times New Roman" w:cs="Times New Roman"/>
        </w:rPr>
        <w:t xml:space="preserve">took the following </w:t>
      </w:r>
      <w:r w:rsidRPr="00D535AF" w:rsidR="005211A3">
        <w:rPr>
          <w:rFonts w:ascii="Times New Roman" w:hAnsi="Times New Roman" w:cs="Times New Roman"/>
        </w:rPr>
        <w:t xml:space="preserve">key </w:t>
      </w:r>
      <w:r w:rsidRPr="00D535AF" w:rsidR="00FB0E35">
        <w:rPr>
          <w:rFonts w:ascii="Times New Roman" w:hAnsi="Times New Roman" w:cs="Times New Roman"/>
        </w:rPr>
        <w:t>action</w:t>
      </w:r>
      <w:r w:rsidRPr="00D535AF" w:rsidR="002C5E5A">
        <w:rPr>
          <w:rFonts w:ascii="Times New Roman" w:hAnsi="Times New Roman" w:cs="Times New Roman"/>
        </w:rPr>
        <w:t xml:space="preserve">s: </w:t>
      </w:r>
      <w:r w:rsidRPr="00D535AF" w:rsidR="007D782E">
        <w:rPr>
          <w:rFonts w:ascii="Times New Roman" w:hAnsi="Times New Roman" w:cs="Times New Roman"/>
        </w:rPr>
        <w:t xml:space="preserve"> (1) revised the provisions </w:t>
      </w:r>
      <w:r w:rsidRPr="00D535AF" w:rsidR="002C5E5A">
        <w:rPr>
          <w:rFonts w:ascii="Times New Roman" w:hAnsi="Times New Roman" w:cs="Times New Roman"/>
        </w:rPr>
        <w:t xml:space="preserve">governing Cellular base station </w:t>
      </w:r>
      <w:r w:rsidRPr="00D535AF" w:rsidR="0093204B">
        <w:rPr>
          <w:rFonts w:ascii="Times New Roman" w:hAnsi="Times New Roman" w:cs="Times New Roman"/>
        </w:rPr>
        <w:t>Effective Radiated Power (</w:t>
      </w:r>
      <w:r w:rsidRPr="00D535AF" w:rsidR="002C5E5A">
        <w:rPr>
          <w:rFonts w:ascii="Times New Roman" w:hAnsi="Times New Roman" w:cs="Times New Roman"/>
        </w:rPr>
        <w:t>ERP</w:t>
      </w:r>
      <w:r w:rsidRPr="00D535AF" w:rsidR="0093204B">
        <w:rPr>
          <w:rFonts w:ascii="Times New Roman" w:hAnsi="Times New Roman" w:cs="Times New Roman"/>
        </w:rPr>
        <w:t>)</w:t>
      </w:r>
      <w:r w:rsidRPr="00D535AF" w:rsidR="002C5E5A">
        <w:rPr>
          <w:rFonts w:ascii="Times New Roman" w:hAnsi="Times New Roman" w:cs="Times New Roman"/>
        </w:rPr>
        <w:t xml:space="preserve"> limits </w:t>
      </w:r>
      <w:r w:rsidRPr="00D535AF" w:rsidR="00006ECE">
        <w:rPr>
          <w:rFonts w:ascii="Times New Roman" w:hAnsi="Times New Roman" w:cs="Times New Roman"/>
        </w:rPr>
        <w:t>and related power measurement provisions in Section 22.913</w:t>
      </w:r>
      <w:r w:rsidRPr="00D535AF" w:rsidR="007D782E">
        <w:rPr>
          <w:rFonts w:ascii="Times New Roman" w:hAnsi="Times New Roman" w:cs="Times New Roman"/>
        </w:rPr>
        <w:t xml:space="preserve"> (</w:t>
      </w:r>
      <w:r w:rsidRPr="00D535AF">
        <w:rPr>
          <w:rFonts w:ascii="Times New Roman" w:hAnsi="Times New Roman" w:cs="Times New Roman"/>
        </w:rPr>
        <w:t>and added</w:t>
      </w:r>
      <w:r w:rsidRPr="00D535AF" w:rsidR="007D782E">
        <w:rPr>
          <w:rFonts w:ascii="Times New Roman" w:hAnsi="Times New Roman" w:cs="Times New Roman"/>
        </w:rPr>
        <w:t xml:space="preserve"> a definition of </w:t>
      </w:r>
      <w:r w:rsidRPr="00D535AF" w:rsidR="007C60BF">
        <w:rPr>
          <w:rFonts w:ascii="Times New Roman" w:hAnsi="Times New Roman" w:cs="Times New Roman"/>
        </w:rPr>
        <w:t>“</w:t>
      </w:r>
      <w:r w:rsidRPr="00D535AF" w:rsidR="007D782E">
        <w:rPr>
          <w:rFonts w:ascii="Times New Roman" w:hAnsi="Times New Roman" w:cs="Times New Roman"/>
        </w:rPr>
        <w:t>PSD</w:t>
      </w:r>
      <w:r w:rsidRPr="00D535AF" w:rsidR="007C60BF">
        <w:rPr>
          <w:rFonts w:ascii="Times New Roman" w:hAnsi="Times New Roman" w:cs="Times New Roman"/>
        </w:rPr>
        <w:t>”</w:t>
      </w:r>
      <w:r w:rsidRPr="00D535AF" w:rsidR="007D782E">
        <w:rPr>
          <w:rFonts w:ascii="Times New Roman" w:hAnsi="Times New Roman" w:cs="Times New Roman"/>
        </w:rPr>
        <w:t xml:space="preserve"> </w:t>
      </w:r>
      <w:r w:rsidRPr="00D535AF" w:rsidR="007C60BF">
        <w:rPr>
          <w:rFonts w:ascii="Times New Roman" w:hAnsi="Times New Roman" w:cs="Times New Roman"/>
        </w:rPr>
        <w:t xml:space="preserve">to </w:t>
      </w:r>
      <w:r w:rsidRPr="00D535AF" w:rsidR="007D782E">
        <w:rPr>
          <w:rFonts w:ascii="Times New Roman" w:hAnsi="Times New Roman" w:cs="Times New Roman"/>
        </w:rPr>
        <w:t>Section 22.99)</w:t>
      </w:r>
      <w:r w:rsidRPr="00D535AF" w:rsidR="00006ECE">
        <w:rPr>
          <w:rFonts w:ascii="Times New Roman" w:hAnsi="Times New Roman" w:cs="Times New Roman"/>
        </w:rPr>
        <w:t xml:space="preserve">; </w:t>
      </w:r>
      <w:r w:rsidRPr="00D535AF" w:rsidR="00E80562">
        <w:rPr>
          <w:rFonts w:ascii="Times New Roman" w:hAnsi="Times New Roman" w:cs="Times New Roman"/>
        </w:rPr>
        <w:t xml:space="preserve">(2) </w:t>
      </w:r>
      <w:r w:rsidRPr="00D535AF" w:rsidR="00006ECE">
        <w:rPr>
          <w:rFonts w:ascii="Times New Roman" w:hAnsi="Times New Roman" w:cs="Times New Roman"/>
        </w:rPr>
        <w:t>retained the existing interference resolution process set forth in Sections 22.970-22.973</w:t>
      </w:r>
      <w:r w:rsidRPr="00D535AF" w:rsidR="001134EC">
        <w:rPr>
          <w:rFonts w:ascii="Times New Roman" w:hAnsi="Times New Roman" w:cs="Times New Roman"/>
        </w:rPr>
        <w:t xml:space="preserve"> and directed </w:t>
      </w:r>
      <w:r w:rsidRPr="00D535AF" w:rsidR="00A722D4">
        <w:rPr>
          <w:rFonts w:ascii="Times New Roman" w:hAnsi="Times New Roman" w:cs="Times New Roman"/>
        </w:rPr>
        <w:t>Commission staff to convene a public forum to discuss co-existence in the 800 MHz band</w:t>
      </w:r>
      <w:r w:rsidRPr="00D535AF">
        <w:rPr>
          <w:rFonts w:ascii="Times New Roman" w:hAnsi="Times New Roman" w:cs="Times New Roman"/>
        </w:rPr>
        <w:t xml:space="preserve">; </w:t>
      </w:r>
      <w:r w:rsidRPr="00D535AF" w:rsidR="00006ECE">
        <w:rPr>
          <w:rFonts w:ascii="Times New Roman" w:hAnsi="Times New Roman" w:cs="Times New Roman"/>
        </w:rPr>
        <w:t>(3) revised the rule setting forth the methods of determining a Cellular licensee’s service area boundary (SAB) and Cellular Geographic Service Area (CGSA) boundary</w:t>
      </w:r>
      <w:r w:rsidRPr="00D535AF" w:rsidR="007D782E">
        <w:rPr>
          <w:rFonts w:ascii="Times New Roman" w:hAnsi="Times New Roman" w:cs="Times New Roman"/>
        </w:rPr>
        <w:t xml:space="preserve"> under Section 22.911</w:t>
      </w:r>
      <w:r w:rsidRPr="00D535AF" w:rsidR="007C60BF">
        <w:rPr>
          <w:rFonts w:ascii="Times New Roman" w:hAnsi="Times New Roman" w:cs="Times New Roman"/>
        </w:rPr>
        <w:t xml:space="preserve"> to accommodate PSD systems</w:t>
      </w:r>
      <w:r w:rsidRPr="00D535AF" w:rsidR="00006ECE">
        <w:rPr>
          <w:rFonts w:ascii="Times New Roman" w:hAnsi="Times New Roman" w:cs="Times New Roman"/>
        </w:rPr>
        <w:t xml:space="preserve">; </w:t>
      </w:r>
      <w:r w:rsidRPr="00D535AF" w:rsidR="007D782E">
        <w:rPr>
          <w:rFonts w:ascii="Times New Roman" w:hAnsi="Times New Roman" w:cs="Times New Roman"/>
        </w:rPr>
        <w:t>(4) exempted Cellular licensees from the existing site-based rule concerning permanent discontinuance of service (Section 22.317)</w:t>
      </w:r>
      <w:r w:rsidRPr="00D535AF" w:rsidR="00A722D4">
        <w:rPr>
          <w:rFonts w:ascii="Times New Roman" w:hAnsi="Times New Roman" w:cs="Times New Roman"/>
        </w:rPr>
        <w:t>,</w:t>
      </w:r>
      <w:r w:rsidRPr="00D535AF" w:rsidR="007D782E">
        <w:rPr>
          <w:rFonts w:ascii="Times New Roman" w:hAnsi="Times New Roman" w:cs="Times New Roman"/>
        </w:rPr>
        <w:t xml:space="preserve"> and adopted in its place a more flexible, geographic-based rule for Cellular licensees (Section 22.947); (5) eliminated the requirement under Section 22.953(c) to file certain minor modification application</w:t>
      </w:r>
      <w:r w:rsidRPr="00D535AF" w:rsidR="001134EC">
        <w:rPr>
          <w:rFonts w:ascii="Times New Roman" w:hAnsi="Times New Roman" w:cs="Times New Roman"/>
        </w:rPr>
        <w:t xml:space="preserve">s; (6) eliminated the </w:t>
      </w:r>
      <w:r w:rsidRPr="00D535AF" w:rsidR="007D782E">
        <w:rPr>
          <w:rFonts w:ascii="Times New Roman" w:hAnsi="Times New Roman" w:cs="Times New Roman"/>
        </w:rPr>
        <w:t>Part 22 license renewal rules applicable to the Cellular Service</w:t>
      </w:r>
      <w:r w:rsidRPr="00D535AF" w:rsidR="00F56A8A">
        <w:rPr>
          <w:rFonts w:ascii="Times New Roman" w:hAnsi="Times New Roman" w:cs="Times New Roman"/>
        </w:rPr>
        <w:t xml:space="preserve">; </w:t>
      </w:r>
      <w:r w:rsidRPr="00D535AF">
        <w:rPr>
          <w:rFonts w:ascii="Times New Roman" w:hAnsi="Times New Roman" w:cs="Times New Roman"/>
        </w:rPr>
        <w:t xml:space="preserve">and </w:t>
      </w:r>
      <w:r w:rsidRPr="00D535AF" w:rsidR="003520A4">
        <w:rPr>
          <w:rFonts w:ascii="Times New Roman" w:hAnsi="Times New Roman" w:cs="Times New Roman"/>
        </w:rPr>
        <w:t xml:space="preserve">(7) </w:t>
      </w:r>
      <w:r w:rsidRPr="00D535AF" w:rsidR="00CE65F1">
        <w:rPr>
          <w:rFonts w:ascii="Times New Roman" w:hAnsi="Times New Roman" w:cs="Times New Roman"/>
        </w:rPr>
        <w:t xml:space="preserve">updated certain other technical rules (Sections 22.169, 22.907, </w:t>
      </w:r>
      <w:r w:rsidRPr="00D535AF" w:rsidR="003520A4">
        <w:rPr>
          <w:rFonts w:ascii="Times New Roman" w:hAnsi="Times New Roman" w:cs="Times New Roman"/>
        </w:rPr>
        <w:t xml:space="preserve">and </w:t>
      </w:r>
      <w:r w:rsidRPr="00D535AF" w:rsidR="00CE65F1">
        <w:rPr>
          <w:rFonts w:ascii="Times New Roman" w:hAnsi="Times New Roman" w:cs="Times New Roman"/>
        </w:rPr>
        <w:t>22.917).</w:t>
      </w:r>
    </w:p>
    <w:p w:rsidR="007D782E" w:rsidRPr="00D535AF" w:rsidP="009458EC" w14:paraId="1A331B7A" w14:textId="401B10EA">
      <w:pPr>
        <w:pStyle w:val="Heading2"/>
        <w:rPr>
          <w:rFonts w:ascii="Times New Roman" w:hAnsi="Times New Roman" w:cs="Times New Roman"/>
        </w:rPr>
      </w:pPr>
      <w:bookmarkStart w:id="49" w:name="_Toc504060945"/>
      <w:r w:rsidRPr="00D535AF">
        <w:rPr>
          <w:rFonts w:ascii="Times New Roman" w:hAnsi="Times New Roman" w:cs="Times New Roman"/>
        </w:rPr>
        <w:t xml:space="preserve">Revised </w:t>
      </w:r>
      <w:r w:rsidRPr="00D535AF" w:rsidR="00BE6E7F">
        <w:rPr>
          <w:rFonts w:ascii="Times New Roman" w:hAnsi="Times New Roman" w:cs="Times New Roman"/>
        </w:rPr>
        <w:t xml:space="preserve">Power and Power Measurement Rules (47 </w:t>
      </w:r>
      <w:r w:rsidRPr="00D535AF" w:rsidR="002A58C4">
        <w:rPr>
          <w:rFonts w:ascii="Times New Roman" w:hAnsi="Times New Roman" w:cs="Times New Roman"/>
        </w:rPr>
        <w:t>CFR § 22.913</w:t>
      </w:r>
      <w:r w:rsidRPr="00D535AF" w:rsidR="00EA0909">
        <w:rPr>
          <w:rFonts w:ascii="Times New Roman" w:hAnsi="Times New Roman" w:cs="Times New Roman"/>
        </w:rPr>
        <w:t>; 47 CFR § 22.99</w:t>
      </w:r>
      <w:r w:rsidRPr="00D535AF" w:rsidR="002A58C4">
        <w:rPr>
          <w:rFonts w:ascii="Times New Roman" w:hAnsi="Times New Roman" w:cs="Times New Roman"/>
        </w:rPr>
        <w:t>)</w:t>
      </w:r>
      <w:bookmarkEnd w:id="49"/>
    </w:p>
    <w:p w:rsidR="0004488B" w:rsidRPr="00D535AF" w:rsidP="00006ECE" w14:paraId="6826D8B4" w14:textId="0B9112EF">
      <w:pPr>
        <w:ind w:firstLine="720"/>
        <w:jc w:val="both"/>
        <w:rPr>
          <w:rFonts w:ascii="Times New Roman" w:hAnsi="Times New Roman" w:cs="Times New Roman"/>
          <w:color w:val="000000"/>
        </w:rPr>
      </w:pPr>
      <w:r w:rsidRPr="00D535AF">
        <w:rPr>
          <w:rFonts w:ascii="Times New Roman" w:hAnsi="Times New Roman" w:cs="Times New Roman"/>
        </w:rPr>
        <w:t>To facilitate broadband deployment</w:t>
      </w:r>
      <w:r w:rsidRPr="00D535AF">
        <w:rPr>
          <w:rFonts w:ascii="Times New Roman" w:hAnsi="Times New Roman" w:cs="Times New Roman"/>
        </w:rPr>
        <w:t>,</w:t>
      </w:r>
      <w:r w:rsidRPr="00D535AF">
        <w:rPr>
          <w:rFonts w:ascii="Times New Roman" w:hAnsi="Times New Roman" w:cs="Times New Roman"/>
        </w:rPr>
        <w:t xml:space="preserve"> the Commission established PSD limits </w:t>
      </w:r>
      <w:r w:rsidRPr="00D535AF">
        <w:rPr>
          <w:rFonts w:ascii="Times New Roman" w:hAnsi="Times New Roman" w:cs="Times New Roman"/>
        </w:rPr>
        <w:t xml:space="preserve">as an option </w:t>
      </w:r>
      <w:r w:rsidRPr="00D535AF">
        <w:rPr>
          <w:rFonts w:ascii="Times New Roman" w:hAnsi="Times New Roman" w:cs="Times New Roman"/>
        </w:rPr>
        <w:t xml:space="preserve">for the Cellular Service, </w:t>
      </w:r>
      <w:r w:rsidRPr="00D535AF" w:rsidR="00240875">
        <w:rPr>
          <w:rFonts w:ascii="Times New Roman" w:hAnsi="Times New Roman" w:cs="Times New Roman"/>
        </w:rPr>
        <w:t xml:space="preserve">with </w:t>
      </w:r>
      <w:r w:rsidRPr="00D535AF" w:rsidR="00296979">
        <w:rPr>
          <w:rFonts w:ascii="Times New Roman" w:hAnsi="Times New Roman" w:cs="Times New Roman"/>
        </w:rPr>
        <w:t>two</w:t>
      </w:r>
      <w:r w:rsidRPr="00D535AF" w:rsidR="00142D0F">
        <w:rPr>
          <w:rFonts w:ascii="Times New Roman" w:hAnsi="Times New Roman" w:cs="Times New Roman"/>
        </w:rPr>
        <w:t xml:space="preserve"> “safeguards” that apply </w:t>
      </w:r>
      <w:r w:rsidRPr="00D535AF">
        <w:rPr>
          <w:rFonts w:ascii="Times New Roman" w:hAnsi="Times New Roman" w:cs="Times New Roman"/>
          <w:color w:val="000000"/>
        </w:rPr>
        <w:t>if the Cellular licensee operates at PSD limits th</w:t>
      </w:r>
      <w:r w:rsidRPr="00D535AF" w:rsidR="00EA0909">
        <w:rPr>
          <w:rFonts w:ascii="Times New Roman" w:hAnsi="Times New Roman" w:cs="Times New Roman"/>
          <w:color w:val="000000"/>
        </w:rPr>
        <w:t>at exceed a certain threshold</w:t>
      </w:r>
      <w:r w:rsidRPr="00D535AF" w:rsidR="00A846BE">
        <w:rPr>
          <w:rFonts w:ascii="Times New Roman" w:hAnsi="Times New Roman" w:cs="Times New Roman"/>
          <w:color w:val="000000"/>
        </w:rPr>
        <w:t xml:space="preserve"> (Higher PSD Limits)</w:t>
      </w:r>
      <w:r w:rsidRPr="00D535AF" w:rsidR="00296979">
        <w:rPr>
          <w:rFonts w:ascii="Times New Roman" w:hAnsi="Times New Roman" w:cs="Times New Roman"/>
          <w:color w:val="000000"/>
        </w:rPr>
        <w:t>:  a power flux density (PFD) limit</w:t>
      </w:r>
      <w:r w:rsidRPr="00D535AF" w:rsidR="00A846BE">
        <w:rPr>
          <w:rFonts w:ascii="Times New Roman" w:hAnsi="Times New Roman" w:cs="Times New Roman"/>
          <w:color w:val="000000"/>
        </w:rPr>
        <w:t>, which is</w:t>
      </w:r>
      <w:r w:rsidRPr="00D535AF" w:rsidR="00296979">
        <w:rPr>
          <w:rFonts w:ascii="Times New Roman" w:hAnsi="Times New Roman" w:cs="Times New Roman"/>
          <w:color w:val="000000"/>
        </w:rPr>
        <w:t xml:space="preserve"> in effect until May </w:t>
      </w:r>
      <w:r w:rsidRPr="00D535AF" w:rsidR="00972A34">
        <w:rPr>
          <w:rFonts w:ascii="Times New Roman" w:hAnsi="Times New Roman" w:cs="Times New Roman"/>
          <w:color w:val="000000"/>
        </w:rPr>
        <w:t>12</w:t>
      </w:r>
      <w:r w:rsidRPr="00D535AF" w:rsidR="003E7AA7">
        <w:rPr>
          <w:rFonts w:ascii="Times New Roman" w:hAnsi="Times New Roman" w:cs="Times New Roman"/>
          <w:color w:val="000000"/>
        </w:rPr>
        <w:t>, 2024</w:t>
      </w:r>
      <w:r w:rsidRPr="00D535AF" w:rsidR="00296979">
        <w:rPr>
          <w:rFonts w:ascii="Times New Roman" w:hAnsi="Times New Roman" w:cs="Times New Roman"/>
          <w:color w:val="000000"/>
        </w:rPr>
        <w:t>; and an advance notification requirement</w:t>
      </w:r>
      <w:r w:rsidRPr="00D535AF" w:rsidR="00EA0909">
        <w:rPr>
          <w:rFonts w:ascii="Times New Roman" w:hAnsi="Times New Roman" w:cs="Times New Roman"/>
          <w:color w:val="000000"/>
        </w:rPr>
        <w:t xml:space="preserve">.  </w:t>
      </w:r>
      <w:r w:rsidRPr="00D535AF" w:rsidR="00BB7817">
        <w:rPr>
          <w:rFonts w:ascii="Times New Roman" w:hAnsi="Times New Roman" w:cs="Times New Roman"/>
          <w:color w:val="000000"/>
        </w:rPr>
        <w:t xml:space="preserve">As already permitted in the existing rule for non-PSD operations, the revised rule </w:t>
      </w:r>
      <w:r w:rsidRPr="00D535AF" w:rsidR="00142D0F">
        <w:rPr>
          <w:rFonts w:ascii="Times New Roman" w:hAnsi="Times New Roman" w:cs="Times New Roman"/>
          <w:color w:val="000000"/>
        </w:rPr>
        <w:t xml:space="preserve">permits a doubling of power </w:t>
      </w:r>
      <w:r w:rsidRPr="00D535AF" w:rsidR="003E7AA7">
        <w:rPr>
          <w:rFonts w:ascii="Times New Roman" w:hAnsi="Times New Roman" w:cs="Times New Roman"/>
          <w:color w:val="000000"/>
        </w:rPr>
        <w:t xml:space="preserve">for PSD operations in rural counties, </w:t>
      </w:r>
      <w:r w:rsidRPr="00D535AF" w:rsidR="00142D0F">
        <w:rPr>
          <w:rFonts w:ascii="Times New Roman" w:hAnsi="Times New Roman" w:cs="Times New Roman"/>
        </w:rPr>
        <w:t>defined as counties with population densities of 100 p</w:t>
      </w:r>
      <w:r w:rsidRPr="00D535AF" w:rsidR="00A846BE">
        <w:rPr>
          <w:rFonts w:ascii="Times New Roman" w:hAnsi="Times New Roman" w:cs="Times New Roman"/>
        </w:rPr>
        <w:t>ersons or fewer per square mile</w:t>
      </w:r>
      <w:r w:rsidRPr="00D535AF" w:rsidR="00142D0F">
        <w:rPr>
          <w:rFonts w:ascii="Times New Roman" w:hAnsi="Times New Roman" w:cs="Times New Roman"/>
        </w:rPr>
        <w:t xml:space="preserve"> based on the most recently available population statistics from the Bureau of the Census</w:t>
      </w:r>
      <w:r w:rsidRPr="00D535AF" w:rsidR="00A846BE">
        <w:rPr>
          <w:rFonts w:ascii="Times New Roman" w:hAnsi="Times New Roman" w:cs="Times New Roman"/>
        </w:rPr>
        <w:t xml:space="preserve">, so long as the system is operating more than 72 kilometers (45 miles) from international borders.  </w:t>
      </w:r>
      <w:r w:rsidRPr="00D535AF">
        <w:rPr>
          <w:rFonts w:ascii="Times New Roman" w:hAnsi="Times New Roman" w:cs="Times New Roman"/>
          <w:color w:val="000000"/>
        </w:rPr>
        <w:t xml:space="preserve">The Commission also made other revisions to Section 22.913, but retained the </w:t>
      </w:r>
      <w:r w:rsidRPr="00D535AF" w:rsidR="00142D0F">
        <w:rPr>
          <w:rFonts w:ascii="Times New Roman" w:hAnsi="Times New Roman" w:cs="Times New Roman"/>
          <w:color w:val="000000"/>
        </w:rPr>
        <w:t xml:space="preserve">existing non-PSD power limits.  </w:t>
      </w:r>
      <w:r w:rsidRPr="00D535AF" w:rsidR="00142D0F">
        <w:rPr>
          <w:rFonts w:ascii="Times New Roman" w:hAnsi="Times New Roman" w:cs="Times New Roman"/>
        </w:rPr>
        <w:t xml:space="preserve">The Commission </w:t>
      </w:r>
      <w:r w:rsidRPr="00D535AF">
        <w:rPr>
          <w:rFonts w:ascii="Times New Roman" w:hAnsi="Times New Roman" w:cs="Times New Roman"/>
          <w:color w:val="000000"/>
        </w:rPr>
        <w:t xml:space="preserve">added a definition of “PSD” to Section 22.99.  </w:t>
      </w:r>
    </w:p>
    <w:p w:rsidR="002A58C4" w:rsidRPr="00D535AF" w:rsidP="00006ECE" w14:paraId="4AE04AF3" w14:textId="0FECCE4A">
      <w:pPr>
        <w:ind w:firstLine="720"/>
        <w:jc w:val="both"/>
        <w:rPr>
          <w:rFonts w:ascii="Times New Roman" w:hAnsi="Times New Roman" w:cs="Times New Roman"/>
        </w:rPr>
      </w:pPr>
      <w:r w:rsidRPr="00D535AF">
        <w:rPr>
          <w:rFonts w:ascii="Times New Roman" w:hAnsi="Times New Roman" w:cs="Times New Roman"/>
        </w:rPr>
        <w:t>Pursuant to revised Section 22.913 of the rules:</w:t>
      </w:r>
    </w:p>
    <w:p w:rsidR="008B427C" w:rsidRPr="00D535AF" w:rsidP="00FB0E35" w14:paraId="3B0C142B" w14:textId="2DBEFC37">
      <w:pPr>
        <w:ind w:firstLine="720"/>
        <w:jc w:val="both"/>
        <w:rPr>
          <w:rFonts w:ascii="Times New Roman" w:hAnsi="Times New Roman" w:cs="Times New Roman"/>
          <w:color w:val="000000"/>
        </w:rPr>
      </w:pPr>
      <w:r w:rsidRPr="00D535AF">
        <w:rPr>
          <w:rFonts w:ascii="Times New Roman" w:hAnsi="Times New Roman" w:cs="Times New Roman"/>
          <w:i/>
          <w:color w:val="000000"/>
          <w:u w:val="single"/>
        </w:rPr>
        <w:t>PSD Limits</w:t>
      </w:r>
      <w:r w:rsidRPr="00D535AF">
        <w:rPr>
          <w:rFonts w:ascii="Times New Roman" w:hAnsi="Times New Roman" w:cs="Times New Roman"/>
          <w:color w:val="000000"/>
        </w:rPr>
        <w:t xml:space="preserve">.  </w:t>
      </w:r>
      <w:r w:rsidRPr="00D535AF" w:rsidR="00D77504">
        <w:rPr>
          <w:rFonts w:ascii="Times New Roman" w:hAnsi="Times New Roman" w:cs="Times New Roman"/>
        </w:rPr>
        <w:t>(</w:t>
      </w:r>
      <w:r w:rsidRPr="00D535AF" w:rsidR="00EA0909">
        <w:rPr>
          <w:rFonts w:ascii="Times New Roman" w:hAnsi="Times New Roman" w:cs="Times New Roman"/>
        </w:rPr>
        <w:t>47 CFR §</w:t>
      </w:r>
      <w:r w:rsidRPr="00D535AF" w:rsidR="003E7AA7">
        <w:rPr>
          <w:rFonts w:ascii="Times New Roman" w:hAnsi="Times New Roman" w:cs="Times New Roman"/>
        </w:rPr>
        <w:t>§</w:t>
      </w:r>
      <w:r w:rsidRPr="00D535AF" w:rsidR="00EA0909">
        <w:rPr>
          <w:rFonts w:ascii="Times New Roman" w:hAnsi="Times New Roman" w:cs="Times New Roman"/>
        </w:rPr>
        <w:t xml:space="preserve"> 22.913(a)(1)(ii), </w:t>
      </w:r>
      <w:r w:rsidRPr="00D535AF" w:rsidR="00A846BE">
        <w:rPr>
          <w:rFonts w:ascii="Times New Roman" w:hAnsi="Times New Roman" w:cs="Times New Roman"/>
        </w:rPr>
        <w:t>(a)</w:t>
      </w:r>
      <w:r w:rsidRPr="00D535AF" w:rsidR="00EA0909">
        <w:rPr>
          <w:rFonts w:ascii="Times New Roman" w:hAnsi="Times New Roman" w:cs="Times New Roman"/>
        </w:rPr>
        <w:t xml:space="preserve">(2)(ii), </w:t>
      </w:r>
      <w:r w:rsidRPr="00D535AF" w:rsidR="00A846BE">
        <w:rPr>
          <w:rFonts w:ascii="Times New Roman" w:hAnsi="Times New Roman" w:cs="Times New Roman"/>
        </w:rPr>
        <w:t>(a)</w:t>
      </w:r>
      <w:r w:rsidRPr="00D535AF" w:rsidR="00EA0909">
        <w:rPr>
          <w:rFonts w:ascii="Times New Roman" w:hAnsi="Times New Roman" w:cs="Times New Roman"/>
        </w:rPr>
        <w:t xml:space="preserve">(3), </w:t>
      </w:r>
      <w:r w:rsidRPr="00D535AF" w:rsidR="00A846BE">
        <w:rPr>
          <w:rFonts w:ascii="Times New Roman" w:hAnsi="Times New Roman" w:cs="Times New Roman"/>
        </w:rPr>
        <w:t>(a)</w:t>
      </w:r>
      <w:r w:rsidRPr="00D535AF" w:rsidR="00EA0909">
        <w:rPr>
          <w:rFonts w:ascii="Times New Roman" w:hAnsi="Times New Roman" w:cs="Times New Roman"/>
        </w:rPr>
        <w:t>(4)</w:t>
      </w:r>
      <w:r w:rsidRPr="00D535AF" w:rsidR="002B4CAB">
        <w:rPr>
          <w:rFonts w:ascii="Times New Roman" w:hAnsi="Times New Roman" w:cs="Times New Roman"/>
        </w:rPr>
        <w:t>)</w:t>
      </w:r>
      <w:r w:rsidRPr="00D535AF" w:rsidR="00630030">
        <w:rPr>
          <w:rFonts w:ascii="Times New Roman" w:hAnsi="Times New Roman" w:cs="Times New Roman"/>
        </w:rPr>
        <w:t xml:space="preserve"> (</w:t>
      </w:r>
      <w:r w:rsidRPr="00D535AF" w:rsidR="00630030">
        <w:rPr>
          <w:rFonts w:ascii="Times New Roman" w:hAnsi="Times New Roman" w:cs="Times New Roman"/>
          <w:i/>
        </w:rPr>
        <w:t>see also</w:t>
      </w:r>
      <w:r w:rsidRPr="00D535AF" w:rsidR="00630030">
        <w:rPr>
          <w:rFonts w:ascii="Times New Roman" w:hAnsi="Times New Roman" w:cs="Times New Roman"/>
        </w:rPr>
        <w:t xml:space="preserve"> </w:t>
      </w:r>
      <w:r w:rsidRPr="00D535AF" w:rsidR="003C5D09">
        <w:rPr>
          <w:rFonts w:ascii="Times New Roman" w:hAnsi="Times New Roman" w:cs="Times New Roman"/>
        </w:rPr>
        <w:t>the section</w:t>
      </w:r>
      <w:r w:rsidRPr="00D535AF" w:rsidR="00A53869">
        <w:rPr>
          <w:rFonts w:ascii="Times New Roman" w:hAnsi="Times New Roman" w:cs="Times New Roman"/>
        </w:rPr>
        <w:t>s</w:t>
      </w:r>
      <w:r w:rsidRPr="00D535AF" w:rsidR="003C5D09">
        <w:rPr>
          <w:rFonts w:ascii="Times New Roman" w:hAnsi="Times New Roman" w:cs="Times New Roman"/>
        </w:rPr>
        <w:t xml:space="preserve"> </w:t>
      </w:r>
      <w:r w:rsidRPr="00D535AF" w:rsidR="00630030">
        <w:rPr>
          <w:rFonts w:ascii="Times New Roman" w:hAnsi="Times New Roman" w:cs="Times New Roman"/>
        </w:rPr>
        <w:t xml:space="preserve">below concerning </w:t>
      </w:r>
      <w:r w:rsidRPr="00D535AF" w:rsidR="00993A8E">
        <w:rPr>
          <w:rFonts w:ascii="Times New Roman" w:hAnsi="Times New Roman" w:cs="Times New Roman"/>
        </w:rPr>
        <w:t>§§ 22.913(b)</w:t>
      </w:r>
      <w:r w:rsidRPr="00D535AF" w:rsidR="00EA0909">
        <w:rPr>
          <w:rFonts w:ascii="Times New Roman" w:hAnsi="Times New Roman" w:cs="Times New Roman"/>
        </w:rPr>
        <w:t xml:space="preserve"> and (c)</w:t>
      </w:r>
      <w:r w:rsidRPr="00D535AF" w:rsidR="00D77504">
        <w:rPr>
          <w:rFonts w:ascii="Times New Roman" w:hAnsi="Times New Roman" w:cs="Times New Roman"/>
        </w:rPr>
        <w:t>)</w:t>
      </w:r>
    </w:p>
    <w:p w:rsidR="0004488B" w:rsidRPr="00D535AF" w:rsidP="00110E16" w14:paraId="7D6A044E" w14:textId="77777777">
      <w:pPr>
        <w:pStyle w:val="ListParagraph"/>
        <w:numPr>
          <w:ilvl w:val="0"/>
          <w:numId w:val="32"/>
        </w:numPr>
        <w:jc w:val="both"/>
        <w:rPr>
          <w:rFonts w:ascii="Times New Roman" w:hAnsi="Times New Roman" w:cs="Times New Roman"/>
        </w:rPr>
      </w:pPr>
      <w:r w:rsidRPr="00D535AF">
        <w:rPr>
          <w:rFonts w:ascii="Times New Roman" w:hAnsi="Times New Roman" w:cs="Times New Roman"/>
        </w:rPr>
        <w:t>T</w:t>
      </w:r>
      <w:r w:rsidRPr="00D535AF" w:rsidR="00933275">
        <w:rPr>
          <w:rFonts w:ascii="Times New Roman" w:hAnsi="Times New Roman" w:cs="Times New Roman"/>
        </w:rPr>
        <w:t xml:space="preserve">he PSD limits for the Cellular Service are as follows:  </w:t>
      </w:r>
    </w:p>
    <w:p w:rsidR="0004488B" w:rsidRPr="00D535AF" w:rsidP="0004488B" w14:paraId="561CF74C" w14:textId="77777777">
      <w:pPr>
        <w:pStyle w:val="ListParagraph"/>
        <w:ind w:left="1440"/>
        <w:jc w:val="both"/>
        <w:rPr>
          <w:rFonts w:ascii="Times New Roman" w:hAnsi="Times New Roman" w:cs="Times New Roman"/>
        </w:rPr>
      </w:pPr>
    </w:p>
    <w:p w:rsidR="00142D0F" w:rsidRPr="00D535AF" w:rsidP="0004488B" w14:paraId="7D226AC5" w14:textId="32112C3A">
      <w:pPr>
        <w:pStyle w:val="ListParagraph"/>
        <w:numPr>
          <w:ilvl w:val="1"/>
          <w:numId w:val="32"/>
        </w:numPr>
        <w:jc w:val="both"/>
        <w:rPr>
          <w:rFonts w:ascii="Times New Roman" w:hAnsi="Times New Roman" w:cs="Times New Roman"/>
        </w:rPr>
      </w:pPr>
      <w:r w:rsidRPr="00D535AF">
        <w:rPr>
          <w:rFonts w:ascii="Times New Roman" w:hAnsi="Times New Roman" w:cs="Times New Roman"/>
        </w:rPr>
        <w:t>(</w:t>
      </w:r>
      <w:r w:rsidRPr="00D535AF" w:rsidR="003E7AA7">
        <w:rPr>
          <w:rFonts w:ascii="Times New Roman" w:hAnsi="Times New Roman" w:cs="Times New Roman"/>
        </w:rPr>
        <w:t>1) 400 watts</w:t>
      </w:r>
      <w:r w:rsidRPr="00D535AF">
        <w:rPr>
          <w:rFonts w:ascii="Times New Roman" w:hAnsi="Times New Roman" w:cs="Times New Roman"/>
        </w:rPr>
        <w:t>/MHz ERP in non-rural areas</w:t>
      </w:r>
      <w:r w:rsidRPr="00D535AF" w:rsidR="0004488B">
        <w:rPr>
          <w:rFonts w:ascii="Times New Roman" w:hAnsi="Times New Roman" w:cs="Times New Roman"/>
        </w:rPr>
        <w:t xml:space="preserve"> (Section 22.913(a)(1)(ii)</w:t>
      </w:r>
      <w:r w:rsidRPr="00D535AF">
        <w:rPr>
          <w:rFonts w:ascii="Times New Roman" w:hAnsi="Times New Roman" w:cs="Times New Roman"/>
        </w:rPr>
        <w:t>)</w:t>
      </w:r>
      <w:r w:rsidRPr="00D535AF" w:rsidR="003E7AA7">
        <w:rPr>
          <w:rFonts w:ascii="Times New Roman" w:hAnsi="Times New Roman" w:cs="Times New Roman"/>
        </w:rPr>
        <w:t>, and 800 watts</w:t>
      </w:r>
      <w:r w:rsidRPr="00D535AF">
        <w:rPr>
          <w:rFonts w:ascii="Times New Roman" w:hAnsi="Times New Roman" w:cs="Times New Roman"/>
        </w:rPr>
        <w:t>/MHz in rural areas</w:t>
      </w:r>
      <w:r w:rsidRPr="00D535AF" w:rsidR="0004488B">
        <w:rPr>
          <w:rFonts w:ascii="Times New Roman" w:hAnsi="Times New Roman" w:cs="Times New Roman"/>
        </w:rPr>
        <w:t xml:space="preserve"> (Section 22.913(a)(2)(ii)</w:t>
      </w:r>
      <w:r w:rsidRPr="00D535AF">
        <w:rPr>
          <w:rFonts w:ascii="Times New Roman" w:hAnsi="Times New Roman" w:cs="Times New Roman"/>
        </w:rPr>
        <w:t>)</w:t>
      </w:r>
      <w:r w:rsidRPr="00D535AF" w:rsidR="00A846BE">
        <w:rPr>
          <w:rFonts w:ascii="Times New Roman" w:hAnsi="Times New Roman" w:cs="Times New Roman"/>
        </w:rPr>
        <w:t>.</w:t>
      </w:r>
    </w:p>
    <w:p w:rsidR="00142D0F" w:rsidRPr="00D535AF" w:rsidP="00142D0F" w14:paraId="3175F5C4" w14:textId="77777777">
      <w:pPr>
        <w:pStyle w:val="ListParagraph"/>
        <w:ind w:left="2160"/>
        <w:jc w:val="both"/>
        <w:rPr>
          <w:rFonts w:ascii="Times New Roman" w:hAnsi="Times New Roman" w:cs="Times New Roman"/>
        </w:rPr>
      </w:pPr>
    </w:p>
    <w:p w:rsidR="0004488B" w:rsidRPr="00D535AF" w:rsidP="00142D0F" w14:paraId="3047F42E" w14:textId="110D4BEA">
      <w:pPr>
        <w:pStyle w:val="ListParagraph"/>
        <w:numPr>
          <w:ilvl w:val="2"/>
          <w:numId w:val="32"/>
        </w:numPr>
        <w:jc w:val="both"/>
        <w:rPr>
          <w:rFonts w:ascii="Times New Roman" w:hAnsi="Times New Roman" w:cs="Times New Roman"/>
        </w:rPr>
      </w:pPr>
      <w:r w:rsidRPr="00D535AF">
        <w:rPr>
          <w:rFonts w:ascii="Times New Roman" w:hAnsi="Times New Roman" w:cs="Times New Roman"/>
        </w:rPr>
        <w:t xml:space="preserve">The </w:t>
      </w:r>
      <w:r w:rsidRPr="00D535AF" w:rsidR="003E7AA7">
        <w:rPr>
          <w:rFonts w:ascii="Times New Roman" w:hAnsi="Times New Roman" w:cs="Times New Roman"/>
        </w:rPr>
        <w:t xml:space="preserve">two safeguards – the </w:t>
      </w:r>
      <w:r w:rsidRPr="00D535AF">
        <w:rPr>
          <w:rFonts w:ascii="Times New Roman" w:hAnsi="Times New Roman" w:cs="Times New Roman"/>
        </w:rPr>
        <w:t xml:space="preserve">PFD </w:t>
      </w:r>
      <w:r w:rsidRPr="00D535AF" w:rsidR="003E7AA7">
        <w:rPr>
          <w:rFonts w:ascii="Times New Roman" w:hAnsi="Times New Roman" w:cs="Times New Roman"/>
        </w:rPr>
        <w:t xml:space="preserve">limit </w:t>
      </w:r>
      <w:r w:rsidRPr="00D535AF">
        <w:rPr>
          <w:rFonts w:ascii="Times New Roman" w:hAnsi="Times New Roman" w:cs="Times New Roman"/>
        </w:rPr>
        <w:t>and a</w:t>
      </w:r>
      <w:r w:rsidRPr="00D535AF" w:rsidR="003E7AA7">
        <w:rPr>
          <w:rFonts w:ascii="Times New Roman" w:hAnsi="Times New Roman" w:cs="Times New Roman"/>
        </w:rPr>
        <w:t>dv</w:t>
      </w:r>
      <w:r w:rsidR="00870600">
        <w:rPr>
          <w:rFonts w:ascii="Times New Roman" w:hAnsi="Times New Roman" w:cs="Times New Roman"/>
        </w:rPr>
        <w:t xml:space="preserve">ance notification requirement </w:t>
      </w:r>
      <w:r w:rsidR="00870600">
        <w:t>–</w:t>
      </w:r>
      <w:r w:rsidRPr="00D535AF" w:rsidR="003E7AA7">
        <w:rPr>
          <w:rFonts w:ascii="Times New Roman" w:hAnsi="Times New Roman" w:cs="Times New Roman"/>
        </w:rPr>
        <w:t xml:space="preserve"> </w:t>
      </w:r>
      <w:r w:rsidRPr="00D535AF" w:rsidR="00A846BE">
        <w:rPr>
          <w:rFonts w:ascii="Times New Roman" w:hAnsi="Times New Roman" w:cs="Times New Roman"/>
        </w:rPr>
        <w:t>do not apply</w:t>
      </w:r>
      <w:r w:rsidRPr="00D535AF">
        <w:rPr>
          <w:rFonts w:ascii="Times New Roman" w:hAnsi="Times New Roman" w:cs="Times New Roman"/>
        </w:rPr>
        <w:t xml:space="preserve"> at these limits.</w:t>
      </w:r>
      <w:r w:rsidRPr="00D535AF" w:rsidR="00142D0F">
        <w:rPr>
          <w:rFonts w:ascii="Times New Roman" w:hAnsi="Times New Roman" w:cs="Times New Roman"/>
        </w:rPr>
        <w:t xml:space="preserve"> </w:t>
      </w:r>
      <w:r w:rsidRPr="00D535AF" w:rsidR="00933275">
        <w:rPr>
          <w:rFonts w:ascii="Times New Roman" w:hAnsi="Times New Roman" w:cs="Times New Roman"/>
        </w:rPr>
        <w:t xml:space="preserve"> </w:t>
      </w:r>
    </w:p>
    <w:p w:rsidR="0004488B" w:rsidRPr="00D535AF" w:rsidP="0004488B" w14:paraId="6FE2F265" w14:textId="77777777">
      <w:pPr>
        <w:pStyle w:val="ListParagraph"/>
        <w:ind w:left="2160"/>
        <w:jc w:val="both"/>
        <w:rPr>
          <w:rFonts w:ascii="Times New Roman" w:hAnsi="Times New Roman" w:cs="Times New Roman"/>
        </w:rPr>
      </w:pPr>
    </w:p>
    <w:p w:rsidR="00142D0F" w:rsidRPr="00D535AF" w:rsidP="0004488B" w14:paraId="15622285" w14:textId="56B85DD0">
      <w:pPr>
        <w:pStyle w:val="ListParagraph"/>
        <w:numPr>
          <w:ilvl w:val="1"/>
          <w:numId w:val="32"/>
        </w:numPr>
        <w:jc w:val="both"/>
        <w:rPr>
          <w:rFonts w:ascii="Times New Roman" w:hAnsi="Times New Roman" w:cs="Times New Roman"/>
        </w:rPr>
      </w:pPr>
      <w:r w:rsidRPr="00D535AF">
        <w:rPr>
          <w:rFonts w:ascii="Times New Roman" w:hAnsi="Times New Roman" w:cs="Times New Roman"/>
        </w:rPr>
        <w:t>(2) H</w:t>
      </w:r>
      <w:r w:rsidRPr="00D535AF" w:rsidR="00933275">
        <w:rPr>
          <w:rFonts w:ascii="Times New Roman" w:hAnsi="Times New Roman" w:cs="Times New Roman"/>
        </w:rPr>
        <w:t xml:space="preserve">igher </w:t>
      </w:r>
      <w:r w:rsidRPr="00D535AF">
        <w:rPr>
          <w:rFonts w:ascii="Times New Roman" w:hAnsi="Times New Roman" w:cs="Times New Roman"/>
        </w:rPr>
        <w:t>PSD L</w:t>
      </w:r>
      <w:r w:rsidR="00870600">
        <w:rPr>
          <w:rFonts w:ascii="Times New Roman" w:hAnsi="Times New Roman" w:cs="Times New Roman"/>
        </w:rPr>
        <w:t xml:space="preserve">imits </w:t>
      </w:r>
      <w:r w:rsidR="00870600">
        <w:t xml:space="preserve">– </w:t>
      </w:r>
      <w:r w:rsidRPr="00D535AF" w:rsidR="003E7AA7">
        <w:rPr>
          <w:rFonts w:ascii="Times New Roman" w:hAnsi="Times New Roman" w:cs="Times New Roman"/>
        </w:rPr>
        <w:t>up to 1000 watts</w:t>
      </w:r>
      <w:r w:rsidRPr="00D535AF" w:rsidR="00933275">
        <w:rPr>
          <w:rFonts w:ascii="Times New Roman" w:hAnsi="Times New Roman" w:cs="Times New Roman"/>
        </w:rPr>
        <w:t>/MHz ERP in n</w:t>
      </w:r>
      <w:r w:rsidRPr="00D535AF" w:rsidR="003E7AA7">
        <w:rPr>
          <w:rFonts w:ascii="Times New Roman" w:hAnsi="Times New Roman" w:cs="Times New Roman"/>
        </w:rPr>
        <w:t>on-rural areas</w:t>
      </w:r>
      <w:r w:rsidRPr="00D535AF" w:rsidR="00734178">
        <w:rPr>
          <w:rFonts w:ascii="Times New Roman" w:hAnsi="Times New Roman" w:cs="Times New Roman"/>
        </w:rPr>
        <w:t xml:space="preserve"> (Section 22.913(a)(3))</w:t>
      </w:r>
      <w:r w:rsidRPr="00D535AF" w:rsidR="003E7AA7">
        <w:rPr>
          <w:rFonts w:ascii="Times New Roman" w:hAnsi="Times New Roman" w:cs="Times New Roman"/>
        </w:rPr>
        <w:t>, and up to 2000 watts</w:t>
      </w:r>
      <w:r w:rsidRPr="00D535AF" w:rsidR="00933275">
        <w:rPr>
          <w:rFonts w:ascii="Times New Roman" w:hAnsi="Times New Roman" w:cs="Times New Roman"/>
        </w:rPr>
        <w:t>/MHz ERP i</w:t>
      </w:r>
      <w:r w:rsidRPr="00D535AF" w:rsidR="0004488B">
        <w:rPr>
          <w:rFonts w:ascii="Times New Roman" w:hAnsi="Times New Roman" w:cs="Times New Roman"/>
        </w:rPr>
        <w:t>n rural areas</w:t>
      </w:r>
      <w:r w:rsidRPr="00D535AF" w:rsidR="00734178">
        <w:rPr>
          <w:rFonts w:ascii="Times New Roman" w:hAnsi="Times New Roman" w:cs="Times New Roman"/>
        </w:rPr>
        <w:t xml:space="preserve"> (Section 22.913(a)(4)</w:t>
      </w:r>
      <w:r w:rsidRPr="00D535AF">
        <w:rPr>
          <w:rFonts w:ascii="Times New Roman" w:hAnsi="Times New Roman" w:cs="Times New Roman"/>
        </w:rPr>
        <w:t>).</w:t>
      </w:r>
    </w:p>
    <w:p w:rsidR="00142D0F" w:rsidRPr="00D535AF" w:rsidP="00296979" w14:paraId="67A55CD7" w14:textId="77777777">
      <w:pPr>
        <w:pStyle w:val="ListParagraph"/>
        <w:ind w:left="2160"/>
        <w:jc w:val="both"/>
        <w:rPr>
          <w:rFonts w:ascii="Times New Roman" w:hAnsi="Times New Roman" w:cs="Times New Roman"/>
        </w:rPr>
      </w:pPr>
    </w:p>
    <w:p w:rsidR="008B427C" w:rsidRPr="00D535AF" w:rsidP="00142D0F" w14:paraId="02B6CE4C" w14:textId="0AB29F17">
      <w:pPr>
        <w:pStyle w:val="ListParagraph"/>
        <w:numPr>
          <w:ilvl w:val="2"/>
          <w:numId w:val="32"/>
        </w:numPr>
        <w:jc w:val="both"/>
        <w:rPr>
          <w:rFonts w:ascii="Times New Roman" w:hAnsi="Times New Roman" w:cs="Times New Roman"/>
        </w:rPr>
      </w:pPr>
      <w:r w:rsidRPr="00D535AF">
        <w:rPr>
          <w:rFonts w:ascii="Times New Roman" w:hAnsi="Times New Roman" w:cs="Times New Roman"/>
        </w:rPr>
        <w:t>At the</w:t>
      </w:r>
      <w:r w:rsidRPr="00D535AF" w:rsidR="00A52B35">
        <w:rPr>
          <w:rFonts w:ascii="Times New Roman" w:hAnsi="Times New Roman" w:cs="Times New Roman"/>
        </w:rPr>
        <w:t>se</w:t>
      </w:r>
      <w:r w:rsidRPr="00D535AF">
        <w:rPr>
          <w:rFonts w:ascii="Times New Roman" w:hAnsi="Times New Roman" w:cs="Times New Roman"/>
        </w:rPr>
        <w:t xml:space="preserve"> Higher PSD L</w:t>
      </w:r>
      <w:r w:rsidRPr="00D535AF" w:rsidR="00296979">
        <w:rPr>
          <w:rFonts w:ascii="Times New Roman" w:hAnsi="Times New Roman" w:cs="Times New Roman"/>
        </w:rPr>
        <w:t xml:space="preserve">imits, the </w:t>
      </w:r>
      <w:r w:rsidRPr="00D535AF" w:rsidR="00142D0F">
        <w:rPr>
          <w:rFonts w:ascii="Times New Roman" w:hAnsi="Times New Roman" w:cs="Times New Roman"/>
        </w:rPr>
        <w:t>two “safeguards”</w:t>
      </w:r>
      <w:r w:rsidRPr="00D535AF" w:rsidR="00296979">
        <w:rPr>
          <w:rFonts w:ascii="Times New Roman" w:hAnsi="Times New Roman" w:cs="Times New Roman"/>
        </w:rPr>
        <w:t xml:space="preserve"> apply,</w:t>
      </w:r>
      <w:r w:rsidRPr="00D535AF" w:rsidR="00142D0F">
        <w:rPr>
          <w:rFonts w:ascii="Times New Roman" w:hAnsi="Times New Roman" w:cs="Times New Roman"/>
        </w:rPr>
        <w:t xml:space="preserve"> as described </w:t>
      </w:r>
      <w:r w:rsidRPr="00D535AF" w:rsidR="003E7AA7">
        <w:rPr>
          <w:rFonts w:ascii="Times New Roman" w:hAnsi="Times New Roman" w:cs="Times New Roman"/>
        </w:rPr>
        <w:t xml:space="preserve">further </w:t>
      </w:r>
      <w:r w:rsidRPr="00D535AF" w:rsidR="00142D0F">
        <w:rPr>
          <w:rFonts w:ascii="Times New Roman" w:hAnsi="Times New Roman" w:cs="Times New Roman"/>
        </w:rPr>
        <w:t>below</w:t>
      </w:r>
      <w:r w:rsidRPr="00D535AF" w:rsidR="00CC145A">
        <w:rPr>
          <w:rFonts w:ascii="Times New Roman" w:hAnsi="Times New Roman" w:cs="Times New Roman"/>
        </w:rPr>
        <w:t>.</w:t>
      </w:r>
      <w:r w:rsidRPr="00D535AF" w:rsidR="009C7313">
        <w:rPr>
          <w:rFonts w:ascii="Times New Roman" w:hAnsi="Times New Roman" w:cs="Times New Roman"/>
        </w:rPr>
        <w:t xml:space="preserve">  </w:t>
      </w:r>
    </w:p>
    <w:p w:rsidR="008B427C" w:rsidRPr="00D535AF" w:rsidP="00110E16" w14:paraId="513CA6A1" w14:textId="77777777">
      <w:pPr>
        <w:pStyle w:val="ListParagraph"/>
        <w:ind w:left="2160"/>
        <w:jc w:val="both"/>
        <w:rPr>
          <w:rFonts w:ascii="Times New Roman" w:hAnsi="Times New Roman" w:cs="Times New Roman"/>
        </w:rPr>
      </w:pPr>
    </w:p>
    <w:p w:rsidR="00142DB0" w:rsidRPr="00D535AF" w:rsidP="00110E16" w14:paraId="1918DF91" w14:textId="3AABFAA5">
      <w:pPr>
        <w:pStyle w:val="ListParagraph"/>
        <w:numPr>
          <w:ilvl w:val="0"/>
          <w:numId w:val="32"/>
        </w:numPr>
        <w:jc w:val="both"/>
        <w:rPr>
          <w:rFonts w:ascii="Times New Roman" w:hAnsi="Times New Roman" w:cs="Times New Roman"/>
        </w:rPr>
      </w:pPr>
      <w:r w:rsidRPr="00D535AF">
        <w:rPr>
          <w:rFonts w:ascii="Times New Roman" w:hAnsi="Times New Roman" w:cs="Times New Roman"/>
        </w:rPr>
        <w:t xml:space="preserve">PSD limits </w:t>
      </w:r>
      <w:r w:rsidRPr="00D535AF" w:rsidR="00E641D7">
        <w:rPr>
          <w:rFonts w:ascii="Times New Roman" w:hAnsi="Times New Roman" w:cs="Times New Roman"/>
        </w:rPr>
        <w:t xml:space="preserve">are to </w:t>
      </w:r>
      <w:r w:rsidRPr="00D535AF">
        <w:rPr>
          <w:rFonts w:ascii="Times New Roman" w:hAnsi="Times New Roman" w:cs="Times New Roman"/>
        </w:rPr>
        <w:t>be applied per sector, rather than per transmitter.</w:t>
      </w:r>
    </w:p>
    <w:p w:rsidR="00D77504" w:rsidRPr="00D535AF" w:rsidP="00FB0E35" w14:paraId="169ECB85" w14:textId="2C6DC25A">
      <w:pPr>
        <w:ind w:firstLine="720"/>
        <w:jc w:val="both"/>
        <w:rPr>
          <w:rFonts w:ascii="Times New Roman" w:hAnsi="Times New Roman" w:cs="Times New Roman"/>
        </w:rPr>
      </w:pPr>
      <w:r w:rsidRPr="00D535AF">
        <w:rPr>
          <w:rFonts w:ascii="Times New Roman" w:hAnsi="Times New Roman" w:cs="Times New Roman"/>
          <w:i/>
          <w:u w:val="single"/>
        </w:rPr>
        <w:t>Advance Notification Requirement at the Higher PSD Limits</w:t>
      </w:r>
      <w:r w:rsidRPr="00D535AF">
        <w:rPr>
          <w:rFonts w:ascii="Times New Roman" w:hAnsi="Times New Roman" w:cs="Times New Roman"/>
        </w:rPr>
        <w:t xml:space="preserve">.  </w:t>
      </w:r>
      <w:r w:rsidRPr="00D535AF">
        <w:rPr>
          <w:rFonts w:ascii="Times New Roman" w:hAnsi="Times New Roman" w:cs="Times New Roman"/>
        </w:rPr>
        <w:t>(</w:t>
      </w:r>
      <w:r w:rsidRPr="00D535AF" w:rsidR="003E7AA7">
        <w:rPr>
          <w:rFonts w:ascii="Times New Roman" w:hAnsi="Times New Roman" w:cs="Times New Roman"/>
        </w:rPr>
        <w:t>47 CFR §</w:t>
      </w:r>
      <w:r w:rsidRPr="00D535AF">
        <w:rPr>
          <w:rFonts w:ascii="Times New Roman" w:hAnsi="Times New Roman" w:cs="Times New Roman"/>
        </w:rPr>
        <w:t xml:space="preserve"> </w:t>
      </w:r>
      <w:r w:rsidRPr="00D535AF" w:rsidR="00A846BE">
        <w:rPr>
          <w:rFonts w:ascii="Times New Roman" w:hAnsi="Times New Roman" w:cs="Times New Roman"/>
        </w:rPr>
        <w:t>22.913(c)</w:t>
      </w:r>
      <w:r w:rsidRPr="00D535AF">
        <w:rPr>
          <w:rFonts w:ascii="Times New Roman" w:hAnsi="Times New Roman" w:cs="Times New Roman"/>
        </w:rPr>
        <w:t>)</w:t>
      </w:r>
    </w:p>
    <w:p w:rsidR="00FC36DD" w:rsidRPr="00D535AF" w:rsidP="00110E16" w14:paraId="69BD882D" w14:textId="40A52C5C">
      <w:pPr>
        <w:pStyle w:val="ListParagraph"/>
        <w:numPr>
          <w:ilvl w:val="0"/>
          <w:numId w:val="34"/>
        </w:numPr>
        <w:jc w:val="both"/>
        <w:rPr>
          <w:rFonts w:ascii="Times New Roman" w:hAnsi="Times New Roman" w:cs="Times New Roman"/>
        </w:rPr>
      </w:pPr>
      <w:r w:rsidRPr="00D535AF">
        <w:rPr>
          <w:rFonts w:ascii="Times New Roman" w:hAnsi="Times New Roman" w:cs="Times New Roman"/>
        </w:rPr>
        <w:t>This safeguard requires that e</w:t>
      </w:r>
      <w:r w:rsidRPr="00D535AF" w:rsidR="00E96E08">
        <w:rPr>
          <w:rFonts w:ascii="Times New Roman" w:hAnsi="Times New Roman" w:cs="Times New Roman"/>
        </w:rPr>
        <w:t>very Cellular licensee preparing to activate a cel</w:t>
      </w:r>
      <w:r w:rsidRPr="00D535AF">
        <w:rPr>
          <w:rFonts w:ascii="Times New Roman" w:hAnsi="Times New Roman" w:cs="Times New Roman"/>
        </w:rPr>
        <w:t xml:space="preserve">l site at the Higher PSD Limits must </w:t>
      </w:r>
      <w:r w:rsidRPr="00D535AF" w:rsidR="00E96E08">
        <w:rPr>
          <w:rFonts w:ascii="Times New Roman" w:hAnsi="Times New Roman" w:cs="Times New Roman"/>
        </w:rPr>
        <w:t xml:space="preserve">provide a minimum of 30 days (but not more than 90 days) written advance notice to any public safety licensee then authorized in the frequency range 806-816 MHz/851-861 MHz with a base station located within a radius of 113 km of the Cellular base station to be deployed. </w:t>
      </w:r>
    </w:p>
    <w:p w:rsidR="00FC36DD" w:rsidRPr="00D535AF" w:rsidP="00110E16" w14:paraId="4AED7E91" w14:textId="77777777">
      <w:pPr>
        <w:pStyle w:val="ListParagraph"/>
        <w:rPr>
          <w:rFonts w:ascii="Times New Roman" w:hAnsi="Times New Roman" w:cs="Times New Roman"/>
        </w:rPr>
      </w:pPr>
    </w:p>
    <w:p w:rsidR="00FC36DD" w:rsidRPr="00D535AF" w:rsidP="00110E16" w14:paraId="7FE90296" w14:textId="77777777">
      <w:pPr>
        <w:pStyle w:val="ListParagraph"/>
        <w:numPr>
          <w:ilvl w:val="1"/>
          <w:numId w:val="34"/>
        </w:numPr>
        <w:jc w:val="both"/>
        <w:rPr>
          <w:rFonts w:ascii="Times New Roman" w:hAnsi="Times New Roman" w:cs="Times New Roman"/>
        </w:rPr>
      </w:pPr>
      <w:r w:rsidRPr="00D535AF">
        <w:rPr>
          <w:rFonts w:ascii="Times New Roman" w:hAnsi="Times New Roman" w:cs="Times New Roman"/>
        </w:rPr>
        <w:t>The written notice shall include the location, ERP PSD level, height of the transmitting antenna’s center of radiation above ground level, and the timeframe for activation of the cell site, as well as the Cellular licensee’s contact information, with additional parameters to be provided upon request by a public safety licensee within the 113 km radius</w:t>
      </w:r>
      <w:r w:rsidRPr="00D535AF" w:rsidR="00E60D1A">
        <w:rPr>
          <w:rFonts w:ascii="Times New Roman" w:hAnsi="Times New Roman" w:cs="Times New Roman"/>
        </w:rPr>
        <w:t xml:space="preserve">.  </w:t>
      </w:r>
    </w:p>
    <w:p w:rsidR="00FC36DD" w:rsidRPr="00D535AF" w:rsidP="00110E16" w14:paraId="2AFE4028" w14:textId="77777777">
      <w:pPr>
        <w:pStyle w:val="ListParagraph"/>
        <w:ind w:left="2160"/>
        <w:jc w:val="both"/>
        <w:rPr>
          <w:rFonts w:ascii="Times New Roman" w:hAnsi="Times New Roman" w:cs="Times New Roman"/>
        </w:rPr>
      </w:pPr>
    </w:p>
    <w:p w:rsidR="005B1494" w:rsidRPr="00D535AF" w:rsidP="00110E16" w14:paraId="3D4D3B32" w14:textId="76C0D8A6">
      <w:pPr>
        <w:pStyle w:val="ListParagraph"/>
        <w:numPr>
          <w:ilvl w:val="1"/>
          <w:numId w:val="34"/>
        </w:numPr>
        <w:jc w:val="both"/>
        <w:rPr>
          <w:rFonts w:ascii="Times New Roman" w:hAnsi="Times New Roman" w:cs="Times New Roman"/>
        </w:rPr>
      </w:pPr>
      <w:r w:rsidRPr="00D535AF">
        <w:rPr>
          <w:rFonts w:ascii="Times New Roman" w:hAnsi="Times New Roman" w:cs="Times New Roman"/>
        </w:rPr>
        <w:t>N</w:t>
      </w:r>
      <w:r w:rsidRPr="00D535AF" w:rsidR="009633E1">
        <w:rPr>
          <w:rFonts w:ascii="Times New Roman" w:hAnsi="Times New Roman" w:cs="Times New Roman"/>
        </w:rPr>
        <w:t xml:space="preserve">otification </w:t>
      </w:r>
      <w:r w:rsidRPr="00D535AF" w:rsidR="008C253A">
        <w:rPr>
          <w:rFonts w:ascii="Times New Roman" w:hAnsi="Times New Roman" w:cs="Times New Roman"/>
        </w:rPr>
        <w:t xml:space="preserve">is </w:t>
      </w:r>
      <w:r w:rsidRPr="00D535AF" w:rsidR="009633E1">
        <w:rPr>
          <w:rFonts w:ascii="Times New Roman" w:hAnsi="Times New Roman" w:cs="Times New Roman"/>
        </w:rPr>
        <w:t>for informational purposes only</w:t>
      </w:r>
      <w:r w:rsidRPr="00D535AF">
        <w:rPr>
          <w:rFonts w:ascii="Times New Roman" w:hAnsi="Times New Roman" w:cs="Times New Roman"/>
        </w:rPr>
        <w:t xml:space="preserve">. </w:t>
      </w:r>
    </w:p>
    <w:p w:rsidR="005B1494" w:rsidRPr="00D535AF" w:rsidP="00110E16" w14:paraId="20491355" w14:textId="77777777">
      <w:pPr>
        <w:pStyle w:val="ListParagraph"/>
        <w:rPr>
          <w:rFonts w:ascii="Times New Roman" w:hAnsi="Times New Roman" w:cs="Times New Roman"/>
        </w:rPr>
      </w:pPr>
    </w:p>
    <w:p w:rsidR="005B1494" w:rsidRPr="00D535AF" w:rsidP="00BB7817" w14:paraId="6C74A986" w14:textId="7ABD1851">
      <w:pPr>
        <w:pStyle w:val="ListParagraph"/>
        <w:numPr>
          <w:ilvl w:val="2"/>
          <w:numId w:val="34"/>
        </w:numPr>
        <w:jc w:val="both"/>
        <w:rPr>
          <w:rFonts w:ascii="Times New Roman" w:hAnsi="Times New Roman" w:cs="Times New Roman"/>
        </w:rPr>
      </w:pPr>
      <w:r w:rsidRPr="00D535AF">
        <w:rPr>
          <w:rFonts w:ascii="Times New Roman" w:hAnsi="Times New Roman" w:cs="Times New Roman"/>
        </w:rPr>
        <w:t>T</w:t>
      </w:r>
      <w:r w:rsidRPr="00D535AF" w:rsidR="009633E1">
        <w:rPr>
          <w:rFonts w:ascii="Times New Roman" w:hAnsi="Times New Roman" w:cs="Times New Roman"/>
        </w:rPr>
        <w:t xml:space="preserve">he notified public safety licensee(s) will not have the right to oppose the planned Cellular operations, but could analyze the cell site’s potential for interference and suggest changes before the cell is activated.  </w:t>
      </w:r>
    </w:p>
    <w:p w:rsidR="005B1494" w:rsidRPr="00D535AF" w:rsidP="00110E16" w14:paraId="3DB10E79" w14:textId="77777777">
      <w:pPr>
        <w:pStyle w:val="ListParagraph"/>
        <w:rPr>
          <w:rFonts w:ascii="Times New Roman" w:hAnsi="Times New Roman" w:cs="Times New Roman"/>
        </w:rPr>
      </w:pPr>
    </w:p>
    <w:p w:rsidR="005C54CE" w:rsidRPr="00D535AF" w:rsidP="00110E16" w14:paraId="0BF874CB" w14:textId="07A20DE9">
      <w:pPr>
        <w:pStyle w:val="ListParagraph"/>
        <w:numPr>
          <w:ilvl w:val="1"/>
          <w:numId w:val="34"/>
        </w:numPr>
        <w:jc w:val="both"/>
        <w:rPr>
          <w:rFonts w:ascii="Times New Roman" w:hAnsi="Times New Roman" w:cs="Times New Roman"/>
        </w:rPr>
      </w:pPr>
      <w:r w:rsidRPr="00D535AF">
        <w:rPr>
          <w:rFonts w:ascii="Times New Roman" w:hAnsi="Times New Roman" w:cs="Times New Roman"/>
        </w:rPr>
        <w:t>Cellular licensee</w:t>
      </w:r>
      <w:r w:rsidRPr="00D535AF" w:rsidR="00A846BE">
        <w:rPr>
          <w:rFonts w:ascii="Times New Roman" w:hAnsi="Times New Roman" w:cs="Times New Roman"/>
        </w:rPr>
        <w:t>s</w:t>
      </w:r>
      <w:r w:rsidRPr="00D535AF">
        <w:rPr>
          <w:rFonts w:ascii="Times New Roman" w:hAnsi="Times New Roman" w:cs="Times New Roman"/>
        </w:rPr>
        <w:t xml:space="preserve"> have discretion to make changes, but remain obligated to address complaints of interference in compliance with the applicable resolution procedures in Sections 22.970</w:t>
      </w:r>
      <w:r w:rsidRPr="00D535AF" w:rsidR="00BB6FA6">
        <w:rPr>
          <w:rFonts w:ascii="Times New Roman" w:hAnsi="Times New Roman" w:cs="Times New Roman"/>
        </w:rPr>
        <w:t>-</w:t>
      </w:r>
      <w:r w:rsidRPr="00D535AF">
        <w:rPr>
          <w:rFonts w:ascii="Times New Roman" w:hAnsi="Times New Roman" w:cs="Times New Roman"/>
        </w:rPr>
        <w:t>22.973</w:t>
      </w:r>
      <w:r w:rsidRPr="00D535AF" w:rsidR="00BB6FA6">
        <w:rPr>
          <w:rFonts w:ascii="Times New Roman" w:hAnsi="Times New Roman" w:cs="Times New Roman"/>
        </w:rPr>
        <w:t xml:space="preserve"> </w:t>
      </w:r>
      <w:r w:rsidRPr="00D535AF">
        <w:rPr>
          <w:rFonts w:ascii="Times New Roman" w:hAnsi="Times New Roman" w:cs="Times New Roman"/>
        </w:rPr>
        <w:t xml:space="preserve">of the </w:t>
      </w:r>
      <w:r w:rsidRPr="00D535AF" w:rsidR="00F56A8A">
        <w:rPr>
          <w:rFonts w:ascii="Times New Roman" w:hAnsi="Times New Roman" w:cs="Times New Roman"/>
        </w:rPr>
        <w:t xml:space="preserve">Commission’s </w:t>
      </w:r>
      <w:r w:rsidRPr="00D535AF">
        <w:rPr>
          <w:rFonts w:ascii="Times New Roman" w:hAnsi="Times New Roman" w:cs="Times New Roman"/>
        </w:rPr>
        <w:t>rules</w:t>
      </w:r>
      <w:r w:rsidRPr="00D535AF" w:rsidR="0008036D">
        <w:rPr>
          <w:rFonts w:ascii="Times New Roman" w:hAnsi="Times New Roman" w:cs="Times New Roman"/>
        </w:rPr>
        <w:t xml:space="preserve"> (discussed further below)</w:t>
      </w:r>
      <w:r w:rsidRPr="00D535AF">
        <w:rPr>
          <w:rFonts w:ascii="Times New Roman" w:hAnsi="Times New Roman" w:cs="Times New Roman"/>
        </w:rPr>
        <w:t>.</w:t>
      </w:r>
      <w:r w:rsidRPr="00D535AF" w:rsidR="00994A15">
        <w:rPr>
          <w:rFonts w:ascii="Times New Roman" w:hAnsi="Times New Roman" w:cs="Times New Roman"/>
        </w:rPr>
        <w:t xml:space="preserve"> </w:t>
      </w:r>
    </w:p>
    <w:p w:rsidR="00993A8E" w:rsidRPr="00D535AF" w:rsidP="00993A8E" w14:paraId="69859C0E" w14:textId="77777777">
      <w:pPr>
        <w:pStyle w:val="ListParagraph"/>
        <w:ind w:left="2160"/>
        <w:jc w:val="both"/>
        <w:rPr>
          <w:rFonts w:ascii="Times New Roman" w:hAnsi="Times New Roman" w:cs="Times New Roman"/>
        </w:rPr>
      </w:pPr>
    </w:p>
    <w:p w:rsidR="00B60166" w:rsidRPr="00D535AF" w:rsidP="00110E16" w14:paraId="128FA150" w14:textId="6421F9B3">
      <w:pPr>
        <w:pStyle w:val="ListParagraph"/>
        <w:numPr>
          <w:ilvl w:val="1"/>
          <w:numId w:val="34"/>
        </w:numPr>
        <w:jc w:val="both"/>
        <w:rPr>
          <w:rFonts w:ascii="Times New Roman" w:hAnsi="Times New Roman" w:cs="Times New Roman"/>
        </w:rPr>
      </w:pPr>
      <w:r w:rsidRPr="00D535AF">
        <w:rPr>
          <w:rFonts w:ascii="Times New Roman" w:hAnsi="Times New Roman" w:cs="Times New Roman"/>
        </w:rPr>
        <w:t xml:space="preserve">The advance notification </w:t>
      </w:r>
      <w:r w:rsidRPr="00D535AF">
        <w:rPr>
          <w:rFonts w:ascii="Times New Roman" w:hAnsi="Times New Roman" w:cs="Times New Roman"/>
        </w:rPr>
        <w:t xml:space="preserve">is </w:t>
      </w:r>
      <w:r w:rsidRPr="00D535AF">
        <w:rPr>
          <w:rFonts w:ascii="Times New Roman" w:hAnsi="Times New Roman" w:cs="Times New Roman"/>
        </w:rPr>
        <w:t>required only one time.</w:t>
      </w:r>
      <w:r w:rsidRPr="00D535AF" w:rsidR="00BB7817">
        <w:rPr>
          <w:rFonts w:ascii="Times New Roman" w:hAnsi="Times New Roman" w:cs="Times New Roman"/>
        </w:rPr>
        <w:t xml:space="preserve">  </w:t>
      </w:r>
      <w:r w:rsidRPr="00D535AF">
        <w:rPr>
          <w:rFonts w:ascii="Times New Roman" w:hAnsi="Times New Roman" w:cs="Times New Roman"/>
        </w:rPr>
        <w:t>F</w:t>
      </w:r>
      <w:r w:rsidRPr="00D535AF">
        <w:rPr>
          <w:rFonts w:ascii="Times New Roman" w:hAnsi="Times New Roman" w:cs="Times New Roman"/>
        </w:rPr>
        <w:t>or example, if the Cellular licensee prepares to operate a cell site at a PSD level of 425 W/MHz, it will be required to provide the requisite written notice at least 30 days (but not more than 90 days) in advance of that cell site’s deployment</w:t>
      </w:r>
      <w:r w:rsidRPr="00D535AF" w:rsidR="002B4CAB">
        <w:rPr>
          <w:rFonts w:ascii="Times New Roman" w:hAnsi="Times New Roman" w:cs="Times New Roman"/>
        </w:rPr>
        <w:t xml:space="preserve">.  </w:t>
      </w:r>
      <w:r w:rsidRPr="00D535AF">
        <w:rPr>
          <w:rFonts w:ascii="Times New Roman" w:hAnsi="Times New Roman" w:cs="Times New Roman"/>
        </w:rPr>
        <w:t>Thereafter, if the same Cellular licensee increases the ERP PSD level at that same cell site (e.g., from 425 W/MHz to 550 W/MHz), it will not be required to provide additional notice under Section 22.913.</w:t>
      </w:r>
    </w:p>
    <w:p w:rsidR="00B60166" w:rsidRPr="00D535AF" w:rsidP="00110E16" w14:paraId="5AD2EDAC" w14:textId="77777777">
      <w:pPr>
        <w:pStyle w:val="ListParagraph"/>
        <w:rPr>
          <w:rFonts w:ascii="Times New Roman" w:hAnsi="Times New Roman" w:cs="Times New Roman"/>
        </w:rPr>
      </w:pPr>
    </w:p>
    <w:p w:rsidR="00994A15" w:rsidRPr="00D535AF" w:rsidP="00110E16" w14:paraId="64D4C5FF" w14:textId="25D6E958">
      <w:pPr>
        <w:pStyle w:val="ListParagraph"/>
        <w:numPr>
          <w:ilvl w:val="1"/>
          <w:numId w:val="34"/>
        </w:numPr>
        <w:jc w:val="both"/>
        <w:rPr>
          <w:rFonts w:ascii="Times New Roman" w:hAnsi="Times New Roman" w:cs="Times New Roman"/>
        </w:rPr>
      </w:pPr>
      <w:r w:rsidRPr="00D535AF">
        <w:rPr>
          <w:rFonts w:ascii="Times New Roman" w:hAnsi="Times New Roman" w:cs="Times New Roman"/>
        </w:rPr>
        <w:t xml:space="preserve">All </w:t>
      </w:r>
      <w:r w:rsidRPr="00D535AF" w:rsidR="00B64B40">
        <w:rPr>
          <w:rFonts w:ascii="Times New Roman" w:hAnsi="Times New Roman" w:cs="Times New Roman"/>
        </w:rPr>
        <w:t xml:space="preserve">Cellular licensees continue to be subject to the field strength limit rule adopted in the </w:t>
      </w:r>
      <w:r w:rsidRPr="00D535AF" w:rsidR="00B64B40">
        <w:rPr>
          <w:rFonts w:ascii="Times New Roman" w:hAnsi="Times New Roman" w:cs="Times New Roman"/>
          <w:i/>
        </w:rPr>
        <w:t>Report and Order</w:t>
      </w:r>
      <w:r w:rsidRPr="00D535AF" w:rsidR="005D1FCE">
        <w:rPr>
          <w:rFonts w:ascii="Times New Roman" w:hAnsi="Times New Roman" w:cs="Times New Roman"/>
        </w:rPr>
        <w:t xml:space="preserve"> released on November 10, 2014 in the Cellular Reform proceeding (FCC 14-181)</w:t>
      </w:r>
      <w:r w:rsidRPr="00D535AF" w:rsidR="00BB6FA6">
        <w:rPr>
          <w:rFonts w:ascii="Times New Roman" w:hAnsi="Times New Roman" w:cs="Times New Roman"/>
        </w:rPr>
        <w:t xml:space="preserve">.  </w:t>
      </w:r>
      <w:r w:rsidRPr="00D535AF" w:rsidR="00476E57">
        <w:rPr>
          <w:rFonts w:ascii="Times New Roman" w:hAnsi="Times New Roman" w:cs="Times New Roman"/>
        </w:rPr>
        <w:t>Therefore</w:t>
      </w:r>
      <w:r w:rsidRPr="00D535AF" w:rsidR="00B64B40">
        <w:rPr>
          <w:rFonts w:ascii="Times New Roman" w:hAnsi="Times New Roman" w:cs="Times New Roman"/>
        </w:rPr>
        <w:t xml:space="preserve"> regardless of the location, power level, or height of the Cellular base stations, the signal level at the neighboring licensee’s CGSA boundary may not exceed 40 dBµV/m, with certain exceptions</w:t>
      </w:r>
      <w:r w:rsidRPr="00D535AF" w:rsidR="001B5F86">
        <w:rPr>
          <w:rFonts w:ascii="Times New Roman" w:hAnsi="Times New Roman" w:cs="Times New Roman"/>
        </w:rPr>
        <w:t xml:space="preserve">, </w:t>
      </w:r>
      <w:r w:rsidRPr="00D535AF" w:rsidR="001B5F86">
        <w:rPr>
          <w:rFonts w:ascii="Times New Roman" w:hAnsi="Times New Roman" w:cs="Times New Roman"/>
          <w:i/>
        </w:rPr>
        <w:t xml:space="preserve">see </w:t>
      </w:r>
      <w:r w:rsidRPr="00D535AF" w:rsidR="001B5F86">
        <w:rPr>
          <w:rFonts w:ascii="Times New Roman" w:hAnsi="Times New Roman" w:cs="Times New Roman"/>
        </w:rPr>
        <w:t xml:space="preserve">47 CFR § 22.983 (including a special provision for the Gulf of Mexico service area and also permitting licensees to negotiate a different limit that is mutually acceptable). </w:t>
      </w:r>
    </w:p>
    <w:p w:rsidR="00CD1058" w:rsidRPr="00D535AF" w:rsidP="00FB0E35" w14:paraId="3571CE47" w14:textId="329E4D8A">
      <w:pPr>
        <w:ind w:firstLine="720"/>
        <w:jc w:val="both"/>
        <w:rPr>
          <w:rFonts w:ascii="Times New Roman" w:hAnsi="Times New Roman" w:cs="Times New Roman"/>
          <w:i/>
        </w:rPr>
      </w:pPr>
      <w:r w:rsidRPr="00D535AF">
        <w:rPr>
          <w:rFonts w:ascii="Times New Roman" w:hAnsi="Times New Roman" w:cs="Times New Roman"/>
          <w:i/>
          <w:u w:val="single"/>
        </w:rPr>
        <w:t>P</w:t>
      </w:r>
      <w:r w:rsidRPr="00D535AF" w:rsidR="00296979">
        <w:rPr>
          <w:rFonts w:ascii="Times New Roman" w:hAnsi="Times New Roman" w:cs="Times New Roman"/>
          <w:i/>
          <w:u w:val="single"/>
        </w:rPr>
        <w:t>ower Flux Density (P</w:t>
      </w:r>
      <w:r w:rsidRPr="00D535AF">
        <w:rPr>
          <w:rFonts w:ascii="Times New Roman" w:hAnsi="Times New Roman" w:cs="Times New Roman"/>
          <w:i/>
          <w:u w:val="single"/>
        </w:rPr>
        <w:t>FD</w:t>
      </w:r>
      <w:r w:rsidRPr="00D535AF" w:rsidR="00296979">
        <w:rPr>
          <w:rFonts w:ascii="Times New Roman" w:hAnsi="Times New Roman" w:cs="Times New Roman"/>
          <w:i/>
          <w:u w:val="single"/>
        </w:rPr>
        <w:t>)</w:t>
      </w:r>
      <w:r w:rsidRPr="00D535AF">
        <w:rPr>
          <w:rFonts w:ascii="Times New Roman" w:hAnsi="Times New Roman" w:cs="Times New Roman"/>
          <w:i/>
          <w:u w:val="single"/>
        </w:rPr>
        <w:t xml:space="preserve"> Limit at Higher PSD Limits</w:t>
      </w:r>
      <w:r w:rsidRPr="00D535AF">
        <w:rPr>
          <w:rFonts w:ascii="Times New Roman" w:hAnsi="Times New Roman" w:cs="Times New Roman"/>
          <w:i/>
        </w:rPr>
        <w:t xml:space="preserve">.  </w:t>
      </w:r>
      <w:r w:rsidRPr="00D535AF">
        <w:rPr>
          <w:rFonts w:ascii="Times New Roman" w:hAnsi="Times New Roman" w:cs="Times New Roman"/>
        </w:rPr>
        <w:t>(47 CFR §22.913(b))</w:t>
      </w:r>
    </w:p>
    <w:p w:rsidR="00296979" w:rsidRPr="00D535AF" w:rsidP="006C0BD8" w14:paraId="37224F04" w14:textId="27C4274B">
      <w:pPr>
        <w:pStyle w:val="ListParagraph"/>
        <w:numPr>
          <w:ilvl w:val="0"/>
          <w:numId w:val="35"/>
        </w:numPr>
        <w:contextualSpacing w:val="0"/>
        <w:jc w:val="both"/>
        <w:rPr>
          <w:rFonts w:ascii="Times New Roman" w:hAnsi="Times New Roman" w:cs="Times New Roman"/>
        </w:rPr>
      </w:pPr>
      <w:r w:rsidRPr="00D535AF">
        <w:rPr>
          <w:rFonts w:ascii="Times New Roman" w:hAnsi="Times New Roman" w:cs="Times New Roman"/>
        </w:rPr>
        <w:t xml:space="preserve">This safeguard specifies that </w:t>
      </w:r>
      <w:r w:rsidRPr="00D535AF" w:rsidR="005F6FAC">
        <w:rPr>
          <w:rFonts w:ascii="Times New Roman" w:hAnsi="Times New Roman" w:cs="Times New Roman"/>
        </w:rPr>
        <w:t>Cellular licensees operat</w:t>
      </w:r>
      <w:r w:rsidRPr="00D535AF" w:rsidR="003F0241">
        <w:rPr>
          <w:rFonts w:ascii="Times New Roman" w:hAnsi="Times New Roman" w:cs="Times New Roman"/>
        </w:rPr>
        <w:t>ing</w:t>
      </w:r>
      <w:r w:rsidRPr="00D535AF" w:rsidR="00A846BE">
        <w:rPr>
          <w:rFonts w:ascii="Times New Roman" w:hAnsi="Times New Roman" w:cs="Times New Roman"/>
        </w:rPr>
        <w:t xml:space="preserve"> at the Higher PSD Limits</w:t>
      </w:r>
      <w:r w:rsidRPr="00D535AF" w:rsidR="005F6FAC">
        <w:rPr>
          <w:rFonts w:ascii="Times New Roman" w:hAnsi="Times New Roman" w:cs="Times New Roman"/>
        </w:rPr>
        <w:t xml:space="preserve"> </w:t>
      </w:r>
      <w:r w:rsidRPr="00D535AF" w:rsidR="003F0241">
        <w:rPr>
          <w:rFonts w:ascii="Times New Roman" w:hAnsi="Times New Roman" w:cs="Times New Roman"/>
        </w:rPr>
        <w:t>are subject to</w:t>
      </w:r>
      <w:r w:rsidRPr="00D535AF" w:rsidR="006F22BD">
        <w:rPr>
          <w:rFonts w:ascii="Times New Roman" w:hAnsi="Times New Roman" w:cs="Times New Roman"/>
        </w:rPr>
        <w:t xml:space="preserve"> a PFD limit for Cellular base transmitters and repeaters</w:t>
      </w:r>
      <w:r w:rsidRPr="00D535AF" w:rsidR="00A44E99">
        <w:rPr>
          <w:rFonts w:ascii="Times New Roman" w:hAnsi="Times New Roman" w:cs="Times New Roman"/>
        </w:rPr>
        <w:t xml:space="preserve"> for a tr</w:t>
      </w:r>
      <w:r w:rsidRPr="00D535AF" w:rsidR="007E4CAC">
        <w:rPr>
          <w:rFonts w:ascii="Times New Roman" w:hAnsi="Times New Roman" w:cs="Times New Roman"/>
        </w:rPr>
        <w:t>ansition period that will end</w:t>
      </w:r>
      <w:r w:rsidRPr="00D535AF">
        <w:rPr>
          <w:rFonts w:ascii="Times New Roman" w:hAnsi="Times New Roman" w:cs="Times New Roman"/>
        </w:rPr>
        <w:t xml:space="preserve"> on May 12</w:t>
      </w:r>
      <w:r w:rsidRPr="00D535AF" w:rsidR="00A44E99">
        <w:rPr>
          <w:rFonts w:ascii="Times New Roman" w:hAnsi="Times New Roman" w:cs="Times New Roman"/>
        </w:rPr>
        <w:t>, 2024 (PFD Sunset Date).</w:t>
      </w:r>
      <w:r w:rsidRPr="00D535AF" w:rsidR="006F22BD">
        <w:rPr>
          <w:rFonts w:ascii="Times New Roman" w:hAnsi="Times New Roman" w:cs="Times New Roman"/>
        </w:rPr>
        <w:t xml:space="preserve"> </w:t>
      </w:r>
    </w:p>
    <w:p w:rsidR="00296979" w:rsidRPr="00D535AF" w:rsidP="006C0BD8" w14:paraId="396D74B0" w14:textId="2519E899">
      <w:pPr>
        <w:pStyle w:val="ListParagraph"/>
        <w:numPr>
          <w:ilvl w:val="1"/>
          <w:numId w:val="35"/>
        </w:numPr>
        <w:spacing w:after="0"/>
        <w:jc w:val="both"/>
        <w:rPr>
          <w:rFonts w:ascii="Times New Roman" w:hAnsi="Times New Roman" w:cs="Times New Roman"/>
        </w:rPr>
      </w:pPr>
      <w:r w:rsidRPr="00D535AF">
        <w:rPr>
          <w:rFonts w:ascii="Times New Roman" w:hAnsi="Times New Roman" w:cs="Times New Roman"/>
        </w:rPr>
        <w:t xml:space="preserve">The Commission explained in the </w:t>
      </w:r>
      <w:r w:rsidRPr="00D535AF">
        <w:rPr>
          <w:rFonts w:ascii="Times New Roman" w:hAnsi="Times New Roman" w:cs="Times New Roman"/>
          <w:i/>
        </w:rPr>
        <w:t xml:space="preserve">Second R&amp;O </w:t>
      </w:r>
      <w:r w:rsidRPr="00D535AF">
        <w:rPr>
          <w:rFonts w:ascii="Times New Roman" w:hAnsi="Times New Roman" w:cs="Times New Roman"/>
        </w:rPr>
        <w:t>that, for pu</w:t>
      </w:r>
      <w:r w:rsidRPr="00D535AF" w:rsidR="00BB7817">
        <w:rPr>
          <w:rFonts w:ascii="Times New Roman" w:hAnsi="Times New Roman" w:cs="Times New Roman"/>
        </w:rPr>
        <w:t>rposes of this proceeding, PFD</w:t>
      </w:r>
      <w:r w:rsidRPr="00D535AF">
        <w:rPr>
          <w:rFonts w:ascii="Times New Roman" w:hAnsi="Times New Roman" w:cs="Times New Roman"/>
        </w:rPr>
        <w:t xml:space="preserve"> is the amount of radio frequency energy that would be present over a given unit of area (e.g., 100 microwatts per square meter), and therefore, PFD can be used to describe the strength of signals at ground level in a given location.  </w:t>
      </w:r>
    </w:p>
    <w:p w:rsidR="000052E4" w:rsidRPr="00D535AF" w:rsidP="006C0BD8" w14:paraId="7D6715DF" w14:textId="77777777">
      <w:pPr>
        <w:pStyle w:val="ListParagraph"/>
        <w:spacing w:after="0"/>
        <w:ind w:left="1440"/>
        <w:jc w:val="both"/>
        <w:rPr>
          <w:rFonts w:ascii="Times New Roman" w:hAnsi="Times New Roman" w:cs="Times New Roman"/>
        </w:rPr>
      </w:pPr>
      <w:r w:rsidRPr="00D535AF">
        <w:rPr>
          <w:rFonts w:ascii="Times New Roman" w:hAnsi="Times New Roman" w:cs="Times New Roman"/>
        </w:rPr>
        <w:t xml:space="preserve"> </w:t>
      </w:r>
    </w:p>
    <w:p w:rsidR="003F0241" w:rsidRPr="00D535AF" w:rsidP="00110E16" w14:paraId="2DEFC137" w14:textId="02342ACE">
      <w:pPr>
        <w:pStyle w:val="ListParagraph"/>
        <w:numPr>
          <w:ilvl w:val="0"/>
          <w:numId w:val="35"/>
        </w:numPr>
        <w:jc w:val="both"/>
        <w:rPr>
          <w:rFonts w:ascii="Times New Roman" w:hAnsi="Times New Roman" w:cs="Times New Roman"/>
        </w:rPr>
      </w:pPr>
      <w:r w:rsidRPr="00D535AF">
        <w:rPr>
          <w:rFonts w:ascii="Times New Roman" w:hAnsi="Times New Roman" w:cs="Times New Roman"/>
        </w:rPr>
        <w:t>A</w:t>
      </w:r>
      <w:r w:rsidRPr="00D535AF" w:rsidR="006E52BB">
        <w:rPr>
          <w:rFonts w:ascii="Times New Roman" w:hAnsi="Times New Roman" w:cs="Times New Roman"/>
        </w:rPr>
        <w:t xml:space="preserve"> modeled PFD limit of 3000 µW/m²/MHz </w:t>
      </w:r>
      <w:r w:rsidRPr="00D535AF" w:rsidR="00927D45">
        <w:rPr>
          <w:rFonts w:ascii="Times New Roman" w:hAnsi="Times New Roman" w:cs="Times New Roman"/>
        </w:rPr>
        <w:t xml:space="preserve">– </w:t>
      </w:r>
      <w:r w:rsidRPr="00D535AF" w:rsidR="006E52BB">
        <w:rPr>
          <w:rFonts w:ascii="Times New Roman" w:hAnsi="Times New Roman" w:cs="Times New Roman"/>
        </w:rPr>
        <w:t>at</w:t>
      </w:r>
      <w:r w:rsidRPr="00D535AF" w:rsidR="00927D45">
        <w:rPr>
          <w:rFonts w:ascii="Times New Roman" w:hAnsi="Times New Roman" w:cs="Times New Roman"/>
        </w:rPr>
        <w:t xml:space="preserve"> </w:t>
      </w:r>
      <w:r w:rsidRPr="00D535AF" w:rsidR="006E52BB">
        <w:rPr>
          <w:rFonts w:ascii="Times New Roman" w:hAnsi="Times New Roman" w:cs="Times New Roman"/>
        </w:rPr>
        <w:t>1.6 meters above ground level</w:t>
      </w:r>
      <w:r w:rsidRPr="00D535AF" w:rsidR="00A846BE">
        <w:rPr>
          <w:rFonts w:ascii="Times New Roman" w:hAnsi="Times New Roman" w:cs="Times New Roman"/>
        </w:rPr>
        <w:t>,</w:t>
      </w:r>
      <w:r w:rsidRPr="00D535AF" w:rsidR="006E52BB">
        <w:rPr>
          <w:rFonts w:ascii="Times New Roman" w:hAnsi="Times New Roman" w:cs="Times New Roman"/>
        </w:rPr>
        <w:t xml:space="preserve"> which represents the average height above ground of a public safety </w:t>
      </w:r>
      <w:r w:rsidRPr="00D535AF" w:rsidR="00927D45">
        <w:rPr>
          <w:rFonts w:ascii="Times New Roman" w:hAnsi="Times New Roman" w:cs="Times New Roman"/>
        </w:rPr>
        <w:t xml:space="preserve">receiver being used by a person – </w:t>
      </w:r>
      <w:r w:rsidRPr="00D535AF" w:rsidR="004D2A77">
        <w:rPr>
          <w:rFonts w:ascii="Times New Roman" w:hAnsi="Times New Roman" w:cs="Times New Roman"/>
        </w:rPr>
        <w:t>must</w:t>
      </w:r>
      <w:r w:rsidRPr="00D535AF" w:rsidR="00927D45">
        <w:rPr>
          <w:rFonts w:ascii="Times New Roman" w:hAnsi="Times New Roman" w:cs="Times New Roman"/>
        </w:rPr>
        <w:t xml:space="preserve"> </w:t>
      </w:r>
      <w:r w:rsidRPr="00D535AF" w:rsidR="006E52BB">
        <w:rPr>
          <w:rFonts w:ascii="Times New Roman" w:hAnsi="Times New Roman" w:cs="Times New Roman"/>
        </w:rPr>
        <w:t xml:space="preserve">be observed over at least 98 percent of the area within 1 km of each base station antenna.  </w:t>
      </w:r>
    </w:p>
    <w:p w:rsidR="000052E4" w:rsidRPr="00D535AF" w:rsidP="00110E16" w14:paraId="17676CA2" w14:textId="77777777">
      <w:pPr>
        <w:pStyle w:val="ListParagraph"/>
        <w:ind w:left="1440"/>
        <w:jc w:val="both"/>
        <w:rPr>
          <w:rFonts w:ascii="Times New Roman" w:hAnsi="Times New Roman" w:cs="Times New Roman"/>
        </w:rPr>
      </w:pPr>
      <w:r w:rsidRPr="00D535AF">
        <w:rPr>
          <w:rFonts w:ascii="Times New Roman" w:hAnsi="Times New Roman" w:cs="Times New Roman"/>
        </w:rPr>
        <w:t xml:space="preserve"> </w:t>
      </w:r>
    </w:p>
    <w:p w:rsidR="006F22BD" w:rsidRPr="00D535AF" w:rsidP="00110E16" w14:paraId="5187DD92" w14:textId="4AB2981B">
      <w:pPr>
        <w:pStyle w:val="ListParagraph"/>
        <w:numPr>
          <w:ilvl w:val="0"/>
          <w:numId w:val="35"/>
        </w:numPr>
        <w:jc w:val="both"/>
        <w:rPr>
          <w:rFonts w:ascii="Times New Roman" w:hAnsi="Times New Roman" w:cs="Times New Roman"/>
        </w:rPr>
      </w:pPr>
      <w:r w:rsidRPr="00D535AF">
        <w:rPr>
          <w:rFonts w:ascii="Times New Roman" w:hAnsi="Times New Roman" w:cs="Times New Roman"/>
        </w:rPr>
        <w:t>T</w:t>
      </w:r>
      <w:r w:rsidRPr="00D535AF" w:rsidR="004D2A77">
        <w:rPr>
          <w:rFonts w:ascii="Times New Roman" w:hAnsi="Times New Roman" w:cs="Times New Roman"/>
        </w:rPr>
        <w:t>he PFD</w:t>
      </w:r>
      <w:r w:rsidRPr="00D535AF">
        <w:rPr>
          <w:rFonts w:ascii="Times New Roman" w:hAnsi="Times New Roman" w:cs="Times New Roman"/>
        </w:rPr>
        <w:t xml:space="preserve"> limit </w:t>
      </w:r>
      <w:r w:rsidRPr="00D535AF" w:rsidR="003F0241">
        <w:rPr>
          <w:rFonts w:ascii="Times New Roman" w:hAnsi="Times New Roman" w:cs="Times New Roman"/>
        </w:rPr>
        <w:t xml:space="preserve">must </w:t>
      </w:r>
      <w:r w:rsidRPr="00D535AF">
        <w:rPr>
          <w:rFonts w:ascii="Times New Roman" w:hAnsi="Times New Roman" w:cs="Times New Roman"/>
        </w:rPr>
        <w:t>be modeled using good engineering practices accounting f</w:t>
      </w:r>
      <w:r w:rsidR="00870600">
        <w:rPr>
          <w:rFonts w:ascii="Times New Roman" w:hAnsi="Times New Roman" w:cs="Times New Roman"/>
        </w:rPr>
        <w:t xml:space="preserve">or terrain and local conditions </w:t>
      </w:r>
      <w:r w:rsidR="00870600">
        <w:t xml:space="preserve">– </w:t>
      </w:r>
      <w:r w:rsidRPr="00D535AF">
        <w:rPr>
          <w:rFonts w:ascii="Times New Roman" w:hAnsi="Times New Roman" w:cs="Times New Roman"/>
        </w:rPr>
        <w:t>at the time of initial deployment at the Higher PSD Limits and for any site modifications thereafter that may increase the PFD levels around the site.</w:t>
      </w:r>
      <w:r w:rsidRPr="00D535AF" w:rsidR="00216D06">
        <w:rPr>
          <w:rFonts w:ascii="Times New Roman" w:hAnsi="Times New Roman" w:cs="Times New Roman"/>
        </w:rPr>
        <w:t xml:space="preserve"> </w:t>
      </w:r>
    </w:p>
    <w:p w:rsidR="00993A8E" w:rsidRPr="00D535AF" w:rsidP="00993A8E" w14:paraId="45C0A465" w14:textId="77777777">
      <w:pPr>
        <w:pStyle w:val="ListParagraph"/>
        <w:ind w:left="1440"/>
        <w:jc w:val="both"/>
        <w:rPr>
          <w:rFonts w:ascii="Times New Roman" w:hAnsi="Times New Roman" w:cs="Times New Roman"/>
        </w:rPr>
      </w:pPr>
    </w:p>
    <w:p w:rsidR="000052E4" w:rsidRPr="00D535AF" w:rsidP="00110E16" w14:paraId="2DAB7ED1" w14:textId="77777777">
      <w:pPr>
        <w:pStyle w:val="ListParagraph"/>
        <w:numPr>
          <w:ilvl w:val="0"/>
          <w:numId w:val="36"/>
        </w:numPr>
        <w:jc w:val="both"/>
        <w:rPr>
          <w:rFonts w:ascii="Times New Roman" w:hAnsi="Times New Roman" w:cs="Times New Roman"/>
        </w:rPr>
      </w:pPr>
      <w:r w:rsidRPr="00D535AF">
        <w:rPr>
          <w:rFonts w:ascii="Times New Roman" w:hAnsi="Times New Roman" w:cs="Times New Roman"/>
        </w:rPr>
        <w:t xml:space="preserve">Cellular licensees must perform predictive modeling of the PFD values around each site prior to operating their systems at the Higher PSD Limits or, thereafter, prior to changing the parameters of these sites such that it could increase the PFD levels.  </w:t>
      </w:r>
    </w:p>
    <w:p w:rsidR="000052E4" w:rsidRPr="00D535AF" w:rsidP="00110E16" w14:paraId="45C76CD7" w14:textId="430A12B9">
      <w:pPr>
        <w:pStyle w:val="ListParagraph"/>
        <w:ind w:left="1440"/>
        <w:jc w:val="both"/>
        <w:rPr>
          <w:rFonts w:ascii="Times New Roman" w:hAnsi="Times New Roman" w:cs="Times New Roman"/>
        </w:rPr>
      </w:pPr>
    </w:p>
    <w:p w:rsidR="000052E4" w:rsidRPr="00D535AF" w:rsidP="00110E16" w14:paraId="747D2D61" w14:textId="77777777">
      <w:pPr>
        <w:pStyle w:val="ListParagraph"/>
        <w:numPr>
          <w:ilvl w:val="0"/>
          <w:numId w:val="36"/>
        </w:numPr>
        <w:jc w:val="both"/>
        <w:rPr>
          <w:rFonts w:ascii="Times New Roman" w:hAnsi="Times New Roman" w:cs="Times New Roman"/>
        </w:rPr>
      </w:pPr>
      <w:r w:rsidRPr="00D535AF">
        <w:rPr>
          <w:rFonts w:ascii="Times New Roman" w:hAnsi="Times New Roman" w:cs="Times New Roman"/>
        </w:rPr>
        <w:t>The propagation model must confirm that each applicable base station meets the PFD limit over 98 percent of the area within a 1 km radius of the base station antennas, at 1.6 meters above ground.</w:t>
      </w:r>
      <w:r w:rsidRPr="00D535AF" w:rsidR="004E234A">
        <w:rPr>
          <w:rFonts w:ascii="Times New Roman" w:hAnsi="Times New Roman" w:cs="Times New Roman"/>
        </w:rPr>
        <w:t xml:space="preserve">  If the predictive model does not confirm compliance with these requirements, the licensee will need to adjust base-station parameters, such as the height of the antenna, beam tilt, power, or other parameters, until confirmation of the requirements is achieved before deployment, thereby reducing the amount of signal energy on the ground around the site.</w:t>
      </w:r>
      <w:r w:rsidRPr="00D535AF" w:rsidR="008F0B10">
        <w:rPr>
          <w:rFonts w:ascii="Times New Roman" w:hAnsi="Times New Roman" w:cs="Times New Roman"/>
        </w:rPr>
        <w:t xml:space="preserve">  The purpose of the modeling requirement is to ensure that the Cellular licensee will consider the impact on the ground of “hot spots” when deploying at the Higher PSD Limits and will use engineering techniques t</w:t>
      </w:r>
      <w:r w:rsidRPr="00D535AF" w:rsidR="004A1259">
        <w:rPr>
          <w:rFonts w:ascii="Times New Roman" w:hAnsi="Times New Roman" w:cs="Times New Roman"/>
        </w:rPr>
        <w:t xml:space="preserve">o minimize those “hot spots.”  </w:t>
      </w:r>
    </w:p>
    <w:p w:rsidR="000052E4" w:rsidRPr="00D535AF" w:rsidP="00110E16" w14:paraId="7A6C6375" w14:textId="77777777">
      <w:pPr>
        <w:pStyle w:val="ListParagraph"/>
        <w:rPr>
          <w:rFonts w:ascii="Times New Roman" w:hAnsi="Times New Roman" w:cs="Times New Roman"/>
        </w:rPr>
      </w:pPr>
    </w:p>
    <w:p w:rsidR="00C96F55" w:rsidRPr="00D535AF" w:rsidP="00110E16" w14:paraId="5BDB1569" w14:textId="0142CAD8">
      <w:pPr>
        <w:pStyle w:val="ListParagraph"/>
        <w:numPr>
          <w:ilvl w:val="0"/>
          <w:numId w:val="36"/>
        </w:numPr>
        <w:jc w:val="both"/>
        <w:rPr>
          <w:rFonts w:ascii="Times New Roman" w:hAnsi="Times New Roman" w:cs="Times New Roman"/>
        </w:rPr>
      </w:pPr>
      <w:r w:rsidRPr="00D535AF">
        <w:rPr>
          <w:rFonts w:ascii="Times New Roman" w:hAnsi="Times New Roman" w:cs="Times New Roman"/>
        </w:rPr>
        <w:t>While l</w:t>
      </w:r>
      <w:r w:rsidRPr="00D535AF" w:rsidR="008F0B10">
        <w:rPr>
          <w:rFonts w:ascii="Times New Roman" w:hAnsi="Times New Roman" w:cs="Times New Roman"/>
        </w:rPr>
        <w:t xml:space="preserve">icensees must use modeling tools (software) that take into account </w:t>
      </w:r>
      <w:r w:rsidRPr="00D535AF">
        <w:rPr>
          <w:rFonts w:ascii="Times New Roman" w:hAnsi="Times New Roman" w:cs="Times New Roman"/>
        </w:rPr>
        <w:t>terrain and local conditions, t</w:t>
      </w:r>
      <w:r w:rsidRPr="00D535AF" w:rsidR="008F0B10">
        <w:rPr>
          <w:rFonts w:ascii="Times New Roman" w:hAnsi="Times New Roman" w:cs="Times New Roman"/>
        </w:rPr>
        <w:t>he model need not consider areas indoors or in buildings because this could vary widely depending on building materials.</w:t>
      </w:r>
    </w:p>
    <w:p w:rsidR="0004488B" w:rsidRPr="00D535AF" w:rsidP="0004488B" w14:paraId="40CFA7A5" w14:textId="2D5AA413">
      <w:pPr>
        <w:ind w:firstLine="720"/>
        <w:jc w:val="both"/>
        <w:rPr>
          <w:rFonts w:ascii="Times New Roman" w:hAnsi="Times New Roman" w:cs="Times New Roman"/>
        </w:rPr>
      </w:pPr>
      <w:r w:rsidRPr="00D535AF">
        <w:rPr>
          <w:rFonts w:ascii="Times New Roman" w:hAnsi="Times New Roman" w:cs="Times New Roman"/>
          <w:i/>
          <w:u w:val="single"/>
        </w:rPr>
        <w:t>Retention of Existing Non-PSD ERP Limits</w:t>
      </w:r>
      <w:r w:rsidRPr="00D535AF">
        <w:rPr>
          <w:rFonts w:ascii="Times New Roman" w:hAnsi="Times New Roman" w:cs="Times New Roman"/>
        </w:rPr>
        <w:t xml:space="preserve">.  (47 CFR §§ </w:t>
      </w:r>
      <w:r w:rsidRPr="00D535AF" w:rsidR="00A846BE">
        <w:rPr>
          <w:rFonts w:ascii="Times New Roman" w:hAnsi="Times New Roman" w:cs="Times New Roman"/>
        </w:rPr>
        <w:t>22.913</w:t>
      </w:r>
      <w:r w:rsidRPr="00D535AF" w:rsidR="00D271EB">
        <w:rPr>
          <w:rFonts w:ascii="Times New Roman" w:hAnsi="Times New Roman" w:cs="Times New Roman"/>
        </w:rPr>
        <w:t xml:space="preserve">(a)(1)(i) and </w:t>
      </w:r>
      <w:r w:rsidRPr="00D535AF" w:rsidR="00A846BE">
        <w:rPr>
          <w:rFonts w:ascii="Times New Roman" w:hAnsi="Times New Roman" w:cs="Times New Roman"/>
        </w:rPr>
        <w:t>(a)(2)(i)</w:t>
      </w:r>
      <w:r w:rsidRPr="00D535AF">
        <w:rPr>
          <w:rFonts w:ascii="Times New Roman" w:hAnsi="Times New Roman" w:cs="Times New Roman"/>
        </w:rPr>
        <w:t>)</w:t>
      </w:r>
    </w:p>
    <w:p w:rsidR="0004488B" w:rsidRPr="00D535AF" w:rsidP="0004488B" w14:paraId="57096F81" w14:textId="180D7389">
      <w:pPr>
        <w:pStyle w:val="ListParagraph"/>
        <w:numPr>
          <w:ilvl w:val="0"/>
          <w:numId w:val="33"/>
        </w:numPr>
        <w:jc w:val="both"/>
        <w:rPr>
          <w:rFonts w:ascii="Times New Roman" w:hAnsi="Times New Roman" w:cs="Times New Roman"/>
        </w:rPr>
      </w:pPr>
      <w:r w:rsidRPr="00D535AF">
        <w:rPr>
          <w:rFonts w:ascii="Times New Roman" w:hAnsi="Times New Roman" w:cs="Times New Roman"/>
        </w:rPr>
        <w:t>The existing non-PSD ERP lim</w:t>
      </w:r>
      <w:r w:rsidR="004369B3">
        <w:rPr>
          <w:rFonts w:ascii="Times New Roman" w:hAnsi="Times New Roman" w:cs="Times New Roman"/>
        </w:rPr>
        <w:t xml:space="preserve">its set forth in Section 22.913 </w:t>
      </w:r>
      <w:r w:rsidR="004369B3">
        <w:t>–</w:t>
      </w:r>
      <w:r w:rsidR="004369B3">
        <w:rPr>
          <w:rFonts w:ascii="Times New Roman" w:hAnsi="Times New Roman" w:cs="Times New Roman"/>
        </w:rPr>
        <w:t xml:space="preserve"> </w:t>
      </w:r>
      <w:r w:rsidRPr="00D535AF">
        <w:rPr>
          <w:rFonts w:ascii="Times New Roman" w:hAnsi="Times New Roman" w:cs="Times New Roman"/>
        </w:rPr>
        <w:t xml:space="preserve">500 </w:t>
      </w:r>
      <w:r w:rsidRPr="00D535AF" w:rsidR="0038541C">
        <w:rPr>
          <w:rFonts w:ascii="Times New Roman" w:hAnsi="Times New Roman" w:cs="Times New Roman"/>
        </w:rPr>
        <w:t xml:space="preserve">watts </w:t>
      </w:r>
      <w:r w:rsidRPr="00D535AF">
        <w:rPr>
          <w:rFonts w:ascii="Times New Roman" w:hAnsi="Times New Roman" w:cs="Times New Roman"/>
        </w:rPr>
        <w:t xml:space="preserve">in non-rural areas, and </w:t>
      </w:r>
      <w:r w:rsidRPr="00D535AF" w:rsidR="0038541C">
        <w:rPr>
          <w:rFonts w:ascii="Times New Roman" w:hAnsi="Times New Roman" w:cs="Times New Roman"/>
        </w:rPr>
        <w:t xml:space="preserve">1000 watts </w:t>
      </w:r>
      <w:r w:rsidR="004369B3">
        <w:rPr>
          <w:rFonts w:ascii="Times New Roman" w:hAnsi="Times New Roman" w:cs="Times New Roman"/>
        </w:rPr>
        <w:t xml:space="preserve">in rural areas </w:t>
      </w:r>
      <w:r w:rsidR="004369B3">
        <w:t xml:space="preserve">– </w:t>
      </w:r>
      <w:r w:rsidRPr="00D535AF">
        <w:rPr>
          <w:rFonts w:ascii="Times New Roman" w:hAnsi="Times New Roman" w:cs="Times New Roman"/>
        </w:rPr>
        <w:t xml:space="preserve">were retained </w:t>
      </w:r>
      <w:r w:rsidRPr="00D535AF" w:rsidR="00A66EF8">
        <w:rPr>
          <w:rFonts w:ascii="Times New Roman" w:hAnsi="Times New Roman" w:cs="Times New Roman"/>
        </w:rPr>
        <w:t xml:space="preserve">without change </w:t>
      </w:r>
      <w:r w:rsidRPr="00D535AF">
        <w:rPr>
          <w:rFonts w:ascii="Times New Roman" w:hAnsi="Times New Roman" w:cs="Times New Roman"/>
        </w:rPr>
        <w:t xml:space="preserve">as an option for Cellular licensees that either cannot or choose not to operate their systems using a PSD model.  </w:t>
      </w:r>
    </w:p>
    <w:p w:rsidR="0004488B" w:rsidRPr="00D535AF" w:rsidP="0004488B" w14:paraId="200797E2" w14:textId="77777777">
      <w:pPr>
        <w:pStyle w:val="ListParagraph"/>
        <w:ind w:left="1440"/>
        <w:jc w:val="both"/>
        <w:rPr>
          <w:rFonts w:ascii="Times New Roman" w:hAnsi="Times New Roman" w:cs="Times New Roman"/>
        </w:rPr>
      </w:pPr>
      <w:r w:rsidRPr="00D535AF">
        <w:rPr>
          <w:rFonts w:ascii="Times New Roman" w:hAnsi="Times New Roman" w:cs="Times New Roman"/>
        </w:rPr>
        <w:t xml:space="preserve"> </w:t>
      </w:r>
    </w:p>
    <w:p w:rsidR="0004488B" w:rsidRPr="00D535AF" w:rsidP="0004488B" w14:paraId="5E5A81C8" w14:textId="77777777">
      <w:pPr>
        <w:pStyle w:val="ListParagraph"/>
        <w:numPr>
          <w:ilvl w:val="0"/>
          <w:numId w:val="33"/>
        </w:numPr>
        <w:jc w:val="both"/>
        <w:rPr>
          <w:rFonts w:ascii="Times New Roman" w:hAnsi="Times New Roman" w:cs="Times New Roman"/>
        </w:rPr>
      </w:pPr>
      <w:r w:rsidRPr="00D535AF">
        <w:rPr>
          <w:rFonts w:ascii="Times New Roman" w:hAnsi="Times New Roman" w:cs="Times New Roman"/>
        </w:rPr>
        <w:t xml:space="preserve">The non-PSD ERP limits apply per emission.  </w:t>
      </w:r>
    </w:p>
    <w:p w:rsidR="002B4CAB" w:rsidRPr="00D535AF" w:rsidP="002B4CAB" w14:paraId="7589EF6D" w14:textId="77777777">
      <w:pPr>
        <w:pStyle w:val="ListParagraph"/>
        <w:rPr>
          <w:rFonts w:ascii="Times New Roman" w:hAnsi="Times New Roman" w:cs="Times New Roman"/>
        </w:rPr>
      </w:pPr>
    </w:p>
    <w:p w:rsidR="00603733" w:rsidRPr="00D535AF" w:rsidP="00603733" w14:paraId="4391C55B" w14:textId="4A005212">
      <w:pPr>
        <w:pStyle w:val="ListParagraph"/>
        <w:rPr>
          <w:rFonts w:ascii="Times New Roman" w:hAnsi="Times New Roman" w:cs="Times New Roman"/>
        </w:rPr>
      </w:pPr>
      <w:r w:rsidRPr="00D535AF">
        <w:rPr>
          <w:rFonts w:ascii="Times New Roman" w:hAnsi="Times New Roman" w:cs="Times New Roman"/>
          <w:i/>
          <w:u w:val="single"/>
        </w:rPr>
        <w:t>Retention of Existing Limit for Mobile and Auxiliary Test Transmitters</w:t>
      </w:r>
      <w:r w:rsidRPr="00D535AF">
        <w:rPr>
          <w:rFonts w:ascii="Times New Roman" w:hAnsi="Times New Roman" w:cs="Times New Roman"/>
        </w:rPr>
        <w:t>.   (47 CFR § 22.913(a)(5))</w:t>
      </w:r>
    </w:p>
    <w:p w:rsidR="00603733" w:rsidRPr="00D535AF" w:rsidP="001134EC" w14:paraId="00CD265A" w14:textId="014D61FB">
      <w:pPr>
        <w:pStyle w:val="ParaNum"/>
        <w:numPr>
          <w:ilvl w:val="0"/>
          <w:numId w:val="47"/>
        </w:numPr>
        <w:rPr>
          <w:rFonts w:ascii="Times New Roman" w:hAnsi="Times New Roman" w:cs="Times New Roman"/>
        </w:rPr>
      </w:pPr>
      <w:r w:rsidRPr="00D535AF">
        <w:rPr>
          <w:rFonts w:ascii="Times New Roman" w:hAnsi="Times New Roman" w:cs="Times New Roman"/>
        </w:rPr>
        <w:t>The existing limit of 7 W ERP for mobile transmitters and auxiliary test transmitters contained in Section 22.913(a)(2) was retained, but was moved t</w:t>
      </w:r>
      <w:r w:rsidR="00870600">
        <w:rPr>
          <w:rFonts w:ascii="Times New Roman" w:hAnsi="Times New Roman" w:cs="Times New Roman"/>
        </w:rPr>
        <w:t xml:space="preserve">o a new subsection of the rule </w:t>
      </w:r>
      <w:r w:rsidR="00870600">
        <w:t>–</w:t>
      </w:r>
      <w:r w:rsidRPr="00D535AF">
        <w:rPr>
          <w:rFonts w:ascii="Times New Roman" w:hAnsi="Times New Roman" w:cs="Times New Roman"/>
        </w:rPr>
        <w:t xml:space="preserve"> Section 22.913(a)(5).</w:t>
      </w:r>
    </w:p>
    <w:p w:rsidR="0038541C" w:rsidRPr="00D535AF" w:rsidP="001134EC" w14:paraId="7DC739AF" w14:textId="7EDFC9D5">
      <w:pPr>
        <w:spacing w:after="120"/>
        <w:ind w:firstLine="720"/>
        <w:jc w:val="both"/>
        <w:rPr>
          <w:rFonts w:ascii="Times New Roman" w:hAnsi="Times New Roman" w:cs="Times New Roman"/>
        </w:rPr>
      </w:pPr>
      <w:bookmarkStart w:id="50" w:name="_Toc474348275"/>
      <w:bookmarkStart w:id="51" w:name="_Toc474351609"/>
      <w:bookmarkStart w:id="52" w:name="_Toc474352539"/>
      <w:bookmarkStart w:id="53" w:name="_Toc474353401"/>
      <w:bookmarkStart w:id="54" w:name="_Toc474532719"/>
      <w:bookmarkStart w:id="55" w:name="_Toc474534385"/>
      <w:bookmarkStart w:id="56" w:name="_Toc474752012"/>
      <w:bookmarkStart w:id="57" w:name="_Toc474947251"/>
      <w:bookmarkStart w:id="58" w:name="_Toc475028051"/>
      <w:bookmarkStart w:id="59" w:name="_Toc475537214"/>
      <w:bookmarkStart w:id="60" w:name="_Toc475899414"/>
      <w:bookmarkStart w:id="61" w:name="_Toc477805748"/>
      <w:bookmarkStart w:id="62" w:name="_Toc477954182"/>
      <w:bookmarkStart w:id="63" w:name="_Toc492564189"/>
      <w:r w:rsidRPr="00D535AF">
        <w:rPr>
          <w:rFonts w:ascii="Times New Roman" w:hAnsi="Times New Roman" w:cs="Times New Roman"/>
          <w:i/>
          <w:u w:val="single"/>
        </w:rPr>
        <w:t>Power Measurement</w:t>
      </w:r>
      <w:bookmarkEnd w:id="50"/>
      <w:r w:rsidRPr="00D535AF">
        <w:rPr>
          <w:rFonts w:ascii="Times New Roman" w:hAnsi="Times New Roman" w:cs="Times New Roman"/>
          <w:i/>
          <w:u w:val="single"/>
        </w:rPr>
        <w:t>:  Peak vs. Average/Peak-to-Average Ratio</w:t>
      </w:r>
      <w:bookmarkEnd w:id="51"/>
      <w:bookmarkEnd w:id="52"/>
      <w:bookmarkEnd w:id="53"/>
      <w:bookmarkEnd w:id="54"/>
      <w:bookmarkEnd w:id="55"/>
      <w:bookmarkEnd w:id="56"/>
      <w:bookmarkEnd w:id="57"/>
      <w:bookmarkEnd w:id="58"/>
      <w:bookmarkEnd w:id="59"/>
      <w:bookmarkEnd w:id="60"/>
      <w:bookmarkEnd w:id="61"/>
      <w:bookmarkEnd w:id="62"/>
      <w:bookmarkEnd w:id="63"/>
      <w:r w:rsidRPr="00D535AF">
        <w:rPr>
          <w:rFonts w:ascii="Times New Roman" w:hAnsi="Times New Roman" w:cs="Times New Roman"/>
          <w:i/>
        </w:rPr>
        <w:t xml:space="preserve">. </w:t>
      </w:r>
      <w:r w:rsidRPr="00D535AF">
        <w:rPr>
          <w:rFonts w:ascii="Times New Roman" w:hAnsi="Times New Roman" w:cs="Times New Roman"/>
        </w:rPr>
        <w:t>(47 CFR § 22.913(d))</w:t>
      </w:r>
    </w:p>
    <w:p w:rsidR="00A722D4" w:rsidRPr="00D535AF" w:rsidP="00A722D4" w14:paraId="730B6374" w14:textId="42825C0E">
      <w:pPr>
        <w:pStyle w:val="ParaNum"/>
        <w:numPr>
          <w:ilvl w:val="0"/>
          <w:numId w:val="42"/>
        </w:numPr>
        <w:jc w:val="both"/>
        <w:rPr>
          <w:rFonts w:ascii="Times New Roman" w:hAnsi="Times New Roman" w:cs="Times New Roman"/>
        </w:rPr>
      </w:pPr>
      <w:r w:rsidRPr="00D535AF">
        <w:rPr>
          <w:rFonts w:ascii="Times New Roman" w:hAnsi="Times New Roman" w:cs="Times New Roman"/>
        </w:rPr>
        <w:t>Measurement of the ERP of Cellular base transmitters and repeaters must be made using an average power measurement technique</w:t>
      </w:r>
      <w:r w:rsidRPr="00D535AF">
        <w:rPr>
          <w:rFonts w:ascii="Times New Roman" w:hAnsi="Times New Roman" w:cs="Times New Roman"/>
        </w:rPr>
        <w:t>.</w:t>
      </w:r>
    </w:p>
    <w:p w:rsidR="0038541C" w:rsidRPr="00D535AF" w:rsidP="00A722D4" w14:paraId="02F8B9B0" w14:textId="2CD5A577">
      <w:pPr>
        <w:pStyle w:val="ParaNum"/>
        <w:numPr>
          <w:ilvl w:val="0"/>
          <w:numId w:val="42"/>
        </w:numPr>
        <w:jc w:val="both"/>
        <w:rPr>
          <w:rFonts w:ascii="Times New Roman" w:hAnsi="Times New Roman" w:cs="Times New Roman"/>
        </w:rPr>
      </w:pPr>
      <w:r w:rsidRPr="00D535AF">
        <w:rPr>
          <w:rFonts w:ascii="Times New Roman" w:hAnsi="Times New Roman" w:cs="Times New Roman"/>
        </w:rPr>
        <w:t xml:space="preserve">The peak-to-average ratio of the transmission must not exceed 13 dB.  </w:t>
      </w:r>
    </w:p>
    <w:p w:rsidR="00A722D4" w:rsidRPr="00D535AF" w:rsidP="00A722D4" w14:paraId="1B399356" w14:textId="77777777">
      <w:pPr>
        <w:pStyle w:val="NoSpacing"/>
        <w:numPr>
          <w:ilvl w:val="0"/>
          <w:numId w:val="42"/>
        </w:numPr>
        <w:spacing w:after="120"/>
        <w:rPr>
          <w:rFonts w:ascii="Times New Roman" w:hAnsi="Times New Roman"/>
        </w:rPr>
      </w:pPr>
      <w:r w:rsidRPr="00D535AF">
        <w:rPr>
          <w:rFonts w:ascii="Times New Roman" w:hAnsi="Times New Roman"/>
        </w:rPr>
        <w:t>Power measurements for base transmitters and repeaters must be made in accordance with either of the following:</w:t>
      </w:r>
    </w:p>
    <w:p w:rsidR="00A722D4" w:rsidRPr="00D535AF" w:rsidP="00A722D4" w14:paraId="0AD5FA33" w14:textId="03497B07">
      <w:pPr>
        <w:pStyle w:val="NoSpacing"/>
        <w:numPr>
          <w:ilvl w:val="1"/>
          <w:numId w:val="42"/>
        </w:numPr>
        <w:spacing w:after="120"/>
        <w:rPr>
          <w:rFonts w:ascii="Times New Roman" w:hAnsi="Times New Roman"/>
        </w:rPr>
      </w:pPr>
      <w:r w:rsidRPr="00D535AF">
        <w:rPr>
          <w:rFonts w:ascii="Times New Roman" w:hAnsi="Times New Roman"/>
        </w:rPr>
        <w:t>A Commission-approved average power technique (</w:t>
      </w:r>
      <w:r w:rsidRPr="00D535AF">
        <w:rPr>
          <w:rFonts w:ascii="Times New Roman" w:hAnsi="Times New Roman"/>
          <w:i/>
        </w:rPr>
        <w:t>see</w:t>
      </w:r>
      <w:r w:rsidRPr="00D535AF">
        <w:rPr>
          <w:rFonts w:ascii="Times New Roman" w:hAnsi="Times New Roman"/>
        </w:rPr>
        <w:t xml:space="preserve"> FCC Laboratory’s Knowledge Database (KDB)</w:t>
      </w:r>
      <w:r w:rsidRPr="00D535AF" w:rsidR="00BF586C">
        <w:rPr>
          <w:rFonts w:ascii="Times New Roman" w:hAnsi="Times New Roman"/>
        </w:rPr>
        <w:t xml:space="preserve"> (</w:t>
      </w:r>
      <w:r w:rsidRPr="00D535AF" w:rsidR="0041154E">
        <w:rPr>
          <w:rFonts w:ascii="Times New Roman" w:hAnsi="Times New Roman"/>
        </w:rPr>
        <w:t xml:space="preserve">available at </w:t>
      </w:r>
      <w:r>
        <w:fldChar w:fldCharType="begin"/>
      </w:r>
      <w:r>
        <w:instrText xml:space="preserve"> HYPERLINK "http://www.fcc.gov/labhelp" </w:instrText>
      </w:r>
      <w:r>
        <w:fldChar w:fldCharType="separate"/>
      </w:r>
      <w:r w:rsidRPr="00D535AF" w:rsidR="00BF586C">
        <w:rPr>
          <w:rStyle w:val="Hyperlink"/>
          <w:rFonts w:ascii="Times New Roman" w:hAnsi="Times New Roman"/>
        </w:rPr>
        <w:t>www.fcc.gov/labhelp</w:t>
      </w:r>
      <w:r>
        <w:fldChar w:fldCharType="end"/>
      </w:r>
      <w:r w:rsidRPr="00D535AF">
        <w:rPr>
          <w:rFonts w:ascii="Times New Roman" w:hAnsi="Times New Roman"/>
        </w:rPr>
        <w:t>)</w:t>
      </w:r>
      <w:r w:rsidRPr="00D535AF" w:rsidR="0041154E">
        <w:rPr>
          <w:rFonts w:ascii="Times New Roman" w:hAnsi="Times New Roman"/>
        </w:rPr>
        <w:t>)</w:t>
      </w:r>
      <w:r w:rsidRPr="00D535AF">
        <w:rPr>
          <w:rFonts w:ascii="Times New Roman" w:hAnsi="Times New Roman"/>
        </w:rPr>
        <w:t>; or</w:t>
      </w:r>
    </w:p>
    <w:p w:rsidR="0038541C" w:rsidRPr="00D535AF" w:rsidP="00A722D4" w14:paraId="1AF83A2E" w14:textId="0F1A32B3">
      <w:pPr>
        <w:pStyle w:val="ParaNum"/>
        <w:numPr>
          <w:ilvl w:val="1"/>
          <w:numId w:val="42"/>
        </w:numPr>
        <w:jc w:val="both"/>
        <w:rPr>
          <w:rFonts w:ascii="Times New Roman" w:hAnsi="Times New Roman" w:cs="Times New Roman"/>
        </w:rPr>
      </w:pPr>
      <w:r w:rsidRPr="00D535AF">
        <w:rPr>
          <w:rFonts w:ascii="Times New Roman" w:hAnsi="Times New Roman" w:cs="Times New Roman"/>
        </w:rPr>
        <w:t xml:space="preserve">Peak transmit power.  For purposes of this section, peak transmit power must be measured over an interval of continuous transmission using instrumentation calibrated in terms of an rms-equivalent voltage. The measurement results </w:t>
      </w:r>
      <w:r w:rsidRPr="00D535AF" w:rsidR="0037080C">
        <w:rPr>
          <w:rFonts w:ascii="Times New Roman" w:hAnsi="Times New Roman" w:cs="Times New Roman"/>
        </w:rPr>
        <w:t xml:space="preserve">must </w:t>
      </w:r>
      <w:r w:rsidRPr="00D535AF">
        <w:rPr>
          <w:rFonts w:ascii="Times New Roman" w:hAnsi="Times New Roman" w:cs="Times New Roman"/>
        </w:rPr>
        <w:t xml:space="preserve">be properly adjusted for any instrument limitations, such as detector response times, limited resolution bandwidth capability when compared to the emission bandwidth, sensitivity, </w:t>
      </w:r>
      <w:r w:rsidRPr="00D535AF">
        <w:rPr>
          <w:rFonts w:ascii="Times New Roman" w:hAnsi="Times New Roman" w:cs="Times New Roman"/>
          <w:i/>
          <w:iCs/>
        </w:rPr>
        <w:t>etc.</w:t>
      </w:r>
      <w:r w:rsidRPr="00D535AF">
        <w:rPr>
          <w:rFonts w:ascii="Times New Roman" w:hAnsi="Times New Roman" w:cs="Times New Roman"/>
        </w:rPr>
        <w:t>, so as to obtain a true peak measurement for the emission in question over the full bandwidth of the channel.</w:t>
      </w:r>
      <w:r w:rsidRPr="00D535AF">
        <w:rPr>
          <w:rFonts w:ascii="Times New Roman" w:hAnsi="Times New Roman" w:cs="Times New Roman"/>
        </w:rPr>
        <w:t xml:space="preserve">  </w:t>
      </w:r>
    </w:p>
    <w:p w:rsidR="0038541C" w:rsidRPr="00D535AF" w:rsidP="00A722D4" w14:paraId="4FD1AAAC" w14:textId="7124522D">
      <w:pPr>
        <w:pStyle w:val="ListParagraph"/>
        <w:numPr>
          <w:ilvl w:val="0"/>
          <w:numId w:val="42"/>
        </w:numPr>
        <w:jc w:val="both"/>
        <w:rPr>
          <w:rFonts w:ascii="Times New Roman" w:hAnsi="Times New Roman" w:cs="Times New Roman"/>
        </w:rPr>
      </w:pPr>
      <w:r w:rsidRPr="00D535AF">
        <w:rPr>
          <w:rFonts w:ascii="Times New Roman" w:hAnsi="Times New Roman" w:cs="Times New Roman"/>
        </w:rPr>
        <w:t xml:space="preserve">Licensees should consult the FCC Laboratory’s </w:t>
      </w:r>
      <w:r w:rsidRPr="00D535AF" w:rsidR="00A722D4">
        <w:rPr>
          <w:rFonts w:ascii="Times New Roman" w:hAnsi="Times New Roman" w:cs="Times New Roman"/>
        </w:rPr>
        <w:t>KDB</w:t>
      </w:r>
      <w:r w:rsidRPr="00D535AF">
        <w:rPr>
          <w:rFonts w:ascii="Times New Roman" w:hAnsi="Times New Roman" w:cs="Times New Roman"/>
        </w:rPr>
        <w:t xml:space="preserve"> </w:t>
      </w:r>
      <w:r w:rsidRPr="00D535AF" w:rsidR="00A73367">
        <w:rPr>
          <w:rFonts w:ascii="Times New Roman" w:hAnsi="Times New Roman" w:cs="Times New Roman"/>
        </w:rPr>
        <w:t>r</w:t>
      </w:r>
      <w:r w:rsidRPr="00D535AF">
        <w:rPr>
          <w:rFonts w:ascii="Times New Roman" w:hAnsi="Times New Roman" w:cs="Times New Roman"/>
        </w:rPr>
        <w:t>egularly for the</w:t>
      </w:r>
      <w:r w:rsidRPr="00D535AF" w:rsidR="000F481F">
        <w:rPr>
          <w:rFonts w:ascii="Times New Roman" w:hAnsi="Times New Roman" w:cs="Times New Roman"/>
        </w:rPr>
        <w:t xml:space="preserve"> latest recommended Commission-approved measurement </w:t>
      </w:r>
      <w:r w:rsidRPr="00D535AF" w:rsidR="00E210AE">
        <w:rPr>
          <w:rFonts w:ascii="Times New Roman" w:hAnsi="Times New Roman" w:cs="Times New Roman"/>
        </w:rPr>
        <w:t>procedures and</w:t>
      </w:r>
      <w:r w:rsidRPr="00D535AF">
        <w:rPr>
          <w:rFonts w:ascii="Times New Roman" w:hAnsi="Times New Roman" w:cs="Times New Roman"/>
        </w:rPr>
        <w:t xml:space="preserve"> techniques.  </w:t>
      </w:r>
    </w:p>
    <w:p w:rsidR="00C17B61" w:rsidRPr="00D535AF" w:rsidP="00BF586C" w14:paraId="1D61BE17" w14:textId="110A7244">
      <w:pPr>
        <w:ind w:firstLine="720"/>
        <w:jc w:val="both"/>
        <w:rPr>
          <w:rFonts w:ascii="Times New Roman" w:hAnsi="Times New Roman" w:cs="Times New Roman"/>
          <w:i/>
        </w:rPr>
      </w:pPr>
      <w:r w:rsidRPr="00D535AF">
        <w:rPr>
          <w:rFonts w:ascii="Times New Roman" w:hAnsi="Times New Roman" w:cs="Times New Roman"/>
        </w:rPr>
        <w:t xml:space="preserve"> </w:t>
      </w:r>
      <w:r w:rsidRPr="00D535AF">
        <w:rPr>
          <w:rFonts w:ascii="Times New Roman" w:hAnsi="Times New Roman" w:cs="Times New Roman"/>
          <w:i/>
          <w:u w:val="single"/>
        </w:rPr>
        <w:t>Height-Power Limit and Exemptions</w:t>
      </w:r>
      <w:r w:rsidRPr="00D535AF">
        <w:rPr>
          <w:rFonts w:ascii="Times New Roman" w:hAnsi="Times New Roman" w:cs="Times New Roman"/>
          <w:i/>
        </w:rPr>
        <w:t xml:space="preserve">.  </w:t>
      </w:r>
      <w:r w:rsidRPr="00D535AF" w:rsidR="00953F5D">
        <w:rPr>
          <w:rFonts w:ascii="Times New Roman" w:hAnsi="Times New Roman" w:cs="Times New Roman"/>
        </w:rPr>
        <w:t>(47 CFR § 22.913(e) and (f))</w:t>
      </w:r>
    </w:p>
    <w:p w:rsidR="00C17B61" w:rsidRPr="00D535AF" w:rsidP="00C17B61" w14:paraId="49C62BE8" w14:textId="3E5F73DF">
      <w:pPr>
        <w:pStyle w:val="ParaNum"/>
        <w:numPr>
          <w:ilvl w:val="0"/>
          <w:numId w:val="41"/>
        </w:numPr>
        <w:jc w:val="both"/>
        <w:rPr>
          <w:rFonts w:ascii="Times New Roman" w:hAnsi="Times New Roman" w:cs="Times New Roman"/>
        </w:rPr>
      </w:pPr>
      <w:r w:rsidRPr="00D535AF">
        <w:rPr>
          <w:rFonts w:ascii="Times New Roman" w:hAnsi="Times New Roman" w:cs="Times New Roman"/>
        </w:rPr>
        <w:t xml:space="preserve">The existing height-power limit </w:t>
      </w:r>
      <w:r w:rsidRPr="00D535AF" w:rsidR="00953F5D">
        <w:rPr>
          <w:rFonts w:ascii="Times New Roman" w:hAnsi="Times New Roman" w:cs="Times New Roman"/>
        </w:rPr>
        <w:t>was</w:t>
      </w:r>
      <w:r w:rsidRPr="00D535AF">
        <w:rPr>
          <w:rFonts w:ascii="Times New Roman" w:hAnsi="Times New Roman" w:cs="Times New Roman"/>
        </w:rPr>
        <w:t xml:space="preserve"> retained</w:t>
      </w:r>
      <w:r w:rsidRPr="00D535AF" w:rsidR="00E75204">
        <w:rPr>
          <w:rFonts w:ascii="Times New Roman" w:hAnsi="Times New Roman" w:cs="Times New Roman"/>
        </w:rPr>
        <w:t xml:space="preserve">, but only </w:t>
      </w:r>
      <w:r w:rsidRPr="00D535AF">
        <w:rPr>
          <w:rFonts w:ascii="Times New Roman" w:hAnsi="Times New Roman" w:cs="Times New Roman"/>
        </w:rPr>
        <w:t xml:space="preserve">for licensees that do not use PSD. </w:t>
      </w:r>
    </w:p>
    <w:p w:rsidR="00E75204" w:rsidRPr="00D535AF" w:rsidP="00C17B61" w14:paraId="69EF31AB" w14:textId="6EED1823">
      <w:pPr>
        <w:pStyle w:val="ParaNum"/>
        <w:numPr>
          <w:ilvl w:val="0"/>
          <w:numId w:val="41"/>
        </w:numPr>
        <w:jc w:val="both"/>
        <w:rPr>
          <w:rFonts w:ascii="Times New Roman" w:hAnsi="Times New Roman" w:cs="Times New Roman"/>
        </w:rPr>
      </w:pPr>
      <w:r w:rsidRPr="00D535AF">
        <w:rPr>
          <w:rFonts w:ascii="Times New Roman" w:hAnsi="Times New Roman" w:cs="Times New Roman"/>
        </w:rPr>
        <w:t>The existing “coordination exemption” was retained, but a</w:t>
      </w:r>
      <w:r w:rsidRPr="00D535AF" w:rsidR="00C17B61">
        <w:rPr>
          <w:rFonts w:ascii="Times New Roman" w:hAnsi="Times New Roman" w:cs="Times New Roman"/>
        </w:rPr>
        <w:t>n</w:t>
      </w:r>
      <w:r w:rsidRPr="00D535AF" w:rsidR="00953F5D">
        <w:rPr>
          <w:rFonts w:ascii="Times New Roman" w:hAnsi="Times New Roman" w:cs="Times New Roman"/>
        </w:rPr>
        <w:t>other</w:t>
      </w:r>
      <w:r w:rsidRPr="00D535AF" w:rsidR="00C17B61">
        <w:rPr>
          <w:rFonts w:ascii="Times New Roman" w:hAnsi="Times New Roman" w:cs="Times New Roman"/>
        </w:rPr>
        <w:t xml:space="preserve"> exemption was added for licensees operating their systems using PSD.  </w:t>
      </w:r>
    </w:p>
    <w:p w:rsidR="00C17B61" w:rsidRPr="00D535AF" w:rsidP="00C17B61" w14:paraId="528F3BEC" w14:textId="4775242E">
      <w:pPr>
        <w:pStyle w:val="ParaNum"/>
        <w:numPr>
          <w:ilvl w:val="0"/>
          <w:numId w:val="41"/>
        </w:numPr>
        <w:jc w:val="both"/>
        <w:rPr>
          <w:rFonts w:ascii="Times New Roman" w:hAnsi="Times New Roman" w:cs="Times New Roman"/>
        </w:rPr>
      </w:pPr>
      <w:r w:rsidRPr="00D535AF">
        <w:rPr>
          <w:rFonts w:ascii="Times New Roman" w:hAnsi="Times New Roman" w:cs="Times New Roman"/>
        </w:rPr>
        <w:t xml:space="preserve">Hence, </w:t>
      </w:r>
      <w:r w:rsidRPr="00D535AF" w:rsidR="00A73367">
        <w:rPr>
          <w:rFonts w:ascii="Times New Roman" w:hAnsi="Times New Roman" w:cs="Times New Roman"/>
        </w:rPr>
        <w:t xml:space="preserve">under the revised provisions, </w:t>
      </w:r>
      <w:r w:rsidRPr="00D535AF">
        <w:rPr>
          <w:rFonts w:ascii="Times New Roman" w:hAnsi="Times New Roman" w:cs="Times New Roman"/>
        </w:rPr>
        <w:t>l</w:t>
      </w:r>
      <w:r w:rsidRPr="00D535AF">
        <w:rPr>
          <w:rFonts w:ascii="Times New Roman" w:hAnsi="Times New Roman" w:cs="Times New Roman"/>
        </w:rPr>
        <w:t>icensees are not required to comply with the height-power limits in Section 22.913(e) if either</w:t>
      </w:r>
      <w:r w:rsidRPr="00D535AF" w:rsidR="00F62895">
        <w:rPr>
          <w:rFonts w:ascii="Times New Roman" w:hAnsi="Times New Roman" w:cs="Times New Roman"/>
        </w:rPr>
        <w:t xml:space="preserve"> of the following conditions is</w:t>
      </w:r>
      <w:r w:rsidRPr="00D535AF">
        <w:rPr>
          <w:rFonts w:ascii="Times New Roman" w:hAnsi="Times New Roman" w:cs="Times New Roman"/>
        </w:rPr>
        <w:t xml:space="preserve"> met:   </w:t>
      </w:r>
    </w:p>
    <w:p w:rsidR="00C17B61" w:rsidRPr="00D535AF" w:rsidP="00C17B61" w14:paraId="5BFAA200" w14:textId="77777777">
      <w:pPr>
        <w:pStyle w:val="ParaNum"/>
        <w:numPr>
          <w:ilvl w:val="1"/>
          <w:numId w:val="41"/>
        </w:numPr>
        <w:jc w:val="both"/>
        <w:rPr>
          <w:rFonts w:ascii="Times New Roman" w:hAnsi="Times New Roman" w:cs="Times New Roman"/>
        </w:rPr>
      </w:pPr>
      <w:r w:rsidRPr="00D535AF">
        <w:rPr>
          <w:rFonts w:ascii="Times New Roman" w:hAnsi="Times New Roman" w:cs="Times New Roman"/>
        </w:rPr>
        <w:t xml:space="preserve">The proposed operation is coordinated with the licensees of all affected Cellular systems on the same channel block within 121 kilometers (75 miles) and concurrence is obtained; or </w:t>
      </w:r>
    </w:p>
    <w:p w:rsidR="00C17B61" w:rsidRPr="00D535AF" w:rsidP="0090334E" w14:paraId="28AD59FB" w14:textId="3B379C6A">
      <w:pPr>
        <w:pStyle w:val="ParaNum"/>
        <w:numPr>
          <w:ilvl w:val="1"/>
          <w:numId w:val="41"/>
        </w:numPr>
        <w:spacing w:after="0"/>
        <w:jc w:val="both"/>
        <w:rPr>
          <w:rFonts w:ascii="Times New Roman" w:hAnsi="Times New Roman" w:cs="Times New Roman"/>
          <w:color w:val="000000"/>
        </w:rPr>
      </w:pPr>
      <w:r w:rsidRPr="00D535AF">
        <w:rPr>
          <w:rFonts w:ascii="Times New Roman" w:hAnsi="Times New Roman" w:cs="Times New Roman"/>
        </w:rPr>
        <w:t>Th</w:t>
      </w:r>
      <w:r w:rsidRPr="00D535AF">
        <w:rPr>
          <w:rFonts w:ascii="Times New Roman" w:hAnsi="Times New Roman" w:cs="Times New Roman"/>
        </w:rPr>
        <w:t xml:space="preserve">e licensee's base transmitter or repeater </w:t>
      </w:r>
      <w:r w:rsidRPr="00D535AF" w:rsidR="00E75204">
        <w:rPr>
          <w:rFonts w:ascii="Times New Roman" w:hAnsi="Times New Roman" w:cs="Times New Roman"/>
        </w:rPr>
        <w:t xml:space="preserve">is operated </w:t>
      </w:r>
      <w:r w:rsidRPr="00D535AF" w:rsidR="00A73367">
        <w:rPr>
          <w:rFonts w:ascii="Times New Roman" w:hAnsi="Times New Roman" w:cs="Times New Roman"/>
        </w:rPr>
        <w:t>using PSD (</w:t>
      </w:r>
      <w:r w:rsidRPr="00D535AF" w:rsidR="00953F5D">
        <w:rPr>
          <w:rFonts w:ascii="Times New Roman" w:hAnsi="Times New Roman" w:cs="Times New Roman"/>
        </w:rPr>
        <w:t xml:space="preserve">i.e., </w:t>
      </w:r>
      <w:r w:rsidRPr="00D535AF" w:rsidR="00E75204">
        <w:rPr>
          <w:rFonts w:ascii="Times New Roman" w:hAnsi="Times New Roman" w:cs="Times New Roman"/>
        </w:rPr>
        <w:t>at the PSD ERP limits (watts</w:t>
      </w:r>
      <w:r w:rsidRPr="00D535AF">
        <w:rPr>
          <w:rFonts w:ascii="Times New Roman" w:hAnsi="Times New Roman" w:cs="Times New Roman"/>
        </w:rPr>
        <w:t>/MHz) specified in Section 22.913(a)(1)(ii), (a)(2)(ii), (a)(3), or (a)(4)</w:t>
      </w:r>
      <w:r w:rsidRPr="00D535AF" w:rsidR="00A73367">
        <w:rPr>
          <w:rFonts w:ascii="Times New Roman" w:hAnsi="Times New Roman" w:cs="Times New Roman"/>
        </w:rPr>
        <w:t>)</w:t>
      </w:r>
      <w:r w:rsidRPr="00D535AF">
        <w:rPr>
          <w:rFonts w:ascii="Times New Roman" w:hAnsi="Times New Roman" w:cs="Times New Roman"/>
        </w:rPr>
        <w:t>.</w:t>
      </w:r>
    </w:p>
    <w:p w:rsidR="002B4CAB" w:rsidRPr="00D535AF" w:rsidP="0090334E" w14:paraId="382CD315" w14:textId="77777777">
      <w:pPr>
        <w:spacing w:after="0" w:line="240" w:lineRule="auto"/>
        <w:ind w:firstLine="720"/>
        <w:rPr>
          <w:rFonts w:ascii="Times New Roman" w:hAnsi="Times New Roman" w:cs="Times New Roman"/>
          <w:i/>
          <w:u w:val="single"/>
        </w:rPr>
      </w:pPr>
    </w:p>
    <w:p w:rsidR="00240875" w:rsidRPr="00D535AF" w:rsidP="002B4CAB" w14:paraId="30099F9D" w14:textId="0046D382">
      <w:pPr>
        <w:spacing w:after="0" w:line="240" w:lineRule="auto"/>
        <w:ind w:firstLine="720"/>
        <w:rPr>
          <w:rFonts w:ascii="Times New Roman" w:hAnsi="Times New Roman" w:cs="Times New Roman"/>
        </w:rPr>
      </w:pPr>
      <w:r w:rsidRPr="00D535AF">
        <w:rPr>
          <w:rFonts w:ascii="Times New Roman" w:hAnsi="Times New Roman" w:cs="Times New Roman"/>
          <w:i/>
          <w:u w:val="single"/>
        </w:rPr>
        <w:t>Definition of PSD</w:t>
      </w:r>
      <w:r w:rsidRPr="00D535AF">
        <w:rPr>
          <w:rFonts w:ascii="Times New Roman" w:hAnsi="Times New Roman" w:cs="Times New Roman"/>
          <w:i/>
        </w:rPr>
        <w:t>.</w:t>
      </w:r>
      <w:r w:rsidRPr="00D535AF">
        <w:rPr>
          <w:rFonts w:ascii="Times New Roman" w:hAnsi="Times New Roman" w:cs="Times New Roman"/>
        </w:rPr>
        <w:t xml:space="preserve">  (47 CFR § 22.99)</w:t>
      </w:r>
    </w:p>
    <w:p w:rsidR="002B4CAB" w:rsidRPr="00D535AF" w:rsidP="002B4CAB" w14:paraId="2EBBFF97" w14:textId="77777777">
      <w:pPr>
        <w:spacing w:after="0" w:line="240" w:lineRule="auto"/>
        <w:ind w:firstLine="720"/>
        <w:rPr>
          <w:rFonts w:ascii="Times New Roman" w:hAnsi="Times New Roman" w:cs="Times New Roman"/>
        </w:rPr>
      </w:pPr>
    </w:p>
    <w:p w:rsidR="00240875" w:rsidRPr="00D535AF" w:rsidP="00661463" w14:paraId="6A7A8676" w14:textId="68F94739">
      <w:pPr>
        <w:pStyle w:val="ListParagraph"/>
        <w:numPr>
          <w:ilvl w:val="0"/>
          <w:numId w:val="31"/>
        </w:numPr>
        <w:jc w:val="both"/>
        <w:rPr>
          <w:rFonts w:ascii="Times New Roman" w:hAnsi="Times New Roman" w:cs="Times New Roman"/>
        </w:rPr>
      </w:pPr>
      <w:r w:rsidRPr="00D535AF">
        <w:rPr>
          <w:rFonts w:ascii="Times New Roman" w:hAnsi="Times New Roman" w:cs="Times New Roman"/>
        </w:rPr>
        <w:t>In conjunction with adding PSD limits (as described above regarding Section 22.913), t</w:t>
      </w:r>
      <w:r w:rsidRPr="00D535AF">
        <w:rPr>
          <w:rFonts w:ascii="Times New Roman" w:hAnsi="Times New Roman" w:cs="Times New Roman"/>
        </w:rPr>
        <w:t xml:space="preserve">he Commission added the definition of PSD to the Part 22 definitions in the Commission’s rules, explaining that “PSD” describes the amount of effective radiated power (ERP) that would be allowed per unit of bandwidth from a base station antenna (e.g., 100 watts/MHz), such that wider bandwidth emissions would be permitted more power commensurate with their bandwidth.  </w:t>
      </w:r>
    </w:p>
    <w:p w:rsidR="0017789C" w:rsidRPr="00D535AF" w:rsidP="009458EC" w14:paraId="78BEA0EC" w14:textId="371E2AA4">
      <w:pPr>
        <w:pStyle w:val="Heading2"/>
        <w:rPr>
          <w:rFonts w:ascii="Times New Roman" w:hAnsi="Times New Roman" w:cs="Times New Roman"/>
        </w:rPr>
      </w:pPr>
      <w:bookmarkStart w:id="64" w:name="_Toc464070642"/>
      <w:bookmarkStart w:id="65" w:name="_Toc464126356"/>
      <w:bookmarkStart w:id="66" w:name="_Toc464128308"/>
      <w:bookmarkStart w:id="67" w:name="_Toc464143327"/>
      <w:bookmarkStart w:id="68" w:name="_Toc465280150"/>
      <w:bookmarkStart w:id="69" w:name="_Toc465357585"/>
      <w:bookmarkStart w:id="70" w:name="_Toc466396779"/>
      <w:bookmarkStart w:id="71" w:name="_Toc467155737"/>
      <w:bookmarkStart w:id="72" w:name="_Toc467171126"/>
      <w:bookmarkStart w:id="73" w:name="_Toc467183018"/>
      <w:bookmarkStart w:id="74" w:name="_Toc467233360"/>
      <w:bookmarkStart w:id="75" w:name="_Toc468201186"/>
      <w:bookmarkStart w:id="76" w:name="_Toc468702510"/>
      <w:bookmarkStart w:id="77" w:name="_Toc473563694"/>
      <w:bookmarkStart w:id="78" w:name="_Toc474348268"/>
      <w:bookmarkStart w:id="79" w:name="_Toc474351603"/>
      <w:bookmarkStart w:id="80" w:name="_Toc474352534"/>
      <w:bookmarkStart w:id="81" w:name="_Toc474353396"/>
      <w:bookmarkStart w:id="82" w:name="_Toc474532714"/>
      <w:bookmarkStart w:id="83" w:name="_Toc474534380"/>
      <w:bookmarkStart w:id="84" w:name="_Toc474752007"/>
      <w:bookmarkStart w:id="85" w:name="_Toc474947246"/>
      <w:bookmarkStart w:id="86" w:name="_Toc475028046"/>
      <w:bookmarkStart w:id="87" w:name="_Toc475537209"/>
      <w:bookmarkStart w:id="88" w:name="_Toc475899409"/>
      <w:bookmarkStart w:id="89" w:name="_Toc477805743"/>
      <w:bookmarkStart w:id="90" w:name="_Toc477954177"/>
      <w:bookmarkStart w:id="91" w:name="_Toc492564184"/>
      <w:bookmarkStart w:id="92" w:name="_Toc504060946"/>
      <w:r w:rsidRPr="00D535AF">
        <w:rPr>
          <w:rFonts w:ascii="Times New Roman" w:hAnsi="Times New Roman" w:cs="Times New Roman"/>
        </w:rPr>
        <w:t xml:space="preserve">Interference Resolution Process (47 CFR §§ 22.970-22.973); </w:t>
      </w:r>
      <w:r w:rsidRPr="00D535AF">
        <w:rPr>
          <w:rFonts w:ascii="Times New Roman" w:hAnsi="Times New Roman" w:cs="Times New Roman"/>
        </w:rPr>
        <w:t>Public Forum</w:t>
      </w:r>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535AF">
        <w:rPr>
          <w:rFonts w:ascii="Times New Roman" w:hAnsi="Times New Roman" w:cs="Times New Roman"/>
        </w:rPr>
        <w:t xml:space="preserve"> to Facilitate Multi-stakeholder Co-existence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D535AF">
        <w:rPr>
          <w:rFonts w:ascii="Times New Roman" w:hAnsi="Times New Roman" w:cs="Times New Roman"/>
        </w:rPr>
        <w:t xml:space="preserve"> </w:t>
      </w:r>
    </w:p>
    <w:p w:rsidR="004469E2" w:rsidRPr="00D535AF" w:rsidP="00521142" w14:paraId="10B9F34E" w14:textId="57118AC7">
      <w:pPr>
        <w:spacing w:after="120"/>
        <w:ind w:firstLine="720"/>
        <w:jc w:val="both"/>
        <w:rPr>
          <w:rFonts w:ascii="Times New Roman" w:hAnsi="Times New Roman" w:cs="Times New Roman"/>
        </w:rPr>
      </w:pPr>
      <w:bookmarkStart w:id="93" w:name="_Toc474348269"/>
      <w:bookmarkStart w:id="94" w:name="_Toc474351604"/>
      <w:bookmarkStart w:id="95" w:name="_Toc474352535"/>
      <w:bookmarkStart w:id="96" w:name="_Toc474353397"/>
      <w:bookmarkStart w:id="97" w:name="_Toc474532715"/>
      <w:bookmarkStart w:id="98" w:name="_Toc474534381"/>
      <w:bookmarkStart w:id="99" w:name="_Toc474752008"/>
      <w:bookmarkStart w:id="100" w:name="_Toc474947247"/>
      <w:bookmarkStart w:id="101" w:name="_Toc475028047"/>
      <w:bookmarkStart w:id="102" w:name="_Toc475537210"/>
      <w:bookmarkStart w:id="103" w:name="_Toc475899410"/>
      <w:bookmarkStart w:id="104" w:name="_Toc477805744"/>
      <w:bookmarkStart w:id="105" w:name="_Toc477954178"/>
      <w:bookmarkStart w:id="106" w:name="_Toc492564185"/>
      <w:bookmarkStart w:id="107" w:name="_Toc464070657"/>
      <w:bookmarkStart w:id="108" w:name="_Toc464126357"/>
      <w:bookmarkStart w:id="109" w:name="_Toc464128309"/>
      <w:bookmarkStart w:id="110" w:name="_Toc464143328"/>
      <w:bookmarkStart w:id="111" w:name="_Toc465280151"/>
      <w:bookmarkStart w:id="112" w:name="_Toc465357586"/>
      <w:bookmarkStart w:id="113" w:name="_Toc466396780"/>
      <w:bookmarkStart w:id="114" w:name="_Toc467155738"/>
      <w:bookmarkStart w:id="115" w:name="_Toc467171127"/>
      <w:bookmarkStart w:id="116" w:name="_Toc467183019"/>
      <w:bookmarkStart w:id="117" w:name="_Toc467233361"/>
      <w:bookmarkStart w:id="118" w:name="_Toc468201187"/>
      <w:bookmarkStart w:id="119" w:name="_Toc468702511"/>
      <w:bookmarkStart w:id="120" w:name="_Toc473563695"/>
      <w:r w:rsidRPr="00D535AF">
        <w:rPr>
          <w:rFonts w:ascii="Times New Roman" w:hAnsi="Times New Roman" w:cs="Times New Roman"/>
          <w:i/>
          <w:u w:val="single"/>
        </w:rPr>
        <w:t>Retention of Part 22 Interference Resolution Rules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535AF">
        <w:rPr>
          <w:rFonts w:ascii="Times New Roman" w:hAnsi="Times New Roman" w:cs="Times New Roman"/>
        </w:rPr>
        <w:t xml:space="preserve">.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535AF">
        <w:rPr>
          <w:rFonts w:ascii="Times New Roman" w:hAnsi="Times New Roman" w:cs="Times New Roman"/>
        </w:rPr>
        <w:t xml:space="preserve"> (47 CFR §§ 22.970-22.973)</w:t>
      </w:r>
    </w:p>
    <w:p w:rsidR="00182956" w:rsidRPr="00D535AF" w:rsidP="00521142" w14:paraId="4EFDF906" w14:textId="49FA16E5">
      <w:pPr>
        <w:pStyle w:val="ParaNum"/>
        <w:numPr>
          <w:ilvl w:val="0"/>
          <w:numId w:val="0"/>
        </w:numPr>
        <w:ind w:left="360" w:firstLine="720"/>
        <w:rPr>
          <w:rFonts w:ascii="Times New Roman" w:hAnsi="Times New Roman" w:cs="Times New Roman"/>
        </w:rPr>
      </w:pPr>
      <w:r w:rsidRPr="00D535AF">
        <w:rPr>
          <w:rFonts w:ascii="Times New Roman" w:hAnsi="Times New Roman" w:cs="Times New Roman"/>
        </w:rPr>
        <w:t xml:space="preserve">The Commission retained </w:t>
      </w:r>
      <w:r w:rsidRPr="00D535AF" w:rsidR="00A66EF8">
        <w:rPr>
          <w:rFonts w:ascii="Times New Roman" w:hAnsi="Times New Roman" w:cs="Times New Roman"/>
        </w:rPr>
        <w:t xml:space="preserve">Sections </w:t>
      </w:r>
      <w:r w:rsidRPr="00D535AF">
        <w:rPr>
          <w:rFonts w:ascii="Times New Roman" w:hAnsi="Times New Roman" w:cs="Times New Roman"/>
        </w:rPr>
        <w:t xml:space="preserve">22.970-22.973 without change.  </w:t>
      </w:r>
    </w:p>
    <w:p w:rsidR="00182956" w:rsidRPr="00D535AF" w:rsidP="00182956" w14:paraId="1A2AC9D7" w14:textId="65F77B83">
      <w:pPr>
        <w:pStyle w:val="ListParagraph"/>
        <w:numPr>
          <w:ilvl w:val="0"/>
          <w:numId w:val="38"/>
        </w:numPr>
        <w:jc w:val="both"/>
        <w:rPr>
          <w:rFonts w:ascii="Times New Roman" w:hAnsi="Times New Roman" w:cs="Times New Roman"/>
        </w:rPr>
      </w:pPr>
      <w:r w:rsidRPr="00D535AF">
        <w:rPr>
          <w:rFonts w:ascii="Times New Roman" w:hAnsi="Times New Roman" w:cs="Times New Roman"/>
        </w:rPr>
        <w:t xml:space="preserve">The Commission will continue to rely on Sections 22.970-22.973 of the Commission’s rules, which place strict responsibility for remedying unacceptable interference on the licensee(s) causing the interference to public safety communications, serving as a “backstop” to help ensure first responders’ critical communications are not impeded. </w:t>
      </w:r>
    </w:p>
    <w:p w:rsidR="00182956" w:rsidRPr="00D535AF" w:rsidP="00182956" w14:paraId="768DEBB5" w14:textId="77777777">
      <w:pPr>
        <w:pStyle w:val="ListParagraph"/>
        <w:rPr>
          <w:rFonts w:ascii="Times New Roman" w:hAnsi="Times New Roman" w:cs="Times New Roman"/>
        </w:rPr>
      </w:pPr>
    </w:p>
    <w:p w:rsidR="005363C6" w:rsidRPr="00D535AF" w:rsidP="00661463" w14:paraId="55830500" w14:textId="16707849">
      <w:pPr>
        <w:pStyle w:val="ListParagraph"/>
        <w:numPr>
          <w:ilvl w:val="0"/>
          <w:numId w:val="38"/>
        </w:numPr>
        <w:jc w:val="both"/>
        <w:rPr>
          <w:rFonts w:ascii="Times New Roman" w:hAnsi="Times New Roman" w:cs="Times New Roman"/>
        </w:rPr>
      </w:pPr>
      <w:r w:rsidRPr="00D535AF">
        <w:rPr>
          <w:rFonts w:ascii="Times New Roman" w:hAnsi="Times New Roman" w:cs="Times New Roman"/>
        </w:rPr>
        <w:t xml:space="preserve">The obligations of the existing Sections 22.970-22.973 will continue to apply notwithstanding the new safeguard requirements set forth in revised Section 22.913, including, when applicable, the advance notification requirement and the PFD limit. </w:t>
      </w:r>
    </w:p>
    <w:p w:rsidR="00182956" w:rsidRPr="00D535AF" w:rsidP="00AA56F6" w14:paraId="0E4D1C6D" w14:textId="73C34BF4">
      <w:pPr>
        <w:ind w:firstLine="720"/>
        <w:jc w:val="both"/>
        <w:rPr>
          <w:rFonts w:ascii="Times New Roman" w:hAnsi="Times New Roman" w:cs="Times New Roman"/>
        </w:rPr>
      </w:pPr>
      <w:r w:rsidRPr="00D535AF">
        <w:rPr>
          <w:rFonts w:ascii="Times New Roman" w:hAnsi="Times New Roman" w:cs="Times New Roman"/>
          <w:i/>
          <w:u w:val="single"/>
        </w:rPr>
        <w:t>Public Forum to Facilitate Multi-stakeholder Co-existence</w:t>
      </w:r>
      <w:r w:rsidRPr="00D535AF">
        <w:rPr>
          <w:rFonts w:ascii="Times New Roman" w:hAnsi="Times New Roman" w:cs="Times New Roman"/>
        </w:rPr>
        <w:t xml:space="preserve">. </w:t>
      </w:r>
    </w:p>
    <w:p w:rsidR="00DA354E" w:rsidRPr="00D535AF" w:rsidP="00661463" w14:paraId="50EC7870" w14:textId="29D22E9B">
      <w:pPr>
        <w:pStyle w:val="ParaNum"/>
        <w:numPr>
          <w:ilvl w:val="0"/>
          <w:numId w:val="37"/>
        </w:numPr>
        <w:jc w:val="both"/>
        <w:rPr>
          <w:rFonts w:ascii="Times New Roman" w:hAnsi="Times New Roman" w:cs="Times New Roman"/>
        </w:rPr>
      </w:pPr>
      <w:r w:rsidRPr="00D535AF">
        <w:rPr>
          <w:rFonts w:ascii="Times New Roman" w:hAnsi="Times New Roman" w:cs="Times New Roman"/>
        </w:rPr>
        <w:t>The Commission directed the Wireless Telecommunications Bureau, together with the Public Safety and Homeland Security Bureau and the Office of Engineering and Technology</w:t>
      </w:r>
      <w:r w:rsidRPr="00D535AF" w:rsidR="00F62895">
        <w:rPr>
          <w:rFonts w:ascii="Times New Roman" w:hAnsi="Times New Roman" w:cs="Times New Roman"/>
        </w:rPr>
        <w:t xml:space="preserve"> (collectively, </w:t>
      </w:r>
      <w:r w:rsidRPr="00D535AF" w:rsidR="00A44E99">
        <w:rPr>
          <w:rFonts w:ascii="Times New Roman" w:hAnsi="Times New Roman" w:cs="Times New Roman"/>
        </w:rPr>
        <w:t>Bureaus)</w:t>
      </w:r>
      <w:r w:rsidRPr="00D535AF">
        <w:rPr>
          <w:rFonts w:ascii="Times New Roman" w:hAnsi="Times New Roman" w:cs="Times New Roman"/>
        </w:rPr>
        <w:t>, to convene a</w:t>
      </w:r>
      <w:r w:rsidRPr="00D535AF">
        <w:rPr>
          <w:rFonts w:ascii="Times New Roman" w:hAnsi="Times New Roman" w:cs="Times New Roman"/>
        </w:rPr>
        <w:t xml:space="preserve"> </w:t>
      </w:r>
      <w:r w:rsidRPr="00D535AF" w:rsidR="00D011A2">
        <w:rPr>
          <w:rFonts w:ascii="Times New Roman" w:hAnsi="Times New Roman" w:cs="Times New Roman"/>
        </w:rPr>
        <w:t xml:space="preserve">public forum </w:t>
      </w:r>
      <w:r w:rsidRPr="00D535AF" w:rsidR="0045262A">
        <w:rPr>
          <w:rFonts w:ascii="Times New Roman" w:hAnsi="Times New Roman" w:cs="Times New Roman"/>
        </w:rPr>
        <w:t>no later than one year following release of the</w:t>
      </w:r>
      <w:r w:rsidRPr="00D535AF" w:rsidR="0045262A">
        <w:rPr>
          <w:rFonts w:ascii="Times New Roman" w:hAnsi="Times New Roman" w:cs="Times New Roman"/>
          <w:i/>
        </w:rPr>
        <w:t xml:space="preserve"> Second R</w:t>
      </w:r>
      <w:r w:rsidRPr="00D535AF">
        <w:rPr>
          <w:rFonts w:ascii="Times New Roman" w:hAnsi="Times New Roman" w:cs="Times New Roman"/>
          <w:i/>
        </w:rPr>
        <w:t xml:space="preserve">&amp;O </w:t>
      </w:r>
      <w:r w:rsidRPr="00D535AF" w:rsidR="00D011A2">
        <w:rPr>
          <w:rFonts w:ascii="Times New Roman" w:hAnsi="Times New Roman" w:cs="Times New Roman"/>
        </w:rPr>
        <w:t xml:space="preserve">to </w:t>
      </w:r>
      <w:r w:rsidRPr="00D535AF" w:rsidR="005363C6">
        <w:rPr>
          <w:rFonts w:ascii="Times New Roman" w:hAnsi="Times New Roman" w:cs="Times New Roman"/>
        </w:rPr>
        <w:t xml:space="preserve">facilitate </w:t>
      </w:r>
      <w:r w:rsidRPr="00D535AF">
        <w:rPr>
          <w:rFonts w:ascii="Times New Roman" w:hAnsi="Times New Roman" w:cs="Times New Roman"/>
        </w:rPr>
        <w:t xml:space="preserve">a dialog among three stakeholder groups </w:t>
      </w:r>
      <w:r w:rsidRPr="00D535AF" w:rsidR="00A44E99">
        <w:rPr>
          <w:rFonts w:ascii="Times New Roman" w:hAnsi="Times New Roman" w:cs="Times New Roman"/>
        </w:rPr>
        <w:t>–</w:t>
      </w:r>
      <w:r w:rsidRPr="00D535AF">
        <w:rPr>
          <w:rFonts w:ascii="Times New Roman" w:hAnsi="Times New Roman" w:cs="Times New Roman"/>
        </w:rPr>
        <w:t xml:space="preserve"> </w:t>
      </w:r>
      <w:r w:rsidRPr="00D535AF" w:rsidR="005363C6">
        <w:rPr>
          <w:rFonts w:ascii="Times New Roman" w:hAnsi="Times New Roman" w:cs="Times New Roman"/>
        </w:rPr>
        <w:t>Cellular</w:t>
      </w:r>
      <w:r w:rsidRPr="00D535AF" w:rsidR="00A44E99">
        <w:rPr>
          <w:rFonts w:ascii="Times New Roman" w:hAnsi="Times New Roman" w:cs="Times New Roman"/>
        </w:rPr>
        <w:t xml:space="preserve"> </w:t>
      </w:r>
      <w:r w:rsidRPr="00D535AF" w:rsidR="005363C6">
        <w:rPr>
          <w:rFonts w:ascii="Times New Roman" w:hAnsi="Times New Roman" w:cs="Times New Roman"/>
        </w:rPr>
        <w:t>carriers, public safety entities, and manufactu</w:t>
      </w:r>
      <w:r w:rsidRPr="00D535AF">
        <w:rPr>
          <w:rFonts w:ascii="Times New Roman" w:hAnsi="Times New Roman" w:cs="Times New Roman"/>
        </w:rPr>
        <w:t xml:space="preserve">rers of public safety equipment – to address the lingering problems of unacceptable interference to public safety receivers without hindering spectral efficiency and technological advances in the Cellular Service.  </w:t>
      </w:r>
    </w:p>
    <w:p w:rsidR="00431336" w:rsidRPr="00D535AF" w:rsidP="00661463" w14:paraId="31847344" w14:textId="70630D9A">
      <w:pPr>
        <w:pStyle w:val="ParaNum"/>
        <w:numPr>
          <w:ilvl w:val="0"/>
          <w:numId w:val="37"/>
        </w:numPr>
        <w:jc w:val="both"/>
        <w:rPr>
          <w:rFonts w:ascii="Times New Roman" w:hAnsi="Times New Roman" w:cs="Times New Roman"/>
        </w:rPr>
      </w:pPr>
      <w:r w:rsidRPr="00D535AF">
        <w:rPr>
          <w:rFonts w:ascii="Times New Roman" w:hAnsi="Times New Roman" w:cs="Times New Roman"/>
        </w:rPr>
        <w:t xml:space="preserve">The public forum was convened by the Bureaus </w:t>
      </w:r>
      <w:r w:rsidRPr="00D535AF" w:rsidR="00DA354E">
        <w:rPr>
          <w:rFonts w:ascii="Times New Roman" w:hAnsi="Times New Roman" w:cs="Times New Roman"/>
        </w:rPr>
        <w:t xml:space="preserve">on November 6, 2017, </w:t>
      </w:r>
      <w:r w:rsidRPr="00D535AF" w:rsidR="00266C57">
        <w:rPr>
          <w:rFonts w:ascii="Times New Roman" w:hAnsi="Times New Roman" w:cs="Times New Roman"/>
        </w:rPr>
        <w:t xml:space="preserve">and </w:t>
      </w:r>
      <w:r w:rsidRPr="00D535AF" w:rsidR="00DA354E">
        <w:rPr>
          <w:rFonts w:ascii="Times New Roman" w:hAnsi="Times New Roman" w:cs="Times New Roman"/>
        </w:rPr>
        <w:t>participants included r</w:t>
      </w:r>
      <w:r w:rsidRPr="00D535AF" w:rsidR="009907E3">
        <w:rPr>
          <w:rFonts w:ascii="Times New Roman" w:hAnsi="Times New Roman" w:cs="Times New Roman"/>
        </w:rPr>
        <w:t xml:space="preserve">epresentatives of </w:t>
      </w:r>
      <w:r w:rsidRPr="00D535AF" w:rsidR="00DA354E">
        <w:rPr>
          <w:rFonts w:ascii="Times New Roman" w:hAnsi="Times New Roman" w:cs="Times New Roman"/>
        </w:rPr>
        <w:t xml:space="preserve">large and small Cellular carriers, public safety entities, and manufacturers of public safety equipment.  </w:t>
      </w:r>
    </w:p>
    <w:p w:rsidR="00A44E99" w:rsidRPr="00D535AF" w:rsidP="00661463" w14:paraId="38761358" w14:textId="7A65A13E">
      <w:pPr>
        <w:pStyle w:val="ParaNum"/>
        <w:numPr>
          <w:ilvl w:val="0"/>
          <w:numId w:val="37"/>
        </w:numPr>
        <w:jc w:val="both"/>
        <w:rPr>
          <w:rFonts w:ascii="Times New Roman" w:hAnsi="Times New Roman" w:cs="Times New Roman"/>
        </w:rPr>
      </w:pPr>
      <w:r w:rsidRPr="00D535AF">
        <w:rPr>
          <w:rFonts w:ascii="Times New Roman" w:hAnsi="Times New Roman" w:cs="Times New Roman"/>
        </w:rPr>
        <w:t xml:space="preserve">The Commission directed the Bureaus to seek an update on </w:t>
      </w:r>
      <w:r w:rsidRPr="00D535AF" w:rsidR="00F62895">
        <w:rPr>
          <w:rFonts w:ascii="Times New Roman" w:hAnsi="Times New Roman" w:cs="Times New Roman"/>
        </w:rPr>
        <w:t xml:space="preserve">co-existence </w:t>
      </w:r>
      <w:r w:rsidRPr="00D535AF">
        <w:rPr>
          <w:rFonts w:ascii="Times New Roman" w:hAnsi="Times New Roman" w:cs="Times New Roman"/>
        </w:rPr>
        <w:t>progress from all three stakeholder groups no later than four years from the release of the</w:t>
      </w:r>
      <w:r w:rsidRPr="00D535AF">
        <w:rPr>
          <w:rFonts w:ascii="Times New Roman" w:hAnsi="Times New Roman" w:cs="Times New Roman"/>
          <w:i/>
        </w:rPr>
        <w:t xml:space="preserve"> Second R&amp;O</w:t>
      </w:r>
      <w:r w:rsidRPr="00D535AF">
        <w:rPr>
          <w:rFonts w:ascii="Times New Roman" w:hAnsi="Times New Roman" w:cs="Times New Roman"/>
        </w:rPr>
        <w:t>, and encouraged all stakeholders to share their experiences on spectrum sharing in the band throughout the PFD transition period (i.e., unti</w:t>
      </w:r>
      <w:r w:rsidRPr="00D535AF" w:rsidR="00552FDD">
        <w:rPr>
          <w:rFonts w:ascii="Times New Roman" w:hAnsi="Times New Roman" w:cs="Times New Roman"/>
        </w:rPr>
        <w:t>l the PFD Sunset Date of May 12,</w:t>
      </w:r>
      <w:r w:rsidRPr="00D535AF">
        <w:rPr>
          <w:rFonts w:ascii="Times New Roman" w:hAnsi="Times New Roman" w:cs="Times New Roman"/>
        </w:rPr>
        <w:t xml:space="preserve"> 2024). </w:t>
      </w:r>
    </w:p>
    <w:p w:rsidR="006F5592" w:rsidRPr="00D535AF" w:rsidP="0090334E" w14:paraId="4146BBD0" w14:textId="6678843D">
      <w:pPr>
        <w:pStyle w:val="ParaNum"/>
        <w:numPr>
          <w:ilvl w:val="0"/>
          <w:numId w:val="37"/>
        </w:numPr>
        <w:spacing w:after="0"/>
        <w:jc w:val="both"/>
        <w:rPr>
          <w:rFonts w:ascii="Times New Roman" w:hAnsi="Times New Roman" w:cs="Times New Roman"/>
        </w:rPr>
      </w:pPr>
      <w:r w:rsidRPr="00D535AF">
        <w:rPr>
          <w:rFonts w:ascii="Times New Roman" w:hAnsi="Times New Roman" w:cs="Times New Roman"/>
        </w:rPr>
        <w:t>The Commission directed the Wireless Telecommunications Bureau to select the most appropriate mechanism by which stakeholders may file such comments and progress reports, and to issue a Public Notice announcing the mechanism.</w:t>
      </w:r>
      <w:r w:rsidRPr="00D535AF" w:rsidR="005C3CFD">
        <w:rPr>
          <w:rFonts w:ascii="Times New Roman" w:hAnsi="Times New Roman" w:cs="Times New Roman"/>
        </w:rPr>
        <w:t xml:space="preserve"> </w:t>
      </w:r>
    </w:p>
    <w:p w:rsidR="00684F98" w:rsidP="0090334E" w14:paraId="3E7CF114" w14:textId="77777777">
      <w:pPr>
        <w:pStyle w:val="Heading2"/>
        <w:numPr>
          <w:ilvl w:val="0"/>
          <w:numId w:val="0"/>
        </w:numPr>
        <w:spacing w:after="0"/>
        <w:ind w:left="1440"/>
        <w:rPr>
          <w:rFonts w:ascii="Times New Roman" w:hAnsi="Times New Roman" w:cs="Times New Roman"/>
        </w:rPr>
      </w:pPr>
      <w:bookmarkStart w:id="121" w:name="_Toc393378137"/>
      <w:bookmarkStart w:id="122" w:name="_Toc393462639"/>
      <w:bookmarkStart w:id="123" w:name="_Toc393477996"/>
      <w:bookmarkStart w:id="124" w:name="_Toc394658110"/>
      <w:bookmarkStart w:id="125" w:name="_Toc394659955"/>
      <w:bookmarkStart w:id="126" w:name="_Toc394678795"/>
      <w:bookmarkStart w:id="127" w:name="_Toc394679509"/>
      <w:bookmarkStart w:id="128" w:name="_Toc395264416"/>
      <w:bookmarkStart w:id="129" w:name="_Toc397508631"/>
      <w:bookmarkStart w:id="130" w:name="_Toc397604481"/>
      <w:bookmarkStart w:id="131" w:name="_Toc397686569"/>
      <w:bookmarkStart w:id="132" w:name="_Toc399935832"/>
      <w:bookmarkStart w:id="133" w:name="_Toc403121182"/>
      <w:bookmarkStart w:id="134" w:name="_Toc423370681"/>
      <w:bookmarkStart w:id="135" w:name="_Toc464070650"/>
      <w:bookmarkStart w:id="136" w:name="_Toc464126367"/>
      <w:bookmarkStart w:id="137" w:name="_Toc464128319"/>
      <w:bookmarkStart w:id="138" w:name="_Toc464143338"/>
      <w:bookmarkStart w:id="139" w:name="_Toc465280161"/>
      <w:bookmarkStart w:id="140" w:name="_Toc465357596"/>
      <w:bookmarkStart w:id="141" w:name="_Toc466396790"/>
      <w:bookmarkStart w:id="142" w:name="_Toc467155748"/>
      <w:bookmarkStart w:id="143" w:name="_Toc467171137"/>
      <w:bookmarkStart w:id="144" w:name="_Toc467183029"/>
      <w:bookmarkStart w:id="145" w:name="_Toc467233371"/>
      <w:bookmarkStart w:id="146" w:name="_Toc468201197"/>
      <w:bookmarkStart w:id="147" w:name="_Toc468702521"/>
      <w:bookmarkStart w:id="148" w:name="_Toc473563705"/>
      <w:bookmarkStart w:id="149" w:name="_Toc474348273"/>
      <w:bookmarkStart w:id="150" w:name="_Toc474351607"/>
      <w:bookmarkStart w:id="151" w:name="_Toc474352537"/>
      <w:bookmarkStart w:id="152" w:name="_Toc474353399"/>
      <w:bookmarkStart w:id="153" w:name="_Toc474532716"/>
      <w:bookmarkStart w:id="154" w:name="_Toc474534382"/>
      <w:bookmarkStart w:id="155" w:name="_Toc474752009"/>
      <w:bookmarkStart w:id="156" w:name="_Toc474947248"/>
      <w:bookmarkStart w:id="157" w:name="_Toc475028048"/>
      <w:bookmarkStart w:id="158" w:name="_Toc475537211"/>
      <w:bookmarkStart w:id="159" w:name="_Toc475899411"/>
      <w:bookmarkStart w:id="160" w:name="_Toc477805745"/>
      <w:bookmarkStart w:id="161" w:name="_Toc477954179"/>
      <w:bookmarkStart w:id="162" w:name="_Toc492564186"/>
      <w:bookmarkStart w:id="163" w:name="_Toc504060947"/>
    </w:p>
    <w:p w:rsidR="001F1DA7" w:rsidRPr="00D535AF" w:rsidP="009458EC" w14:paraId="01704770" w14:textId="7B254891">
      <w:pPr>
        <w:pStyle w:val="Heading2"/>
        <w:rPr>
          <w:rFonts w:ascii="Times New Roman" w:hAnsi="Times New Roman" w:cs="Times New Roman"/>
        </w:rPr>
      </w:pPr>
      <w:r w:rsidRPr="00D535AF">
        <w:rPr>
          <w:rFonts w:ascii="Times New Roman" w:hAnsi="Times New Roman" w:cs="Times New Roman"/>
        </w:rPr>
        <w:t xml:space="preserve">Revised </w:t>
      </w:r>
      <w:r w:rsidRPr="00D535AF" w:rsidR="004469E2">
        <w:rPr>
          <w:rFonts w:ascii="Times New Roman" w:hAnsi="Times New Roman" w:cs="Times New Roman"/>
        </w:rPr>
        <w:t>Methodology to Calculate SABs and CGSAs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535AF" w:rsidR="004469E2">
        <w:rPr>
          <w:rFonts w:ascii="Times New Roman" w:hAnsi="Times New Roman" w:cs="Times New Roman"/>
        </w:rPr>
        <w:t xml:space="preserve">; </w:t>
      </w:r>
      <w:r w:rsidRPr="00D535AF" w:rsidR="009B2D18">
        <w:rPr>
          <w:rFonts w:ascii="Times New Roman" w:hAnsi="Times New Roman" w:cs="Times New Roman"/>
        </w:rPr>
        <w:t>Deletion of</w:t>
      </w:r>
      <w:r w:rsidRPr="00D535AF" w:rsidR="00A51EA4">
        <w:rPr>
          <w:rFonts w:ascii="Times New Roman" w:hAnsi="Times New Roman" w:cs="Times New Roman"/>
        </w:rPr>
        <w:t xml:space="preserve"> Outdated References </w:t>
      </w:r>
      <w:r w:rsidRPr="00D535AF" w:rsidR="00120791">
        <w:rPr>
          <w:rFonts w:ascii="Times New Roman" w:hAnsi="Times New Roman" w:cs="Times New Roman"/>
        </w:rPr>
        <w:t>(47 CFR § 22.911)</w:t>
      </w:r>
      <w:bookmarkEnd w:id="163"/>
    </w:p>
    <w:p w:rsidR="004469E2" w:rsidRPr="00D535AF" w:rsidP="009907E3" w14:paraId="17F18388" w14:textId="3028F958">
      <w:pPr>
        <w:pStyle w:val="ParaNum"/>
        <w:numPr>
          <w:ilvl w:val="0"/>
          <w:numId w:val="0"/>
        </w:numPr>
        <w:ind w:firstLine="720"/>
        <w:rPr>
          <w:rFonts w:ascii="Times New Roman" w:hAnsi="Times New Roman" w:cs="Times New Roman"/>
        </w:rPr>
      </w:pPr>
      <w:r w:rsidRPr="00D535AF">
        <w:rPr>
          <w:rFonts w:ascii="Times New Roman" w:hAnsi="Times New Roman" w:cs="Times New Roman"/>
        </w:rPr>
        <w:t>Section 22.911 sets forth the methodology for determining the S</w:t>
      </w:r>
      <w:r w:rsidRPr="00D535AF" w:rsidR="009458EC">
        <w:rPr>
          <w:rFonts w:ascii="Times New Roman" w:hAnsi="Times New Roman" w:cs="Times New Roman"/>
        </w:rPr>
        <w:t>A</w:t>
      </w:r>
      <w:r w:rsidRPr="00D535AF" w:rsidR="009907E3">
        <w:rPr>
          <w:rFonts w:ascii="Times New Roman" w:hAnsi="Times New Roman" w:cs="Times New Roman"/>
        </w:rPr>
        <w:t>B</w:t>
      </w:r>
      <w:r w:rsidRPr="00D535AF">
        <w:rPr>
          <w:rFonts w:ascii="Times New Roman" w:hAnsi="Times New Roman" w:cs="Times New Roman"/>
        </w:rPr>
        <w:t xml:space="preserve"> of cell sites and the protected licensed area (CGSA).  </w:t>
      </w:r>
    </w:p>
    <w:p w:rsidR="00A51EA4" w:rsidRPr="00D535AF" w:rsidP="00110E16" w14:paraId="28CDD397" w14:textId="6A0F7027">
      <w:pPr>
        <w:pStyle w:val="ParaNum"/>
        <w:numPr>
          <w:ilvl w:val="0"/>
          <w:numId w:val="39"/>
        </w:numPr>
        <w:jc w:val="both"/>
        <w:rPr>
          <w:rFonts w:ascii="Times New Roman" w:hAnsi="Times New Roman" w:cs="Times New Roman"/>
        </w:rPr>
      </w:pPr>
      <w:r w:rsidRPr="00D535AF">
        <w:rPr>
          <w:rFonts w:ascii="Times New Roman" w:hAnsi="Times New Roman" w:cs="Times New Roman"/>
        </w:rPr>
        <w:t xml:space="preserve">For Cellular licensees that do not elect to use the PSD model, </w:t>
      </w:r>
      <w:r w:rsidRPr="00D535AF" w:rsidR="00D742CE">
        <w:rPr>
          <w:rFonts w:ascii="Times New Roman" w:hAnsi="Times New Roman" w:cs="Times New Roman"/>
        </w:rPr>
        <w:t xml:space="preserve">the existing formula in Section 22.911(a) </w:t>
      </w:r>
      <w:r w:rsidRPr="00D535AF">
        <w:rPr>
          <w:rFonts w:ascii="Times New Roman" w:hAnsi="Times New Roman" w:cs="Times New Roman"/>
        </w:rPr>
        <w:t xml:space="preserve">was retained, as was the </w:t>
      </w:r>
      <w:r w:rsidRPr="00D535AF" w:rsidR="009458EC">
        <w:rPr>
          <w:rFonts w:ascii="Times New Roman" w:hAnsi="Times New Roman" w:cs="Times New Roman"/>
        </w:rPr>
        <w:t xml:space="preserve">existing </w:t>
      </w:r>
      <w:r w:rsidRPr="00D535AF">
        <w:rPr>
          <w:rFonts w:ascii="Times New Roman" w:hAnsi="Times New Roman" w:cs="Times New Roman"/>
        </w:rPr>
        <w:t xml:space="preserve">alternative methodology set forth in Section 22.911(b).  </w:t>
      </w:r>
    </w:p>
    <w:p w:rsidR="00A51EA4" w:rsidRPr="00D535AF" w:rsidP="00A51EA4" w14:paraId="2148965F" w14:textId="3813C8E9">
      <w:pPr>
        <w:pStyle w:val="ParaNum"/>
        <w:numPr>
          <w:ilvl w:val="1"/>
          <w:numId w:val="39"/>
        </w:numPr>
        <w:jc w:val="both"/>
        <w:rPr>
          <w:rFonts w:ascii="Times New Roman" w:hAnsi="Times New Roman" w:cs="Times New Roman"/>
        </w:rPr>
      </w:pPr>
      <w:r w:rsidRPr="00D535AF">
        <w:rPr>
          <w:rFonts w:ascii="Times New Roman" w:hAnsi="Times New Roman" w:cs="Times New Roman"/>
        </w:rPr>
        <w:t xml:space="preserve">The Commission clarified that Sections 22.911(a) and 22.911(b) apply solely to Cellular non-PSD operations.  </w:t>
      </w:r>
    </w:p>
    <w:p w:rsidR="00AD491A" w:rsidRPr="00D535AF" w:rsidP="00110E16" w14:paraId="647F47BB" w14:textId="58AFE9D4">
      <w:pPr>
        <w:pStyle w:val="ParaNum"/>
        <w:numPr>
          <w:ilvl w:val="0"/>
          <w:numId w:val="39"/>
        </w:numPr>
        <w:jc w:val="both"/>
        <w:rPr>
          <w:rFonts w:ascii="Times New Roman" w:hAnsi="Times New Roman" w:cs="Times New Roman"/>
        </w:rPr>
      </w:pPr>
      <w:r w:rsidRPr="00D535AF">
        <w:rPr>
          <w:rFonts w:ascii="Times New Roman" w:hAnsi="Times New Roman" w:cs="Times New Roman"/>
        </w:rPr>
        <w:t>F</w:t>
      </w:r>
      <w:r w:rsidRPr="00D535AF" w:rsidR="0010663C">
        <w:rPr>
          <w:rFonts w:ascii="Times New Roman" w:hAnsi="Times New Roman" w:cs="Times New Roman"/>
        </w:rPr>
        <w:t xml:space="preserve">or </w:t>
      </w:r>
      <w:r w:rsidRPr="00D535AF" w:rsidR="003B483D">
        <w:rPr>
          <w:rFonts w:ascii="Times New Roman" w:hAnsi="Times New Roman" w:cs="Times New Roman"/>
        </w:rPr>
        <w:t xml:space="preserve">Cellular </w:t>
      </w:r>
      <w:r w:rsidRPr="00D535AF" w:rsidR="0010663C">
        <w:rPr>
          <w:rFonts w:ascii="Times New Roman" w:hAnsi="Times New Roman" w:cs="Times New Roman"/>
        </w:rPr>
        <w:t>base stations that operate using PSD</w:t>
      </w:r>
      <w:r w:rsidRPr="00D535AF" w:rsidR="003B483D">
        <w:rPr>
          <w:rFonts w:ascii="Times New Roman" w:hAnsi="Times New Roman" w:cs="Times New Roman"/>
        </w:rPr>
        <w:t xml:space="preserve">, </w:t>
      </w:r>
      <w:r w:rsidRPr="00D535AF">
        <w:rPr>
          <w:rFonts w:ascii="Times New Roman" w:hAnsi="Times New Roman" w:cs="Times New Roman"/>
        </w:rPr>
        <w:t xml:space="preserve">a </w:t>
      </w:r>
      <w:r w:rsidRPr="00D535AF" w:rsidR="003B483D">
        <w:rPr>
          <w:rFonts w:ascii="Times New Roman" w:hAnsi="Times New Roman" w:cs="Times New Roman"/>
        </w:rPr>
        <w:t>new Section 22.911(c)</w:t>
      </w:r>
      <w:r w:rsidRPr="00D535AF">
        <w:rPr>
          <w:rFonts w:ascii="Times New Roman" w:hAnsi="Times New Roman" w:cs="Times New Roman"/>
        </w:rPr>
        <w:t xml:space="preserve"> was adopted</w:t>
      </w:r>
      <w:r w:rsidRPr="00D535AF" w:rsidR="00A51EA4">
        <w:rPr>
          <w:rFonts w:ascii="Times New Roman" w:hAnsi="Times New Roman" w:cs="Times New Roman"/>
        </w:rPr>
        <w:t>:</w:t>
      </w:r>
      <w:r w:rsidRPr="00D535AF" w:rsidR="003B483D">
        <w:rPr>
          <w:rFonts w:ascii="Times New Roman" w:hAnsi="Times New Roman" w:cs="Times New Roman"/>
        </w:rPr>
        <w:t xml:space="preserve">  </w:t>
      </w:r>
    </w:p>
    <w:p w:rsidR="00AD491A" w:rsidRPr="00D535AF" w:rsidP="00110E16" w14:paraId="651AC135" w14:textId="4B7397CA">
      <w:pPr>
        <w:pStyle w:val="ParaNum"/>
        <w:numPr>
          <w:ilvl w:val="1"/>
          <w:numId w:val="39"/>
        </w:numPr>
        <w:jc w:val="both"/>
        <w:rPr>
          <w:rFonts w:ascii="Times New Roman" w:hAnsi="Times New Roman" w:cs="Times New Roman"/>
        </w:rPr>
      </w:pPr>
      <w:r w:rsidRPr="00D535AF">
        <w:rPr>
          <w:rFonts w:ascii="Times New Roman" w:hAnsi="Times New Roman" w:cs="Times New Roman"/>
        </w:rPr>
        <w:t>F</w:t>
      </w:r>
      <w:r w:rsidRPr="00D535AF" w:rsidR="00D15F11">
        <w:rPr>
          <w:rFonts w:ascii="Times New Roman" w:hAnsi="Times New Roman" w:cs="Times New Roman"/>
        </w:rPr>
        <w:t xml:space="preserve">or the purposes of calculating SABs and determining CGSA boundaries when operating with PSD, </w:t>
      </w:r>
      <w:r w:rsidRPr="00D535AF" w:rsidR="003B483D">
        <w:rPr>
          <w:rFonts w:ascii="Times New Roman" w:hAnsi="Times New Roman" w:cs="Times New Roman"/>
        </w:rPr>
        <w:t>a predictive propagation model that takes into account terrain and other local conditions, based on the 32 dBµV/m contour</w:t>
      </w:r>
      <w:r w:rsidRPr="00D535AF" w:rsidR="00D15F11">
        <w:rPr>
          <w:rFonts w:ascii="Times New Roman" w:hAnsi="Times New Roman" w:cs="Times New Roman"/>
        </w:rPr>
        <w:t xml:space="preserve">, is required.  </w:t>
      </w:r>
    </w:p>
    <w:p w:rsidR="00D742CE" w:rsidRPr="00D535AF" w:rsidP="00110E16" w14:paraId="4B714DFB" w14:textId="60C6DC05">
      <w:pPr>
        <w:pStyle w:val="ParaNum"/>
        <w:numPr>
          <w:ilvl w:val="1"/>
          <w:numId w:val="39"/>
        </w:numPr>
        <w:jc w:val="both"/>
        <w:rPr>
          <w:rFonts w:ascii="Times New Roman" w:hAnsi="Times New Roman" w:cs="Times New Roman"/>
        </w:rPr>
      </w:pPr>
      <w:r w:rsidRPr="00D535AF">
        <w:rPr>
          <w:rFonts w:ascii="Times New Roman" w:hAnsi="Times New Roman" w:cs="Times New Roman"/>
        </w:rPr>
        <w:t>T</w:t>
      </w:r>
      <w:r w:rsidRPr="00D535AF" w:rsidR="0010663C">
        <w:rPr>
          <w:rFonts w:ascii="Times New Roman" w:hAnsi="Times New Roman" w:cs="Times New Roman"/>
        </w:rPr>
        <w:t>he SAB</w:t>
      </w:r>
      <w:r w:rsidRPr="00D535AF" w:rsidR="002E4C2D">
        <w:rPr>
          <w:rFonts w:ascii="Times New Roman" w:hAnsi="Times New Roman" w:cs="Times New Roman"/>
        </w:rPr>
        <w:t xml:space="preserve"> and CGSA boundary</w:t>
      </w:r>
      <w:r w:rsidRPr="00D535AF" w:rsidR="0010663C">
        <w:rPr>
          <w:rFonts w:ascii="Times New Roman" w:hAnsi="Times New Roman" w:cs="Times New Roman"/>
        </w:rPr>
        <w:t xml:space="preserve"> </w:t>
      </w:r>
      <w:r w:rsidRPr="00D535AF">
        <w:rPr>
          <w:rFonts w:ascii="Times New Roman" w:hAnsi="Times New Roman" w:cs="Times New Roman"/>
        </w:rPr>
        <w:t xml:space="preserve">must </w:t>
      </w:r>
      <w:r w:rsidRPr="00D535AF" w:rsidR="0010663C">
        <w:rPr>
          <w:rFonts w:ascii="Times New Roman" w:hAnsi="Times New Roman" w:cs="Times New Roman"/>
        </w:rPr>
        <w:t>be defined in terms of distances from the cell site(s) to the 32 dBµV/m contour along the eight cardinal radials, consistent with SAB calculations under the existing rule</w:t>
      </w:r>
      <w:r w:rsidRPr="00D535AF" w:rsidR="00BB6FA6">
        <w:rPr>
          <w:rFonts w:ascii="Times New Roman" w:hAnsi="Times New Roman" w:cs="Times New Roman"/>
        </w:rPr>
        <w:t xml:space="preserve">.  </w:t>
      </w:r>
      <w:r w:rsidRPr="00D535AF" w:rsidR="00250E4F">
        <w:rPr>
          <w:rFonts w:ascii="Times New Roman" w:hAnsi="Times New Roman" w:cs="Times New Roman"/>
        </w:rPr>
        <w:t xml:space="preserve">The distances used for the cardinal radials must be representative of the coverage within the 45º sectors.  </w:t>
      </w:r>
    </w:p>
    <w:p w:rsidR="009B2D18" w:rsidRPr="00D535AF" w:rsidP="004469E2" w14:paraId="22DC5E96" w14:textId="504E9F26">
      <w:pPr>
        <w:pStyle w:val="ParaNum"/>
        <w:numPr>
          <w:ilvl w:val="0"/>
          <w:numId w:val="39"/>
        </w:numPr>
        <w:jc w:val="both"/>
        <w:rPr>
          <w:rFonts w:ascii="Times New Roman" w:hAnsi="Times New Roman" w:cs="Times New Roman"/>
        </w:rPr>
      </w:pPr>
      <w:r w:rsidRPr="00D535AF">
        <w:rPr>
          <w:rFonts w:ascii="Times New Roman" w:hAnsi="Times New Roman" w:cs="Times New Roman"/>
        </w:rPr>
        <w:t xml:space="preserve">If the </w:t>
      </w:r>
      <w:r w:rsidRPr="00D535AF" w:rsidR="008A1187">
        <w:rPr>
          <w:rFonts w:ascii="Times New Roman" w:hAnsi="Times New Roman" w:cs="Times New Roman"/>
        </w:rPr>
        <w:t xml:space="preserve">methodology </w:t>
      </w:r>
      <w:r w:rsidRPr="00D535AF">
        <w:rPr>
          <w:rFonts w:ascii="Times New Roman" w:hAnsi="Times New Roman" w:cs="Times New Roman"/>
        </w:rPr>
        <w:t xml:space="preserve">prescribed in Section 22.911(c) </w:t>
      </w:r>
      <w:r w:rsidRPr="00D535AF" w:rsidR="008A1187">
        <w:rPr>
          <w:rFonts w:ascii="Times New Roman" w:hAnsi="Times New Roman" w:cs="Times New Roman"/>
        </w:rPr>
        <w:t>yields an SAB extension comprising at least 50 contiguous square miles, regardless of whether the CGSA departs ±20 percent in the service area of any cell site, the Cellular licensee</w:t>
      </w:r>
      <w:r w:rsidRPr="00D535AF" w:rsidR="001679A4">
        <w:rPr>
          <w:rFonts w:ascii="Times New Roman" w:hAnsi="Times New Roman" w:cs="Times New Roman"/>
        </w:rPr>
        <w:t xml:space="preserve"> is </w:t>
      </w:r>
      <w:r w:rsidRPr="00D535AF" w:rsidR="008A1187">
        <w:rPr>
          <w:rFonts w:ascii="Times New Roman" w:hAnsi="Times New Roman" w:cs="Times New Roman"/>
        </w:rPr>
        <w:t>required to file an application for major modification of the CGSA using FCC Form 60</w:t>
      </w:r>
      <w:r w:rsidRPr="00D535AF" w:rsidR="00991A41">
        <w:rPr>
          <w:rFonts w:ascii="Times New Roman" w:hAnsi="Times New Roman" w:cs="Times New Roman"/>
        </w:rPr>
        <w:t>1</w:t>
      </w:r>
      <w:r w:rsidRPr="00D535AF">
        <w:rPr>
          <w:rFonts w:ascii="Times New Roman" w:hAnsi="Times New Roman" w:cs="Times New Roman"/>
        </w:rPr>
        <w:t>.</w:t>
      </w:r>
      <w:r w:rsidRPr="00D535AF" w:rsidR="008A1187">
        <w:rPr>
          <w:rFonts w:ascii="Times New Roman" w:hAnsi="Times New Roman" w:cs="Times New Roman"/>
        </w:rPr>
        <w:t xml:space="preserve"> </w:t>
      </w:r>
    </w:p>
    <w:p w:rsidR="00D575FC" w:rsidRPr="00D535AF" w:rsidP="004469E2" w14:paraId="54C97C29" w14:textId="56387D7C">
      <w:pPr>
        <w:pStyle w:val="ParaNum"/>
        <w:numPr>
          <w:ilvl w:val="0"/>
          <w:numId w:val="39"/>
        </w:numPr>
        <w:jc w:val="both"/>
        <w:rPr>
          <w:rFonts w:ascii="Times New Roman" w:hAnsi="Times New Roman" w:cs="Times New Roman"/>
        </w:rPr>
      </w:pPr>
      <w:r w:rsidRPr="00D535AF">
        <w:rPr>
          <w:rFonts w:ascii="Times New Roman" w:hAnsi="Times New Roman" w:cs="Times New Roman"/>
        </w:rPr>
        <w:t>If the calculation under Section 22.911(a), (b), or (c) (as applicable)</w:t>
      </w:r>
      <w:r w:rsidRPr="00D535AF" w:rsidR="008A1187">
        <w:rPr>
          <w:rFonts w:ascii="Times New Roman" w:hAnsi="Times New Roman" w:cs="Times New Roman"/>
        </w:rPr>
        <w:t xml:space="preserve"> results in an SAB extension comprising less than 50 contiguous square miles, the licensee may not claim the area as part of its CGSA; it may provide service in the extension area on a secondary basis only.  No application should be filed (and </w:t>
      </w:r>
      <w:r w:rsidRPr="00D535AF" w:rsidR="00672260">
        <w:rPr>
          <w:rFonts w:ascii="Times New Roman" w:hAnsi="Times New Roman" w:cs="Times New Roman"/>
        </w:rPr>
        <w:t>the Commission</w:t>
      </w:r>
      <w:r w:rsidRPr="00D535AF" w:rsidR="008A1187">
        <w:rPr>
          <w:rFonts w:ascii="Times New Roman" w:hAnsi="Times New Roman" w:cs="Times New Roman"/>
        </w:rPr>
        <w:t xml:space="preserve"> will not process any such application that is filed) in that scenario.</w:t>
      </w:r>
    </w:p>
    <w:p w:rsidR="009B2D18" w:rsidRPr="00D535AF" w:rsidP="009B2D18" w14:paraId="6A80F639" w14:textId="77777777">
      <w:pPr>
        <w:pStyle w:val="ParaNum"/>
        <w:numPr>
          <w:ilvl w:val="0"/>
          <w:numId w:val="39"/>
        </w:numPr>
        <w:jc w:val="both"/>
        <w:rPr>
          <w:rFonts w:ascii="Times New Roman" w:hAnsi="Times New Roman" w:cs="Times New Roman"/>
        </w:rPr>
      </w:pPr>
      <w:r w:rsidRPr="00D535AF">
        <w:rPr>
          <w:rFonts w:ascii="Times New Roman" w:hAnsi="Times New Roman" w:cs="Times New Roman"/>
        </w:rPr>
        <w:t xml:space="preserve">In </w:t>
      </w:r>
      <w:r w:rsidRPr="00D535AF" w:rsidR="009F17BB">
        <w:rPr>
          <w:rFonts w:ascii="Times New Roman" w:hAnsi="Times New Roman" w:cs="Times New Roman"/>
        </w:rPr>
        <w:t>paragraph (d)</w:t>
      </w:r>
      <w:r w:rsidRPr="00D535AF">
        <w:rPr>
          <w:rFonts w:ascii="Times New Roman" w:hAnsi="Times New Roman" w:cs="Times New Roman"/>
        </w:rPr>
        <w:t>, the Commission removed</w:t>
      </w:r>
      <w:r w:rsidRPr="00D535AF" w:rsidR="00D33BDB">
        <w:rPr>
          <w:rFonts w:ascii="Times New Roman" w:hAnsi="Times New Roman" w:cs="Times New Roman"/>
        </w:rPr>
        <w:t xml:space="preserve"> the </w:t>
      </w:r>
      <w:r w:rsidRPr="00D535AF">
        <w:rPr>
          <w:rFonts w:ascii="Times New Roman" w:hAnsi="Times New Roman" w:cs="Times New Roman"/>
        </w:rPr>
        <w:t xml:space="preserve">outdated </w:t>
      </w:r>
      <w:r w:rsidRPr="00D535AF" w:rsidR="009F17BB">
        <w:rPr>
          <w:rFonts w:ascii="Times New Roman" w:hAnsi="Times New Roman" w:cs="Times New Roman"/>
        </w:rPr>
        <w:t>reference to</w:t>
      </w:r>
      <w:r w:rsidRPr="00D535AF">
        <w:rPr>
          <w:rFonts w:ascii="Times New Roman" w:hAnsi="Times New Roman" w:cs="Times New Roman"/>
        </w:rPr>
        <w:t xml:space="preserve"> “capture of subscriber traffic.</w:t>
      </w:r>
      <w:r w:rsidRPr="00D535AF" w:rsidR="009F17BB">
        <w:rPr>
          <w:rFonts w:ascii="Times New Roman" w:hAnsi="Times New Roman" w:cs="Times New Roman"/>
        </w:rPr>
        <w:t xml:space="preserve">” </w:t>
      </w:r>
    </w:p>
    <w:p w:rsidR="00C17B61" w:rsidRPr="00D535AF" w:rsidP="0090334E" w14:paraId="00CA29BC" w14:textId="3BEB5A8B">
      <w:pPr>
        <w:pStyle w:val="ParaNum"/>
        <w:numPr>
          <w:ilvl w:val="0"/>
          <w:numId w:val="39"/>
        </w:numPr>
        <w:spacing w:after="0"/>
        <w:jc w:val="both"/>
        <w:rPr>
          <w:rFonts w:ascii="Times New Roman" w:hAnsi="Times New Roman" w:cs="Times New Roman"/>
        </w:rPr>
      </w:pPr>
      <w:r w:rsidRPr="00D535AF">
        <w:rPr>
          <w:rFonts w:ascii="Times New Roman" w:hAnsi="Times New Roman" w:cs="Times New Roman"/>
        </w:rPr>
        <w:t xml:space="preserve">The Commission deleted </w:t>
      </w:r>
      <w:r w:rsidRPr="00D535AF" w:rsidR="009458EC">
        <w:rPr>
          <w:rFonts w:ascii="Times New Roman" w:hAnsi="Times New Roman" w:cs="Times New Roman"/>
        </w:rPr>
        <w:t xml:space="preserve">paragraph (e); it is </w:t>
      </w:r>
      <w:r w:rsidRPr="00D535AF" w:rsidR="009F17BB">
        <w:rPr>
          <w:rFonts w:ascii="Times New Roman" w:hAnsi="Times New Roman" w:cs="Times New Roman"/>
        </w:rPr>
        <w:t>unnecessar</w:t>
      </w:r>
      <w:r w:rsidRPr="00D535AF" w:rsidR="00A51EA4">
        <w:rPr>
          <w:rFonts w:ascii="Times New Roman" w:hAnsi="Times New Roman" w:cs="Times New Roman"/>
        </w:rPr>
        <w:t>y because</w:t>
      </w:r>
      <w:r w:rsidRPr="00D535AF" w:rsidR="00D33BDB">
        <w:rPr>
          <w:rFonts w:ascii="Times New Roman" w:hAnsi="Times New Roman" w:cs="Times New Roman"/>
        </w:rPr>
        <w:t xml:space="preserve"> </w:t>
      </w:r>
      <w:r w:rsidRPr="00D535AF" w:rsidR="009F17BB">
        <w:rPr>
          <w:rFonts w:ascii="Times New Roman" w:hAnsi="Times New Roman" w:cs="Times New Roman"/>
        </w:rPr>
        <w:t>“Unserved Area” is a defined term in 47 CFR § 22.99.</w:t>
      </w:r>
      <w:bookmarkStart w:id="164" w:name="_Toc474532717"/>
      <w:bookmarkStart w:id="165" w:name="_Toc474534383"/>
      <w:bookmarkStart w:id="166" w:name="_Toc474752010"/>
      <w:bookmarkStart w:id="167" w:name="_Toc474947249"/>
      <w:bookmarkStart w:id="168" w:name="_Toc475028049"/>
      <w:bookmarkStart w:id="169" w:name="_Toc475537212"/>
      <w:bookmarkStart w:id="170" w:name="_Toc475899412"/>
      <w:bookmarkStart w:id="171" w:name="_Toc477805746"/>
      <w:bookmarkStart w:id="172" w:name="_Toc477954180"/>
      <w:bookmarkStart w:id="173" w:name="_Toc492564187"/>
    </w:p>
    <w:p w:rsidR="00665898" w:rsidRPr="00D535AF" w:rsidP="0090334E" w14:paraId="2B07447B" w14:textId="77777777">
      <w:pPr>
        <w:pStyle w:val="ParaNum"/>
        <w:numPr>
          <w:ilvl w:val="0"/>
          <w:numId w:val="0"/>
        </w:numPr>
        <w:spacing w:after="0"/>
        <w:ind w:left="1440"/>
        <w:jc w:val="both"/>
        <w:rPr>
          <w:rFonts w:ascii="Times New Roman" w:hAnsi="Times New Roman" w:cs="Times New Roman"/>
        </w:rPr>
      </w:pPr>
    </w:p>
    <w:p w:rsidR="004C3EDC" w:rsidRPr="00D535AF" w:rsidP="009458EC" w14:paraId="2F37A792" w14:textId="4F63AD63">
      <w:pPr>
        <w:pStyle w:val="Heading2"/>
        <w:rPr>
          <w:rFonts w:ascii="Times New Roman" w:hAnsi="Times New Roman" w:cs="Times New Roman"/>
        </w:rPr>
      </w:pPr>
      <w:bookmarkStart w:id="174" w:name="_Toc464126372"/>
      <w:bookmarkStart w:id="175" w:name="_Toc464128324"/>
      <w:bookmarkStart w:id="176" w:name="_Toc464143343"/>
      <w:bookmarkStart w:id="177" w:name="_Toc465280166"/>
      <w:bookmarkStart w:id="178" w:name="_Toc465357601"/>
      <w:bookmarkStart w:id="179" w:name="_Toc466396795"/>
      <w:bookmarkStart w:id="180" w:name="_Toc467155753"/>
      <w:bookmarkStart w:id="181" w:name="_Toc467171142"/>
      <w:bookmarkStart w:id="182" w:name="_Toc467183034"/>
      <w:bookmarkStart w:id="183" w:name="_Toc467233376"/>
      <w:bookmarkStart w:id="184" w:name="_Toc468201202"/>
      <w:bookmarkStart w:id="185" w:name="_Toc468702526"/>
      <w:bookmarkStart w:id="186" w:name="_Toc473563710"/>
      <w:bookmarkStart w:id="187" w:name="_Toc474348281"/>
      <w:bookmarkStart w:id="188" w:name="_Toc474351612"/>
      <w:bookmarkStart w:id="189" w:name="_Toc474352542"/>
      <w:bookmarkStart w:id="190" w:name="_Toc474353404"/>
      <w:bookmarkStart w:id="191" w:name="_Toc474532722"/>
      <w:bookmarkStart w:id="192" w:name="_Toc474534388"/>
      <w:bookmarkStart w:id="193" w:name="_Toc474752015"/>
      <w:bookmarkStart w:id="194" w:name="_Toc474947254"/>
      <w:bookmarkStart w:id="195" w:name="_Toc475028054"/>
      <w:bookmarkStart w:id="196" w:name="_Toc475537217"/>
      <w:bookmarkStart w:id="197" w:name="_Toc475899417"/>
      <w:bookmarkStart w:id="198" w:name="_Toc477805751"/>
      <w:bookmarkStart w:id="199" w:name="_Toc477954185"/>
      <w:bookmarkStart w:id="200" w:name="_Toc492564191"/>
      <w:bookmarkStart w:id="201" w:name="_Toc504060948"/>
      <w:bookmarkEnd w:id="164"/>
      <w:bookmarkEnd w:id="165"/>
      <w:bookmarkEnd w:id="166"/>
      <w:bookmarkEnd w:id="167"/>
      <w:bookmarkEnd w:id="168"/>
      <w:bookmarkEnd w:id="169"/>
      <w:bookmarkEnd w:id="170"/>
      <w:bookmarkEnd w:id="171"/>
      <w:bookmarkEnd w:id="172"/>
      <w:bookmarkEnd w:id="173"/>
      <w:r w:rsidRPr="00D535AF">
        <w:rPr>
          <w:rFonts w:ascii="Times New Roman" w:hAnsi="Times New Roman" w:cs="Times New Roman"/>
        </w:rPr>
        <w:t>Permanent Discontinuance of Operations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D535AF" w:rsidR="007C514D">
        <w:rPr>
          <w:rFonts w:ascii="Times New Roman" w:hAnsi="Times New Roman" w:cs="Times New Roman"/>
        </w:rPr>
        <w:t xml:space="preserve"> (47 CFR § 22.947)</w:t>
      </w:r>
      <w:bookmarkEnd w:id="201"/>
    </w:p>
    <w:p w:rsidR="009D46B9" w:rsidRPr="00D535AF" w:rsidP="00F62895" w14:paraId="7E06AE87" w14:textId="5CD653D2">
      <w:pPr>
        <w:pStyle w:val="ParaNum"/>
        <w:numPr>
          <w:ilvl w:val="0"/>
          <w:numId w:val="0"/>
        </w:numPr>
        <w:ind w:firstLine="720"/>
        <w:jc w:val="both"/>
        <w:rPr>
          <w:rFonts w:ascii="Times New Roman" w:hAnsi="Times New Roman" w:cs="Times New Roman"/>
        </w:rPr>
      </w:pPr>
      <w:r w:rsidRPr="00D535AF">
        <w:rPr>
          <w:rFonts w:ascii="Times New Roman" w:hAnsi="Times New Roman" w:cs="Times New Roman"/>
        </w:rPr>
        <w:t>The</w:t>
      </w:r>
      <w:r w:rsidRPr="00D535AF" w:rsidR="003A3E34">
        <w:rPr>
          <w:rFonts w:ascii="Times New Roman" w:hAnsi="Times New Roman" w:cs="Times New Roman"/>
        </w:rPr>
        <w:t xml:space="preserve"> Commission revised Section 22.317 </w:t>
      </w:r>
      <w:r w:rsidRPr="00D535AF" w:rsidR="00A50B09">
        <w:rPr>
          <w:rFonts w:ascii="Times New Roman" w:hAnsi="Times New Roman" w:cs="Times New Roman"/>
        </w:rPr>
        <w:t>s</w:t>
      </w:r>
      <w:r w:rsidRPr="00D535AF" w:rsidR="003A3E34">
        <w:rPr>
          <w:rFonts w:ascii="Times New Roman" w:hAnsi="Times New Roman" w:cs="Times New Roman"/>
        </w:rPr>
        <w:t xml:space="preserve">o that </w:t>
      </w:r>
      <w:r w:rsidRPr="00D535AF" w:rsidR="00661463">
        <w:rPr>
          <w:rFonts w:ascii="Times New Roman" w:hAnsi="Times New Roman" w:cs="Times New Roman"/>
        </w:rPr>
        <w:t>the</w:t>
      </w:r>
      <w:r w:rsidRPr="00D535AF">
        <w:rPr>
          <w:rFonts w:ascii="Times New Roman" w:hAnsi="Times New Roman" w:cs="Times New Roman"/>
        </w:rPr>
        <w:t xml:space="preserve"> site-based permanent discontinuance provisions </w:t>
      </w:r>
      <w:r w:rsidRPr="00D535AF" w:rsidR="00661463">
        <w:rPr>
          <w:rFonts w:ascii="Times New Roman" w:hAnsi="Times New Roman" w:cs="Times New Roman"/>
        </w:rPr>
        <w:t xml:space="preserve">of that rule </w:t>
      </w:r>
      <w:r w:rsidRPr="00D535AF" w:rsidR="003A3E34">
        <w:rPr>
          <w:rFonts w:ascii="Times New Roman" w:hAnsi="Times New Roman" w:cs="Times New Roman"/>
        </w:rPr>
        <w:t>no longer apply</w:t>
      </w:r>
      <w:r w:rsidRPr="00D535AF">
        <w:rPr>
          <w:rFonts w:ascii="Times New Roman" w:hAnsi="Times New Roman" w:cs="Times New Roman"/>
        </w:rPr>
        <w:t xml:space="preserve"> to </w:t>
      </w:r>
      <w:r w:rsidRPr="00D535AF" w:rsidR="00F62895">
        <w:rPr>
          <w:rFonts w:ascii="Times New Roman" w:hAnsi="Times New Roman" w:cs="Times New Roman"/>
        </w:rPr>
        <w:t xml:space="preserve">the </w:t>
      </w:r>
      <w:r w:rsidRPr="00D535AF" w:rsidR="001F5C2F">
        <w:rPr>
          <w:rFonts w:ascii="Times New Roman" w:hAnsi="Times New Roman" w:cs="Times New Roman"/>
        </w:rPr>
        <w:t>Cellular Service</w:t>
      </w:r>
      <w:r w:rsidRPr="00D535AF">
        <w:rPr>
          <w:rFonts w:ascii="Times New Roman" w:hAnsi="Times New Roman" w:cs="Times New Roman"/>
        </w:rPr>
        <w:t xml:space="preserve">. </w:t>
      </w:r>
      <w:r w:rsidRPr="00D535AF" w:rsidR="001F5C2F">
        <w:rPr>
          <w:rFonts w:ascii="Times New Roman" w:hAnsi="Times New Roman" w:cs="Times New Roman"/>
        </w:rPr>
        <w:t xml:space="preserve"> </w:t>
      </w:r>
      <w:r w:rsidRPr="00D535AF" w:rsidR="00342A30">
        <w:rPr>
          <w:rFonts w:ascii="Times New Roman" w:hAnsi="Times New Roman" w:cs="Times New Roman"/>
        </w:rPr>
        <w:t xml:space="preserve">Instead, </w:t>
      </w:r>
      <w:r w:rsidRPr="00D535AF" w:rsidR="00661463">
        <w:rPr>
          <w:rFonts w:ascii="Times New Roman" w:hAnsi="Times New Roman" w:cs="Times New Roman"/>
        </w:rPr>
        <w:t xml:space="preserve">a new, modernized rule (Section 22.947) now addresses permanent discontinuance of Cellular Service operations.  Under this new rule, </w:t>
      </w:r>
      <w:r w:rsidRPr="00D535AF">
        <w:rPr>
          <w:rFonts w:ascii="Times New Roman" w:hAnsi="Times New Roman" w:cs="Times New Roman"/>
        </w:rPr>
        <w:t xml:space="preserve">consistent with other geographically licensed services, </w:t>
      </w:r>
      <w:r w:rsidRPr="00D535AF" w:rsidR="009458EC">
        <w:rPr>
          <w:rFonts w:ascii="Times New Roman" w:hAnsi="Times New Roman" w:cs="Times New Roman"/>
        </w:rPr>
        <w:t xml:space="preserve">a Cellular licensee’s </w:t>
      </w:r>
      <w:r w:rsidRPr="00D535AF">
        <w:rPr>
          <w:rFonts w:ascii="Times New Roman" w:hAnsi="Times New Roman" w:cs="Times New Roman"/>
        </w:rPr>
        <w:t xml:space="preserve">permanent discontinuance of service at an individual cell site will no longer result in modification of the CGSA to reflect reduced service coverage.  </w:t>
      </w:r>
      <w:r w:rsidRPr="00D535AF" w:rsidR="00661463">
        <w:rPr>
          <w:rFonts w:ascii="Times New Roman" w:hAnsi="Times New Roman" w:cs="Times New Roman"/>
        </w:rPr>
        <w:t>In addition:</w:t>
      </w:r>
    </w:p>
    <w:p w:rsidR="00FD0111" w:rsidRPr="00D535AF" w:rsidP="00110E16" w14:paraId="05244F2E" w14:textId="478477F2">
      <w:pPr>
        <w:pStyle w:val="ParaNum"/>
        <w:numPr>
          <w:ilvl w:val="0"/>
          <w:numId w:val="44"/>
        </w:numPr>
        <w:jc w:val="both"/>
        <w:rPr>
          <w:rFonts w:ascii="Times New Roman" w:hAnsi="Times New Roman" w:cs="Times New Roman"/>
        </w:rPr>
      </w:pPr>
      <w:r w:rsidRPr="00D535AF">
        <w:rPr>
          <w:rFonts w:ascii="Times New Roman" w:hAnsi="Times New Roman" w:cs="Times New Roman"/>
        </w:rPr>
        <w:t>Section 22.947 defin</w:t>
      </w:r>
      <w:r w:rsidRPr="00D535AF" w:rsidR="00661463">
        <w:rPr>
          <w:rFonts w:ascii="Times New Roman" w:hAnsi="Times New Roman" w:cs="Times New Roman"/>
        </w:rPr>
        <w:t>es</w:t>
      </w:r>
      <w:r w:rsidRPr="00D535AF">
        <w:rPr>
          <w:rFonts w:ascii="Times New Roman" w:hAnsi="Times New Roman" w:cs="Times New Roman"/>
        </w:rPr>
        <w:t xml:space="preserve"> permanent discontinuance as 180 consecutive days during which a Cellular licensee does not operate or, in the case of a Cellular CMRS provider, does not provide service to at least one subscriber that is not affiliated with, controlled by, or related to the providing carrier.</w:t>
      </w:r>
      <w:r w:rsidRPr="00D535AF" w:rsidR="00123C5D">
        <w:rPr>
          <w:rFonts w:ascii="Times New Roman" w:hAnsi="Times New Roman" w:cs="Times New Roman"/>
        </w:rPr>
        <w:t xml:space="preserve">  </w:t>
      </w:r>
    </w:p>
    <w:p w:rsidR="009458EC" w:rsidRPr="00D535AF" w:rsidP="009458EC" w14:paraId="47C7FC28" w14:textId="4A1753B6">
      <w:pPr>
        <w:pStyle w:val="ParaNum"/>
        <w:numPr>
          <w:ilvl w:val="0"/>
          <w:numId w:val="44"/>
        </w:numPr>
        <w:jc w:val="both"/>
        <w:rPr>
          <w:rFonts w:ascii="Times New Roman" w:hAnsi="Times New Roman" w:cs="Times New Roman"/>
        </w:rPr>
      </w:pPr>
      <w:r w:rsidRPr="00D535AF">
        <w:rPr>
          <w:rFonts w:ascii="Times New Roman" w:hAnsi="Times New Roman" w:cs="Times New Roman"/>
        </w:rPr>
        <w:t xml:space="preserve">Section 22.947 applies to the </w:t>
      </w:r>
      <w:r w:rsidR="00376921">
        <w:rPr>
          <w:rFonts w:ascii="Times New Roman" w:hAnsi="Times New Roman" w:cs="Times New Roman"/>
        </w:rPr>
        <w:t xml:space="preserve">entire geographic licensed area </w:t>
      </w:r>
      <w:r w:rsidR="00376921">
        <w:t xml:space="preserve">– </w:t>
      </w:r>
      <w:r w:rsidRPr="00D535AF">
        <w:rPr>
          <w:rFonts w:ascii="Times New Roman" w:hAnsi="Times New Roman" w:cs="Times New Roman"/>
        </w:rPr>
        <w:t xml:space="preserve">the CGSA, thus enhancing licensees’ flexibility. </w:t>
      </w:r>
    </w:p>
    <w:p w:rsidR="009458EC" w:rsidRPr="00D535AF" w:rsidP="009458EC" w14:paraId="42EED85B" w14:textId="77777777">
      <w:pPr>
        <w:pStyle w:val="ParaNum"/>
        <w:numPr>
          <w:ilvl w:val="1"/>
          <w:numId w:val="44"/>
        </w:numPr>
        <w:jc w:val="both"/>
        <w:rPr>
          <w:rFonts w:ascii="Times New Roman" w:hAnsi="Times New Roman" w:cs="Times New Roman"/>
        </w:rPr>
      </w:pPr>
      <w:r w:rsidRPr="00D535AF">
        <w:rPr>
          <w:rFonts w:ascii="Times New Roman" w:hAnsi="Times New Roman" w:cs="Times New Roman"/>
        </w:rPr>
        <w:t>Under the revised permanent discontinuance rules for Cellular service, the Commission will dismiss as unnecessary a site-based cancellation notification, i.e., a filing concerning permanent discontinuance of any individual cell site(s).</w:t>
      </w:r>
    </w:p>
    <w:p w:rsidR="00F62895" w:rsidRPr="00D535AF" w:rsidP="00F62895" w14:paraId="689362FD" w14:textId="77777777">
      <w:pPr>
        <w:pStyle w:val="ParaNum"/>
        <w:numPr>
          <w:ilvl w:val="0"/>
          <w:numId w:val="44"/>
        </w:numPr>
        <w:jc w:val="both"/>
        <w:rPr>
          <w:rFonts w:ascii="Times New Roman" w:hAnsi="Times New Roman" w:cs="Times New Roman"/>
        </w:rPr>
      </w:pPr>
      <w:r w:rsidRPr="00D535AF">
        <w:rPr>
          <w:rFonts w:ascii="Times New Roman" w:hAnsi="Times New Roman" w:cs="Times New Roman"/>
        </w:rPr>
        <w:t xml:space="preserve">Cellular licensees are required to notify the Commission of the permanent discontinuance within 10 days of the expiration of the 180-day period by filing FCC Form 601.  </w:t>
      </w:r>
    </w:p>
    <w:p w:rsidR="00F62895" w:rsidRPr="00D535AF" w:rsidP="00F62895" w14:paraId="79497DBE" w14:textId="77777777">
      <w:pPr>
        <w:pStyle w:val="ParaNum"/>
        <w:numPr>
          <w:ilvl w:val="1"/>
          <w:numId w:val="44"/>
        </w:numPr>
        <w:jc w:val="both"/>
        <w:rPr>
          <w:rFonts w:ascii="Times New Roman" w:hAnsi="Times New Roman" w:cs="Times New Roman"/>
        </w:rPr>
      </w:pPr>
      <w:r w:rsidRPr="00D535AF">
        <w:rPr>
          <w:rFonts w:ascii="Times New Roman" w:hAnsi="Times New Roman" w:cs="Times New Roman"/>
        </w:rPr>
        <w:t xml:space="preserve">Whether or not the licensee files the proper notification form, the license for a Cellular system that has permanently discontinued service will be terminated automatically, and the area will revert back to the Commission for relicensing. </w:t>
      </w:r>
    </w:p>
    <w:p w:rsidR="00D31348" w:rsidRPr="00D535AF" w:rsidP="009458EC" w14:paraId="376D8E0D" w14:textId="6AE3FF59">
      <w:pPr>
        <w:pStyle w:val="ParaNum"/>
        <w:numPr>
          <w:ilvl w:val="0"/>
          <w:numId w:val="44"/>
        </w:numPr>
        <w:jc w:val="both"/>
        <w:rPr>
          <w:rFonts w:ascii="Times New Roman" w:hAnsi="Times New Roman" w:cs="Times New Roman"/>
        </w:rPr>
      </w:pPr>
      <w:r w:rsidRPr="00D535AF">
        <w:rPr>
          <w:rFonts w:ascii="Times New Roman" w:hAnsi="Times New Roman" w:cs="Times New Roman"/>
        </w:rPr>
        <w:t>Commencing on the day following public notice of cancellation of the Cellular license, the Unserved Area will be available to applicants seeking to establish a new Cellular system or expand an existing CGSA by at least 50 contiguous square miles.</w:t>
      </w:r>
      <w:r w:rsidRPr="00D535AF" w:rsidR="00FD0111">
        <w:rPr>
          <w:rFonts w:ascii="Times New Roman" w:hAnsi="Times New Roman" w:cs="Times New Roman"/>
        </w:rPr>
        <w:t xml:space="preserve">  </w:t>
      </w:r>
    </w:p>
    <w:p w:rsidR="004C3EDC" w:rsidRPr="00D535AF" w:rsidP="009458EC" w14:paraId="5CFE4198" w14:textId="3761E905">
      <w:pPr>
        <w:pStyle w:val="ParaNum"/>
        <w:numPr>
          <w:ilvl w:val="1"/>
          <w:numId w:val="44"/>
        </w:numPr>
        <w:jc w:val="both"/>
        <w:rPr>
          <w:rFonts w:ascii="Times New Roman" w:hAnsi="Times New Roman" w:cs="Times New Roman"/>
        </w:rPr>
      </w:pPr>
      <w:r w:rsidRPr="00D535AF">
        <w:rPr>
          <w:rFonts w:ascii="Times New Roman" w:hAnsi="Times New Roman" w:cs="Times New Roman"/>
        </w:rPr>
        <w:t>Applicants should consult the CGSA map-file database before filing, to verify that the area is no longer attrib</w:t>
      </w:r>
      <w:r w:rsidRPr="00D535AF" w:rsidR="005479DB">
        <w:rPr>
          <w:rFonts w:ascii="Times New Roman" w:hAnsi="Times New Roman" w:cs="Times New Roman"/>
        </w:rPr>
        <w:t xml:space="preserve">uted to the cancelled license.  </w:t>
      </w:r>
      <w:r w:rsidRPr="00D535AF" w:rsidR="00D31348">
        <w:rPr>
          <w:rFonts w:ascii="Times New Roman" w:hAnsi="Times New Roman" w:cs="Times New Roman"/>
        </w:rPr>
        <w:t>A</w:t>
      </w:r>
      <w:r w:rsidRPr="00D535AF">
        <w:rPr>
          <w:rFonts w:ascii="Times New Roman" w:hAnsi="Times New Roman" w:cs="Times New Roman"/>
        </w:rPr>
        <w:t xml:space="preserve">ny discrepancies </w:t>
      </w:r>
      <w:r w:rsidRPr="00D535AF" w:rsidR="00D31348">
        <w:rPr>
          <w:rFonts w:ascii="Times New Roman" w:hAnsi="Times New Roman" w:cs="Times New Roman"/>
        </w:rPr>
        <w:t xml:space="preserve">should be reported </w:t>
      </w:r>
      <w:r w:rsidRPr="00D535AF">
        <w:rPr>
          <w:rFonts w:ascii="Times New Roman" w:hAnsi="Times New Roman" w:cs="Times New Roman"/>
        </w:rPr>
        <w:t>to Bureau staff, wh</w:t>
      </w:r>
      <w:r w:rsidRPr="00D535AF" w:rsidR="005479DB">
        <w:rPr>
          <w:rFonts w:ascii="Times New Roman" w:hAnsi="Times New Roman" w:cs="Times New Roman"/>
        </w:rPr>
        <w:t xml:space="preserve">o use </w:t>
      </w:r>
      <w:r w:rsidRPr="00D535AF">
        <w:rPr>
          <w:rFonts w:ascii="Times New Roman" w:hAnsi="Times New Roman" w:cs="Times New Roman"/>
        </w:rPr>
        <w:t xml:space="preserve">the CGSA map files to determine the official boundary of a proposed CGSA when reviewing a Cellular Service application.  </w:t>
      </w:r>
    </w:p>
    <w:p w:rsidR="001E4079" w:rsidRPr="00D535AF" w:rsidP="00110E16" w14:paraId="4B1E7CCB" w14:textId="63C393E8">
      <w:pPr>
        <w:pStyle w:val="ParaNum"/>
        <w:numPr>
          <w:ilvl w:val="0"/>
          <w:numId w:val="44"/>
        </w:numPr>
        <w:jc w:val="both"/>
        <w:rPr>
          <w:rFonts w:ascii="Times New Roman" w:hAnsi="Times New Roman" w:cs="Times New Roman"/>
        </w:rPr>
      </w:pPr>
      <w:r w:rsidRPr="00D535AF">
        <w:rPr>
          <w:rFonts w:ascii="Times New Roman" w:hAnsi="Times New Roman" w:cs="Times New Roman"/>
        </w:rPr>
        <w:t>T</w:t>
      </w:r>
      <w:r w:rsidRPr="00D535AF" w:rsidR="00063A75">
        <w:rPr>
          <w:rFonts w:ascii="Times New Roman" w:hAnsi="Times New Roman" w:cs="Times New Roman"/>
        </w:rPr>
        <w:t xml:space="preserve">he 180-day discontinuance period </w:t>
      </w:r>
      <w:r w:rsidRPr="00D535AF">
        <w:rPr>
          <w:rFonts w:ascii="Times New Roman" w:hAnsi="Times New Roman" w:cs="Times New Roman"/>
        </w:rPr>
        <w:t xml:space="preserve">applies </w:t>
      </w:r>
      <w:r w:rsidRPr="00D535AF" w:rsidR="00063A75">
        <w:rPr>
          <w:rFonts w:ascii="Times New Roman" w:hAnsi="Times New Roman" w:cs="Times New Roman"/>
        </w:rPr>
        <w:t>to new Cellular systems (other than the Chambers License system) only after the initial construction period has end</w:t>
      </w:r>
      <w:r w:rsidR="00376921">
        <w:rPr>
          <w:rFonts w:ascii="Times New Roman" w:hAnsi="Times New Roman" w:cs="Times New Roman"/>
        </w:rPr>
        <w:t xml:space="preserve">ed </w:t>
      </w:r>
      <w:r w:rsidR="00376921">
        <w:t xml:space="preserve">– </w:t>
      </w:r>
      <w:r w:rsidR="00376921">
        <w:rPr>
          <w:rFonts w:ascii="Times New Roman" w:hAnsi="Times New Roman" w:cs="Times New Roman"/>
        </w:rPr>
        <w:t xml:space="preserve">including extensions, if any </w:t>
      </w:r>
      <w:r w:rsidR="00376921">
        <w:t xml:space="preserve">– </w:t>
      </w:r>
      <w:r w:rsidRPr="00D535AF" w:rsidR="00063A75">
        <w:rPr>
          <w:rFonts w:ascii="Times New Roman" w:hAnsi="Times New Roman" w:cs="Times New Roman"/>
        </w:rPr>
        <w:t>following grant of the new-system application.</w:t>
      </w:r>
      <w:r w:rsidRPr="00D535AF" w:rsidR="002039ED">
        <w:rPr>
          <w:rFonts w:ascii="Times New Roman" w:hAnsi="Times New Roman" w:cs="Times New Roman"/>
        </w:rPr>
        <w:t xml:space="preserve"> This approach is reflected in Section 22.947 and will ensure that licensees of new systems will not be penalized in the event they complete construction and commence operations prior to expiration of their build-out period.</w:t>
      </w:r>
      <w:r w:rsidRPr="00D535AF" w:rsidR="002C1D21">
        <w:rPr>
          <w:rFonts w:ascii="Times New Roman" w:hAnsi="Times New Roman" w:cs="Times New Roman"/>
        </w:rPr>
        <w:t xml:space="preserve"> </w:t>
      </w:r>
    </w:p>
    <w:p w:rsidR="00A40FCB" w:rsidRPr="00D535AF" w:rsidP="00110E16" w14:paraId="02887A10" w14:textId="42352C86">
      <w:pPr>
        <w:pStyle w:val="ParaNum"/>
        <w:numPr>
          <w:ilvl w:val="0"/>
          <w:numId w:val="44"/>
        </w:numPr>
        <w:jc w:val="both"/>
        <w:rPr>
          <w:rFonts w:ascii="Times New Roman" w:hAnsi="Times New Roman" w:cs="Times New Roman"/>
        </w:rPr>
      </w:pPr>
      <w:r w:rsidRPr="00D535AF">
        <w:rPr>
          <w:rFonts w:ascii="Times New Roman" w:hAnsi="Times New Roman" w:cs="Times New Roman"/>
        </w:rPr>
        <w:t>For the Chamber</w:t>
      </w:r>
      <w:r w:rsidRPr="00D535AF" w:rsidR="009458EC">
        <w:rPr>
          <w:rFonts w:ascii="Times New Roman" w:hAnsi="Times New Roman" w:cs="Times New Roman"/>
        </w:rPr>
        <w:t>s</w:t>
      </w:r>
      <w:r w:rsidRPr="00D535AF">
        <w:rPr>
          <w:rFonts w:ascii="Times New Roman" w:hAnsi="Times New Roman" w:cs="Times New Roman"/>
        </w:rPr>
        <w:t xml:space="preserve"> License</w:t>
      </w:r>
      <w:r w:rsidRPr="00D535AF" w:rsidR="009458EC">
        <w:rPr>
          <w:rFonts w:ascii="Times New Roman" w:hAnsi="Times New Roman" w:cs="Times New Roman"/>
        </w:rPr>
        <w:t>,</w:t>
      </w:r>
      <w:r w:rsidRPr="00D535AF">
        <w:rPr>
          <w:rFonts w:ascii="Times New Roman" w:hAnsi="Times New Roman" w:cs="Times New Roman"/>
        </w:rPr>
        <w:t xml:space="preserve"> the 180-day period for purposes of determining permanent discontinuance will commence immediately after the interim construction dead</w:t>
      </w:r>
      <w:r w:rsidRPr="00D535AF" w:rsidR="00F62895">
        <w:rPr>
          <w:rFonts w:ascii="Times New Roman" w:hAnsi="Times New Roman" w:cs="Times New Roman"/>
        </w:rPr>
        <w:t>line set forth in Section 22.960(b)(1)</w:t>
      </w:r>
      <w:r w:rsidRPr="00D535AF">
        <w:rPr>
          <w:rFonts w:ascii="Times New Roman" w:hAnsi="Times New Roman" w:cs="Times New Roman"/>
        </w:rPr>
        <w:t>.</w:t>
      </w:r>
    </w:p>
    <w:p w:rsidR="009458EC" w:rsidRPr="00D535AF" w:rsidP="009458EC" w14:paraId="6229F121" w14:textId="22F4FDDF">
      <w:pPr>
        <w:pStyle w:val="ParaNum"/>
        <w:numPr>
          <w:ilvl w:val="0"/>
          <w:numId w:val="44"/>
        </w:numPr>
        <w:jc w:val="both"/>
        <w:rPr>
          <w:rFonts w:ascii="Times New Roman" w:hAnsi="Times New Roman" w:cs="Times New Roman"/>
        </w:rPr>
      </w:pPr>
      <w:r w:rsidRPr="00D535AF">
        <w:rPr>
          <w:rFonts w:ascii="Times New Roman" w:hAnsi="Times New Roman" w:cs="Times New Roman"/>
        </w:rPr>
        <w:t xml:space="preserve">If a Cellular licensee permanently discontinues service but has a still-pending application to expand that particular CGSA, the application will be dismissed if not withdrawn.  </w:t>
      </w:r>
    </w:p>
    <w:p w:rsidR="009458EC" w:rsidRPr="00D535AF" w:rsidP="0090334E" w14:paraId="2BBC1E7E" w14:textId="4C3CAECE">
      <w:pPr>
        <w:pStyle w:val="ParaNum"/>
        <w:numPr>
          <w:ilvl w:val="0"/>
          <w:numId w:val="44"/>
        </w:numPr>
        <w:spacing w:after="0"/>
        <w:jc w:val="both"/>
        <w:rPr>
          <w:rFonts w:ascii="Times New Roman" w:hAnsi="Times New Roman" w:cs="Times New Roman"/>
        </w:rPr>
      </w:pPr>
      <w:r w:rsidRPr="00D535AF">
        <w:rPr>
          <w:rFonts w:ascii="Times New Roman" w:hAnsi="Times New Roman" w:cs="Times New Roman"/>
        </w:rPr>
        <w:t xml:space="preserve">Section 22.947 </w:t>
      </w:r>
      <w:r w:rsidRPr="00D535AF" w:rsidR="008419CB">
        <w:rPr>
          <w:rFonts w:ascii="Times New Roman" w:hAnsi="Times New Roman" w:cs="Times New Roman"/>
        </w:rPr>
        <w:t xml:space="preserve">will be </w:t>
      </w:r>
      <w:r w:rsidRPr="00D535AF">
        <w:rPr>
          <w:rFonts w:ascii="Times New Roman" w:hAnsi="Times New Roman" w:cs="Times New Roman"/>
        </w:rPr>
        <w:t xml:space="preserve">in effect until the effective date of a new Part 1 rule (47 CFR § </w:t>
      </w:r>
      <w:r w:rsidRPr="00D535AF" w:rsidR="0025596D">
        <w:rPr>
          <w:rFonts w:ascii="Times New Roman" w:hAnsi="Times New Roman" w:cs="Times New Roman"/>
        </w:rPr>
        <w:t>1.953</w:t>
      </w:r>
      <w:r w:rsidRPr="00D535AF" w:rsidR="00FF01EA">
        <w:rPr>
          <w:rFonts w:ascii="Times New Roman" w:hAnsi="Times New Roman" w:cs="Times New Roman"/>
        </w:rPr>
        <w:t>)</w:t>
      </w:r>
      <w:r w:rsidRPr="00D535AF" w:rsidR="008419CB">
        <w:rPr>
          <w:rFonts w:ascii="Times New Roman" w:hAnsi="Times New Roman" w:cs="Times New Roman"/>
        </w:rPr>
        <w:t xml:space="preserve"> </w:t>
      </w:r>
      <w:r w:rsidRPr="00D535AF">
        <w:rPr>
          <w:rFonts w:ascii="Times New Roman" w:hAnsi="Times New Roman" w:cs="Times New Roman"/>
        </w:rPr>
        <w:t>adopted b</w:t>
      </w:r>
      <w:r w:rsidRPr="00D535AF" w:rsidR="0025596D">
        <w:rPr>
          <w:rFonts w:ascii="Times New Roman" w:hAnsi="Times New Roman" w:cs="Times New Roman"/>
        </w:rPr>
        <w:t xml:space="preserve">y the Commission </w:t>
      </w:r>
      <w:r w:rsidRPr="00D535AF">
        <w:rPr>
          <w:rFonts w:ascii="Times New Roman" w:hAnsi="Times New Roman" w:cs="Times New Roman"/>
        </w:rPr>
        <w:t xml:space="preserve">in </w:t>
      </w:r>
      <w:r w:rsidRPr="00D535AF" w:rsidR="00C61460">
        <w:rPr>
          <w:rFonts w:ascii="Times New Roman" w:hAnsi="Times New Roman" w:cs="Times New Roman"/>
        </w:rPr>
        <w:t xml:space="preserve">its Wireless Radio Services (WRS) </w:t>
      </w:r>
      <w:r w:rsidRPr="00D535AF">
        <w:rPr>
          <w:rFonts w:ascii="Times New Roman" w:hAnsi="Times New Roman" w:cs="Times New Roman"/>
        </w:rPr>
        <w:t>proceeding</w:t>
      </w:r>
      <w:r w:rsidRPr="00D535AF" w:rsidR="004F2BA3">
        <w:rPr>
          <w:rFonts w:ascii="Times New Roman" w:hAnsi="Times New Roman" w:cs="Times New Roman"/>
        </w:rPr>
        <w:t>,</w:t>
      </w:r>
      <w:r w:rsidRPr="00D535AF">
        <w:rPr>
          <w:rFonts w:ascii="Times New Roman" w:hAnsi="Times New Roman" w:cs="Times New Roman"/>
        </w:rPr>
        <w:t xml:space="preserve"> </w:t>
      </w:r>
      <w:r w:rsidRPr="00D535AF" w:rsidR="004F2BA3">
        <w:rPr>
          <w:rFonts w:ascii="Times New Roman" w:hAnsi="Times New Roman" w:cs="Times New Roman"/>
        </w:rPr>
        <w:t xml:space="preserve">which </w:t>
      </w:r>
      <w:r w:rsidRPr="00D535AF" w:rsidR="00C61460">
        <w:rPr>
          <w:rFonts w:ascii="Times New Roman" w:hAnsi="Times New Roman" w:cs="Times New Roman"/>
        </w:rPr>
        <w:t>establish</w:t>
      </w:r>
      <w:r w:rsidRPr="00D535AF" w:rsidR="004F2BA3">
        <w:rPr>
          <w:rFonts w:ascii="Times New Roman" w:hAnsi="Times New Roman" w:cs="Times New Roman"/>
        </w:rPr>
        <w:t>es</w:t>
      </w:r>
      <w:r w:rsidRPr="00D535AF" w:rsidR="00C61460">
        <w:rPr>
          <w:rFonts w:ascii="Times New Roman" w:hAnsi="Times New Roman" w:cs="Times New Roman"/>
        </w:rPr>
        <w:t xml:space="preserve"> </w:t>
      </w:r>
      <w:r w:rsidRPr="00D535AF" w:rsidR="00BF525D">
        <w:rPr>
          <w:rFonts w:ascii="Times New Roman" w:hAnsi="Times New Roman" w:cs="Times New Roman"/>
        </w:rPr>
        <w:t xml:space="preserve">(among other rules) </w:t>
      </w:r>
      <w:r w:rsidRPr="00D535AF" w:rsidR="00C61460">
        <w:rPr>
          <w:rFonts w:ascii="Times New Roman" w:hAnsi="Times New Roman" w:cs="Times New Roman"/>
        </w:rPr>
        <w:t xml:space="preserve">discontinuance of service or operations requirements </w:t>
      </w:r>
      <w:r w:rsidRPr="00D535AF" w:rsidR="004F2BA3">
        <w:rPr>
          <w:rFonts w:ascii="Times New Roman" w:hAnsi="Times New Roman" w:cs="Times New Roman"/>
        </w:rPr>
        <w:t xml:space="preserve">applicable </w:t>
      </w:r>
      <w:r w:rsidRPr="00D535AF" w:rsidR="00C61460">
        <w:rPr>
          <w:rFonts w:ascii="Times New Roman" w:hAnsi="Times New Roman" w:cs="Times New Roman"/>
        </w:rPr>
        <w:t xml:space="preserve">not only to Cellular licensees but also various other </w:t>
      </w:r>
      <w:r w:rsidRPr="00D535AF" w:rsidR="004F2BA3">
        <w:rPr>
          <w:rFonts w:ascii="Times New Roman" w:hAnsi="Times New Roman" w:cs="Times New Roman"/>
        </w:rPr>
        <w:t xml:space="preserve">WRS </w:t>
      </w:r>
      <w:r w:rsidRPr="00D535AF" w:rsidR="00C61460">
        <w:rPr>
          <w:rFonts w:ascii="Times New Roman" w:hAnsi="Times New Roman" w:cs="Times New Roman"/>
        </w:rPr>
        <w:t>licensees</w:t>
      </w:r>
      <w:r w:rsidRPr="00D535AF" w:rsidR="0035639F">
        <w:rPr>
          <w:rFonts w:ascii="Times New Roman" w:hAnsi="Times New Roman" w:cs="Times New Roman"/>
        </w:rPr>
        <w:t>.</w:t>
      </w:r>
      <w:r>
        <w:rPr>
          <w:rStyle w:val="FootnoteReference"/>
          <w:rFonts w:cs="Times New Roman"/>
          <w:sz w:val="22"/>
        </w:rPr>
        <w:footnoteReference w:id="3"/>
      </w:r>
      <w:r w:rsidRPr="00D535AF" w:rsidR="0035639F">
        <w:rPr>
          <w:rFonts w:ascii="Times New Roman" w:hAnsi="Times New Roman" w:cs="Times New Roman"/>
        </w:rPr>
        <w:t xml:space="preserve">  </w:t>
      </w:r>
      <w:r w:rsidRPr="00D535AF" w:rsidR="004F2BA3">
        <w:rPr>
          <w:rFonts w:ascii="Times New Roman" w:hAnsi="Times New Roman" w:cs="Times New Roman"/>
        </w:rPr>
        <w:t xml:space="preserve">Section 1.953, once it takes effect, </w:t>
      </w:r>
      <w:r w:rsidRPr="00D535AF" w:rsidR="00661463">
        <w:rPr>
          <w:rFonts w:ascii="Times New Roman" w:hAnsi="Times New Roman" w:cs="Times New Roman"/>
        </w:rPr>
        <w:t xml:space="preserve">will not change the </w:t>
      </w:r>
      <w:r w:rsidRPr="00D535AF" w:rsidR="005577FE">
        <w:rPr>
          <w:rFonts w:ascii="Times New Roman" w:hAnsi="Times New Roman" w:cs="Times New Roman"/>
        </w:rPr>
        <w:t>obligations established under Section 22.947</w:t>
      </w:r>
      <w:r w:rsidRPr="00D535AF" w:rsidR="004F2BA3">
        <w:rPr>
          <w:rFonts w:ascii="Times New Roman" w:hAnsi="Times New Roman" w:cs="Times New Roman"/>
        </w:rPr>
        <w:t xml:space="preserve"> for Cellular licensees</w:t>
      </w:r>
      <w:r w:rsidRPr="00D535AF" w:rsidR="005577FE">
        <w:rPr>
          <w:rFonts w:ascii="Times New Roman" w:hAnsi="Times New Roman" w:cs="Times New Roman"/>
        </w:rPr>
        <w:t xml:space="preserve">; rather, the Part 1 rule is designed to simplify the </w:t>
      </w:r>
      <w:r w:rsidRPr="00D535AF" w:rsidR="004F2BA3">
        <w:rPr>
          <w:rFonts w:ascii="Times New Roman" w:hAnsi="Times New Roman" w:cs="Times New Roman"/>
        </w:rPr>
        <w:t xml:space="preserve">Commission’s </w:t>
      </w:r>
      <w:r w:rsidRPr="00D535AF" w:rsidR="005577FE">
        <w:rPr>
          <w:rFonts w:ascii="Times New Roman" w:hAnsi="Times New Roman" w:cs="Times New Roman"/>
        </w:rPr>
        <w:t xml:space="preserve">regulations by consolidating under one rule all the same sets of obligations that are repeated in </w:t>
      </w:r>
      <w:r w:rsidRPr="00D535AF" w:rsidR="004F2BA3">
        <w:rPr>
          <w:rFonts w:ascii="Times New Roman" w:hAnsi="Times New Roman" w:cs="Times New Roman"/>
        </w:rPr>
        <w:t xml:space="preserve">existing </w:t>
      </w:r>
      <w:r w:rsidRPr="00D535AF" w:rsidR="005577FE">
        <w:rPr>
          <w:rFonts w:ascii="Times New Roman" w:hAnsi="Times New Roman" w:cs="Times New Roman"/>
        </w:rPr>
        <w:t>multiple rule Sections on a service-by-service basis.</w:t>
      </w:r>
    </w:p>
    <w:p w:rsidR="00505305" w:rsidRPr="00D535AF" w:rsidP="006C0BD8" w14:paraId="644A1995" w14:textId="05E7972A">
      <w:pPr>
        <w:pStyle w:val="ParaNum"/>
        <w:numPr>
          <w:ilvl w:val="0"/>
          <w:numId w:val="0"/>
        </w:numPr>
        <w:spacing w:after="0" w:line="240" w:lineRule="auto"/>
        <w:ind w:firstLine="720"/>
        <w:jc w:val="both"/>
        <w:rPr>
          <w:rFonts w:ascii="Times New Roman" w:hAnsi="Times New Roman" w:cs="Times New Roman"/>
        </w:rPr>
      </w:pPr>
    </w:p>
    <w:p w:rsidR="00A70E1F" w:rsidRPr="00D535AF" w:rsidP="009458EC" w14:paraId="234F4C2A" w14:textId="373BA013">
      <w:pPr>
        <w:pStyle w:val="Heading2"/>
        <w:rPr>
          <w:rFonts w:ascii="Times New Roman" w:hAnsi="Times New Roman" w:cs="Times New Roman"/>
        </w:rPr>
      </w:pPr>
      <w:bookmarkStart w:id="202" w:name="_Toc474348283"/>
      <w:bookmarkStart w:id="203" w:name="_Toc474351614"/>
      <w:bookmarkStart w:id="204" w:name="_Toc474352544"/>
      <w:bookmarkStart w:id="205" w:name="_Toc474353406"/>
      <w:bookmarkStart w:id="206" w:name="_Toc474532724"/>
      <w:bookmarkStart w:id="207" w:name="_Toc474534390"/>
      <w:bookmarkStart w:id="208" w:name="_Toc474752017"/>
      <w:bookmarkStart w:id="209" w:name="_Toc474947256"/>
      <w:bookmarkStart w:id="210" w:name="_Toc475028056"/>
      <w:bookmarkStart w:id="211" w:name="_Toc475537219"/>
      <w:bookmarkStart w:id="212" w:name="_Toc475899419"/>
      <w:bookmarkStart w:id="213" w:name="_Toc477805753"/>
      <w:bookmarkStart w:id="214" w:name="_Toc477954187"/>
      <w:bookmarkStart w:id="215" w:name="_Toc492564193"/>
      <w:bookmarkStart w:id="216" w:name="_Toc504060949"/>
      <w:r w:rsidRPr="00D535AF">
        <w:rPr>
          <w:rFonts w:ascii="Times New Roman" w:hAnsi="Times New Roman" w:cs="Times New Roman"/>
        </w:rPr>
        <w:t>Filings for Certain Minor Modifications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D535AF" w:rsidR="00AE186E">
        <w:rPr>
          <w:rFonts w:ascii="Times New Roman" w:hAnsi="Times New Roman" w:cs="Times New Roman"/>
        </w:rPr>
        <w:t xml:space="preserve"> (47 CFR §</w:t>
      </w:r>
      <w:r w:rsidRPr="00D535AF" w:rsidR="007D6E34">
        <w:rPr>
          <w:rFonts w:ascii="Times New Roman" w:hAnsi="Times New Roman" w:cs="Times New Roman"/>
        </w:rPr>
        <w:t xml:space="preserve"> </w:t>
      </w:r>
      <w:r w:rsidRPr="00D535AF" w:rsidR="00AE186E">
        <w:rPr>
          <w:rFonts w:ascii="Times New Roman" w:hAnsi="Times New Roman" w:cs="Times New Roman"/>
        </w:rPr>
        <w:t>22.953(c))</w:t>
      </w:r>
      <w:bookmarkEnd w:id="216"/>
    </w:p>
    <w:p w:rsidR="00B8314F" w:rsidRPr="00D535AF" w:rsidP="00110E16" w14:paraId="63503A55" w14:textId="191FC499">
      <w:pPr>
        <w:pStyle w:val="ParaNum"/>
        <w:numPr>
          <w:ilvl w:val="0"/>
          <w:numId w:val="45"/>
        </w:numPr>
        <w:jc w:val="both"/>
        <w:rPr>
          <w:rFonts w:ascii="Times New Roman" w:hAnsi="Times New Roman" w:cs="Times New Roman"/>
        </w:rPr>
      </w:pPr>
      <w:r w:rsidRPr="00D535AF">
        <w:rPr>
          <w:rFonts w:ascii="Times New Roman" w:hAnsi="Times New Roman" w:cs="Times New Roman"/>
        </w:rPr>
        <w:t xml:space="preserve">Section 22.953(c) was revised to </w:t>
      </w:r>
      <w:r w:rsidRPr="00D535AF" w:rsidR="00C574E4">
        <w:rPr>
          <w:rFonts w:ascii="Times New Roman" w:hAnsi="Times New Roman" w:cs="Times New Roman"/>
        </w:rPr>
        <w:t xml:space="preserve">eliminate the site-based provision requiring filings for non-permanent-discontinuance </w:t>
      </w:r>
      <w:r w:rsidRPr="00D535AF" w:rsidR="00494142">
        <w:rPr>
          <w:rFonts w:ascii="Times New Roman" w:hAnsi="Times New Roman" w:cs="Times New Roman"/>
        </w:rPr>
        <w:t xml:space="preserve">changes to operational cell sites.  </w:t>
      </w:r>
    </w:p>
    <w:p w:rsidR="00B8314F" w:rsidRPr="00D535AF" w:rsidP="00110E16" w14:paraId="7CDF90FB" w14:textId="72C5DE6C">
      <w:pPr>
        <w:pStyle w:val="ParaNum"/>
        <w:numPr>
          <w:ilvl w:val="0"/>
          <w:numId w:val="45"/>
        </w:numPr>
        <w:jc w:val="both"/>
        <w:rPr>
          <w:rFonts w:ascii="Times New Roman" w:hAnsi="Times New Roman" w:cs="Times New Roman"/>
        </w:rPr>
      </w:pPr>
      <w:r w:rsidRPr="00D535AF">
        <w:rPr>
          <w:rFonts w:ascii="Times New Roman" w:hAnsi="Times New Roman" w:cs="Times New Roman"/>
        </w:rPr>
        <w:t>C</w:t>
      </w:r>
      <w:r w:rsidRPr="00D535AF" w:rsidR="00C70F9C">
        <w:rPr>
          <w:rFonts w:ascii="Times New Roman" w:hAnsi="Times New Roman" w:cs="Times New Roman"/>
        </w:rPr>
        <w:t>onsistent with other geographically licensed commercial wireles</w:t>
      </w:r>
      <w:r w:rsidRPr="00D535AF" w:rsidR="007C247B">
        <w:rPr>
          <w:rFonts w:ascii="Times New Roman" w:hAnsi="Times New Roman" w:cs="Times New Roman"/>
        </w:rPr>
        <w:t xml:space="preserve">s services, following </w:t>
      </w:r>
      <w:r w:rsidRPr="00D535AF" w:rsidR="00C70F9C">
        <w:rPr>
          <w:rFonts w:ascii="Times New Roman" w:hAnsi="Times New Roman" w:cs="Times New Roman"/>
        </w:rPr>
        <w:t>minor system changes, the CGSA boundary will remain fixed, except that Cellular licensees may continue to expand their CGSAs under Section</w:t>
      </w:r>
      <w:r w:rsidRPr="00D535AF" w:rsidR="00396F6C">
        <w:rPr>
          <w:rFonts w:ascii="Times New Roman" w:hAnsi="Times New Roman" w:cs="Times New Roman"/>
        </w:rPr>
        <w:t xml:space="preserve"> </w:t>
      </w:r>
      <w:r w:rsidRPr="00D535AF" w:rsidR="00C70F9C">
        <w:rPr>
          <w:rFonts w:ascii="Times New Roman" w:hAnsi="Times New Roman" w:cs="Times New Roman"/>
        </w:rPr>
        <w:t xml:space="preserve">22.949. </w:t>
      </w:r>
    </w:p>
    <w:p w:rsidR="00A70E1F" w:rsidRPr="00D535AF" w:rsidP="004464B8" w14:paraId="3429B230" w14:textId="6CAF19C3">
      <w:pPr>
        <w:pStyle w:val="ParaNum"/>
        <w:numPr>
          <w:ilvl w:val="0"/>
          <w:numId w:val="45"/>
        </w:numPr>
        <w:spacing w:after="0"/>
        <w:jc w:val="both"/>
        <w:rPr>
          <w:rFonts w:ascii="Times New Roman" w:hAnsi="Times New Roman" w:cs="Times New Roman"/>
        </w:rPr>
      </w:pPr>
      <w:r w:rsidRPr="00D535AF">
        <w:rPr>
          <w:rFonts w:ascii="Times New Roman" w:hAnsi="Times New Roman" w:cs="Times New Roman"/>
        </w:rPr>
        <w:t xml:space="preserve">Under the </w:t>
      </w:r>
      <w:r w:rsidRPr="00D535AF" w:rsidR="00BE4263">
        <w:rPr>
          <w:rFonts w:ascii="Times New Roman" w:hAnsi="Times New Roman" w:cs="Times New Roman"/>
        </w:rPr>
        <w:t>revised Section 22.953(c) the Commission will dismiss</w:t>
      </w:r>
      <w:r w:rsidRPr="00D535AF" w:rsidR="007D6E34">
        <w:rPr>
          <w:rFonts w:ascii="Times New Roman" w:hAnsi="Times New Roman" w:cs="Times New Roman"/>
        </w:rPr>
        <w:t>,</w:t>
      </w:r>
      <w:r w:rsidRPr="00D535AF" w:rsidR="00BE4263">
        <w:rPr>
          <w:rFonts w:ascii="Times New Roman" w:hAnsi="Times New Roman" w:cs="Times New Roman"/>
        </w:rPr>
        <w:t xml:space="preserve"> as an unnece</w:t>
      </w:r>
      <w:r w:rsidRPr="00D535AF" w:rsidR="0025596D">
        <w:rPr>
          <w:rFonts w:ascii="Times New Roman" w:hAnsi="Times New Roman" w:cs="Times New Roman"/>
        </w:rPr>
        <w:t xml:space="preserve">ssary filing, </w:t>
      </w:r>
      <w:r w:rsidRPr="00D535AF" w:rsidR="007D6E34">
        <w:rPr>
          <w:rFonts w:ascii="Times New Roman" w:hAnsi="Times New Roman" w:cs="Times New Roman"/>
        </w:rPr>
        <w:t xml:space="preserve">a notification of </w:t>
      </w:r>
      <w:r w:rsidRPr="00D535AF" w:rsidR="00BE4263">
        <w:rPr>
          <w:rFonts w:ascii="Times New Roman" w:hAnsi="Times New Roman" w:cs="Times New Roman"/>
        </w:rPr>
        <w:t>a CGSA reduction.</w:t>
      </w:r>
    </w:p>
    <w:p w:rsidR="00FF01EA" w:rsidRPr="00D535AF" w:rsidP="006C0BD8" w14:paraId="7C25260D" w14:textId="77777777">
      <w:pPr>
        <w:pStyle w:val="ParaNum"/>
        <w:numPr>
          <w:ilvl w:val="0"/>
          <w:numId w:val="0"/>
        </w:numPr>
        <w:spacing w:after="0"/>
        <w:ind w:left="1440"/>
        <w:contextualSpacing/>
        <w:jc w:val="both"/>
        <w:rPr>
          <w:rFonts w:ascii="Times New Roman" w:hAnsi="Times New Roman" w:cs="Times New Roman"/>
        </w:rPr>
      </w:pPr>
    </w:p>
    <w:p w:rsidR="009D46B9" w:rsidRPr="00D535AF" w:rsidP="009458EC" w14:paraId="751C386C" w14:textId="04A64074">
      <w:pPr>
        <w:pStyle w:val="Heading2"/>
        <w:rPr>
          <w:rFonts w:ascii="Times New Roman" w:hAnsi="Times New Roman" w:cs="Times New Roman"/>
        </w:rPr>
      </w:pPr>
      <w:bookmarkStart w:id="217" w:name="_Toc504060950"/>
      <w:bookmarkStart w:id="218" w:name="_Toc474348284"/>
      <w:bookmarkStart w:id="219" w:name="_Toc474351615"/>
      <w:bookmarkStart w:id="220" w:name="_Toc474352545"/>
      <w:bookmarkStart w:id="221" w:name="_Toc474353407"/>
      <w:bookmarkStart w:id="222" w:name="_Toc474532725"/>
      <w:bookmarkStart w:id="223" w:name="_Toc474534391"/>
      <w:bookmarkStart w:id="224" w:name="_Toc474752018"/>
      <w:bookmarkStart w:id="225" w:name="_Toc474947257"/>
      <w:bookmarkStart w:id="226" w:name="_Toc475028057"/>
      <w:bookmarkStart w:id="227" w:name="_Toc475537220"/>
      <w:bookmarkStart w:id="228" w:name="_Toc475899420"/>
      <w:bookmarkStart w:id="229" w:name="_Toc477805754"/>
      <w:bookmarkStart w:id="230" w:name="_Toc477954188"/>
      <w:bookmarkStart w:id="231" w:name="_Toc492564194"/>
      <w:r w:rsidRPr="00D535AF">
        <w:rPr>
          <w:rFonts w:ascii="Times New Roman" w:hAnsi="Times New Roman" w:cs="Times New Roman"/>
        </w:rPr>
        <w:t>Deletion of Cellular Service Comparative Renewal Rules (47 CFR §§ 22.</w:t>
      </w:r>
      <w:r w:rsidRPr="00D535AF" w:rsidR="00735AA1">
        <w:rPr>
          <w:rFonts w:ascii="Times New Roman" w:hAnsi="Times New Roman" w:cs="Times New Roman"/>
        </w:rPr>
        <w:t>935, 22.936, 22.939, 22.940, and 22.943)</w:t>
      </w:r>
      <w:bookmarkEnd w:id="217"/>
      <w:r w:rsidRPr="00D535AF">
        <w:rPr>
          <w:rFonts w:ascii="Times New Roman" w:hAnsi="Times New Roman" w:cs="Times New Roman"/>
        </w:rPr>
        <w:t xml:space="preserve"> </w:t>
      </w:r>
    </w:p>
    <w:p w:rsidR="00735AA1" w:rsidRPr="00D535AF" w:rsidP="004464B8" w14:paraId="3C7E8654" w14:textId="777CC51D">
      <w:pPr>
        <w:pStyle w:val="ParaNum"/>
        <w:numPr>
          <w:ilvl w:val="0"/>
          <w:numId w:val="0"/>
        </w:numPr>
        <w:spacing w:after="0"/>
        <w:ind w:firstLine="720"/>
        <w:jc w:val="both"/>
        <w:rPr>
          <w:rFonts w:ascii="Times New Roman" w:hAnsi="Times New Roman" w:cs="Times New Roman"/>
        </w:rPr>
      </w:pPr>
      <w:r w:rsidRPr="00D535AF">
        <w:rPr>
          <w:rFonts w:ascii="Times New Roman" w:hAnsi="Times New Roman" w:cs="Times New Roman"/>
        </w:rPr>
        <w:t>The Commission deleted the five Part 22 rules pertaining to Cellular license renewals, including the provisions for competing applications to be resolved by comparative hearings.  The revised Cellular Service rules reflect deletion of Sections 22.935, 22.936, 22.939, 22.940, and 22.943.  The elimination of these Cellular Service-specific renewal rules was a first step toward adoption of uniform renew</w:t>
      </w:r>
      <w:r w:rsidRPr="00D535AF" w:rsidR="00C40FB5">
        <w:rPr>
          <w:rFonts w:ascii="Times New Roman" w:hAnsi="Times New Roman" w:cs="Times New Roman"/>
        </w:rPr>
        <w:t xml:space="preserve">al procedures applicable to Cellular Service and other </w:t>
      </w:r>
      <w:r w:rsidRPr="00D535AF">
        <w:rPr>
          <w:rFonts w:ascii="Times New Roman" w:hAnsi="Times New Roman" w:cs="Times New Roman"/>
        </w:rPr>
        <w:t>WRS licensees.</w:t>
      </w:r>
      <w:r>
        <w:rPr>
          <w:rStyle w:val="FootnoteReference"/>
          <w:rFonts w:cs="Times New Roman"/>
          <w:sz w:val="22"/>
        </w:rPr>
        <w:footnoteReference w:id="4"/>
      </w:r>
    </w:p>
    <w:p w:rsidR="00FF01EA" w:rsidRPr="00D535AF" w:rsidP="0090334E" w14:paraId="3831C13A" w14:textId="77777777">
      <w:pPr>
        <w:pStyle w:val="ParaNum"/>
        <w:numPr>
          <w:ilvl w:val="0"/>
          <w:numId w:val="0"/>
        </w:numPr>
        <w:spacing w:after="0"/>
        <w:ind w:firstLine="720"/>
        <w:jc w:val="both"/>
        <w:rPr>
          <w:rFonts w:ascii="Times New Roman" w:hAnsi="Times New Roman" w:cs="Times New Roman"/>
        </w:rPr>
      </w:pPr>
    </w:p>
    <w:p w:rsidR="009D46B9" w:rsidRPr="00D535AF" w:rsidP="00C40FB5" w14:paraId="56AD8B7B" w14:textId="097743C1">
      <w:pPr>
        <w:pStyle w:val="Heading2"/>
        <w:rPr>
          <w:rFonts w:ascii="Times New Roman" w:hAnsi="Times New Roman" w:cs="Times New Roman"/>
        </w:rPr>
      </w:pPr>
      <w:bookmarkStart w:id="232" w:name="_Toc504060951"/>
      <w:r w:rsidRPr="00D535AF">
        <w:rPr>
          <w:rFonts w:ascii="Times New Roman" w:hAnsi="Times New Roman" w:cs="Times New Roman"/>
        </w:rPr>
        <w:t>Other Technical Rules Updated</w:t>
      </w:r>
      <w:r w:rsidRPr="00D535AF" w:rsidR="00A243F8">
        <w:rPr>
          <w:rFonts w:ascii="Times New Roman" w:hAnsi="Times New Roman" w:cs="Times New Roman"/>
        </w:rPr>
        <w:t xml:space="preserve"> or Deleted</w:t>
      </w:r>
      <w:r w:rsidRPr="00D535AF">
        <w:rPr>
          <w:rFonts w:ascii="Times New Roman" w:hAnsi="Times New Roman" w:cs="Times New Roman"/>
        </w:rPr>
        <w:t xml:space="preserve"> (47 CFR §§ 22.169, </w:t>
      </w:r>
      <w:r w:rsidRPr="00D535AF" w:rsidR="00C607B4">
        <w:rPr>
          <w:rFonts w:ascii="Times New Roman" w:hAnsi="Times New Roman" w:cs="Times New Roman"/>
        </w:rPr>
        <w:t>22.955, 22.957; 22.907;</w:t>
      </w:r>
      <w:r w:rsidRPr="00D535AF">
        <w:rPr>
          <w:rFonts w:ascii="Times New Roman" w:hAnsi="Times New Roman" w:cs="Times New Roman"/>
        </w:rPr>
        <w:t xml:space="preserve"> and 22.917)</w:t>
      </w:r>
      <w:bookmarkEnd w:id="232"/>
    </w:p>
    <w:p w:rsidR="00F15531" w:rsidRPr="00D535AF" w:rsidP="007D578D" w14:paraId="3D2230BD" w14:textId="4C2761FC">
      <w:pPr>
        <w:pStyle w:val="ParaNum"/>
        <w:numPr>
          <w:ilvl w:val="0"/>
          <w:numId w:val="0"/>
        </w:numPr>
        <w:ind w:firstLine="720"/>
        <w:jc w:val="both"/>
        <w:rPr>
          <w:rFonts w:ascii="Times New Roman" w:hAnsi="Times New Roman" w:cs="Times New Roman"/>
        </w:rPr>
      </w:pPr>
      <w:bookmarkStart w:id="233" w:name="_Toc393378139"/>
      <w:bookmarkStart w:id="234" w:name="_Toc393462641"/>
      <w:bookmarkStart w:id="235" w:name="_Toc393477998"/>
      <w:bookmarkStart w:id="236" w:name="_Toc394658112"/>
      <w:bookmarkStart w:id="237" w:name="_Toc394659957"/>
      <w:bookmarkStart w:id="238" w:name="_Toc394678797"/>
      <w:bookmarkStart w:id="239" w:name="_Toc394679511"/>
      <w:bookmarkStart w:id="240" w:name="_Toc395264418"/>
      <w:bookmarkStart w:id="241" w:name="_Toc397508633"/>
      <w:bookmarkStart w:id="242" w:name="_Toc397604483"/>
      <w:bookmarkStart w:id="243" w:name="_Toc397686571"/>
      <w:bookmarkStart w:id="244" w:name="_Toc399935834"/>
      <w:bookmarkStart w:id="245" w:name="_Toc403121184"/>
      <w:bookmarkStart w:id="246" w:name="_Toc423370683"/>
      <w:bookmarkStart w:id="247" w:name="_Toc464070656"/>
      <w:bookmarkStart w:id="248" w:name="_Toc464126370"/>
      <w:bookmarkStart w:id="249" w:name="_Toc464128322"/>
      <w:bookmarkStart w:id="250" w:name="_Toc464143341"/>
      <w:bookmarkStart w:id="251" w:name="_Toc465280164"/>
      <w:bookmarkStart w:id="252" w:name="_Toc465357599"/>
      <w:bookmarkStart w:id="253" w:name="_Toc466396793"/>
      <w:bookmarkStart w:id="254" w:name="_Toc467155751"/>
      <w:bookmarkStart w:id="255" w:name="_Toc467171140"/>
      <w:bookmarkStart w:id="256" w:name="_Toc467183032"/>
      <w:bookmarkStart w:id="257" w:name="_Toc467233374"/>
      <w:bookmarkStart w:id="258" w:name="_Toc468201200"/>
      <w:bookmarkStart w:id="259" w:name="_Toc468702524"/>
      <w:bookmarkStart w:id="260" w:name="_Toc473563708"/>
      <w:bookmarkStart w:id="261" w:name="_Toc474348285"/>
      <w:bookmarkStart w:id="262" w:name="_Toc474351616"/>
      <w:bookmarkStart w:id="263" w:name="_Toc474352546"/>
      <w:bookmarkStart w:id="264" w:name="_Toc474353408"/>
      <w:bookmarkStart w:id="265" w:name="_Toc474532726"/>
      <w:bookmarkStart w:id="266" w:name="_Toc474534392"/>
      <w:bookmarkStart w:id="267" w:name="_Toc474752019"/>
      <w:bookmarkStart w:id="268" w:name="_Toc474947258"/>
      <w:bookmarkStart w:id="269" w:name="_Toc475028058"/>
      <w:bookmarkStart w:id="270" w:name="_Toc475537221"/>
      <w:bookmarkStart w:id="271" w:name="_Toc475899421"/>
      <w:bookmarkStart w:id="272" w:name="_Toc477805755"/>
      <w:bookmarkStart w:id="273" w:name="_Toc477954189"/>
      <w:bookmarkStart w:id="274" w:name="_Toc49256419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D535AF">
        <w:rPr>
          <w:rFonts w:ascii="Times New Roman" w:hAnsi="Times New Roman" w:cs="Times New Roman"/>
          <w:i/>
          <w:u w:val="single"/>
        </w:rPr>
        <w:t>International Coordination Requirements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D535AF" w:rsidR="00C40FB5">
        <w:rPr>
          <w:rFonts w:ascii="Times New Roman" w:hAnsi="Times New Roman" w:cs="Times New Roman"/>
          <w:i/>
          <w:u w:val="single"/>
        </w:rPr>
        <w:t>.</w:t>
      </w:r>
      <w:r w:rsidRPr="00D535AF" w:rsidR="00031F72">
        <w:rPr>
          <w:rFonts w:ascii="Times New Roman" w:hAnsi="Times New Roman" w:cs="Times New Roman"/>
        </w:rPr>
        <w:t xml:space="preserve"> </w:t>
      </w:r>
      <w:r w:rsidRPr="00D535AF" w:rsidR="00C40FB5">
        <w:rPr>
          <w:rFonts w:ascii="Times New Roman" w:hAnsi="Times New Roman" w:cs="Times New Roman"/>
        </w:rPr>
        <w:t xml:space="preserve"> </w:t>
      </w:r>
      <w:r w:rsidRPr="00D535AF" w:rsidR="00C607B4">
        <w:rPr>
          <w:rFonts w:ascii="Times New Roman" w:hAnsi="Times New Roman" w:cs="Times New Roman"/>
        </w:rPr>
        <w:t>(47 CFR §§ 22.169</w:t>
      </w:r>
      <w:r w:rsidRPr="00D535AF" w:rsidR="0074401E">
        <w:rPr>
          <w:rFonts w:ascii="Times New Roman" w:hAnsi="Times New Roman" w:cs="Times New Roman"/>
        </w:rPr>
        <w:t>, 22.955 and 22.957</w:t>
      </w:r>
      <w:r w:rsidRPr="00D535AF" w:rsidR="00C607B4">
        <w:rPr>
          <w:rFonts w:ascii="Times New Roman" w:hAnsi="Times New Roman" w:cs="Times New Roman"/>
        </w:rPr>
        <w:t>)</w:t>
      </w:r>
    </w:p>
    <w:p w:rsidR="00031F72" w:rsidRPr="00D535AF" w:rsidP="00110E16" w14:paraId="2CA6D7D5" w14:textId="5E53DC6A">
      <w:pPr>
        <w:pStyle w:val="ParaNum"/>
        <w:numPr>
          <w:ilvl w:val="0"/>
          <w:numId w:val="47"/>
        </w:numPr>
        <w:jc w:val="both"/>
        <w:rPr>
          <w:rFonts w:ascii="Times New Roman" w:hAnsi="Times New Roman" w:cs="Times New Roman"/>
        </w:rPr>
      </w:pPr>
      <w:r w:rsidRPr="00D535AF">
        <w:rPr>
          <w:rFonts w:ascii="Times New Roman" w:hAnsi="Times New Roman" w:cs="Times New Roman"/>
        </w:rPr>
        <w:t xml:space="preserve">The </w:t>
      </w:r>
      <w:r w:rsidRPr="00D535AF" w:rsidR="00494142">
        <w:rPr>
          <w:rFonts w:ascii="Times New Roman" w:hAnsi="Times New Roman" w:cs="Times New Roman"/>
        </w:rPr>
        <w:t>Cellular Service-specific international coordination rules</w:t>
      </w:r>
      <w:r w:rsidR="00376921">
        <w:rPr>
          <w:rFonts w:ascii="Times New Roman" w:hAnsi="Times New Roman" w:cs="Times New Roman"/>
        </w:rPr>
        <w:t xml:space="preserve"> </w:t>
      </w:r>
      <w:r w:rsidR="00376921">
        <w:t xml:space="preserve">– </w:t>
      </w:r>
      <w:r w:rsidRPr="00D535AF">
        <w:rPr>
          <w:rFonts w:ascii="Times New Roman" w:hAnsi="Times New Roman" w:cs="Times New Roman"/>
        </w:rPr>
        <w:t>Sections 22.955 and 22.957</w:t>
      </w:r>
      <w:r w:rsidRPr="00D535AF" w:rsidR="0074401E">
        <w:rPr>
          <w:rFonts w:ascii="Times New Roman" w:hAnsi="Times New Roman" w:cs="Times New Roman"/>
        </w:rPr>
        <w:t>, which</w:t>
      </w:r>
      <w:r w:rsidRPr="00D535AF" w:rsidR="004D48D3">
        <w:rPr>
          <w:rFonts w:ascii="Times New Roman" w:hAnsi="Times New Roman" w:cs="Times New Roman"/>
        </w:rPr>
        <w:t xml:space="preserve"> </w:t>
      </w:r>
      <w:r w:rsidRPr="00D535AF">
        <w:rPr>
          <w:rFonts w:ascii="Times New Roman" w:hAnsi="Times New Roman" w:cs="Times New Roman"/>
        </w:rPr>
        <w:t>were</w:t>
      </w:r>
      <w:r w:rsidRPr="00D535AF" w:rsidR="00B75F0B">
        <w:rPr>
          <w:rFonts w:ascii="Times New Roman" w:hAnsi="Times New Roman" w:cs="Times New Roman"/>
        </w:rPr>
        <w:t xml:space="preserve"> </w:t>
      </w:r>
      <w:r w:rsidRPr="00D535AF" w:rsidR="001E68E9">
        <w:rPr>
          <w:rFonts w:ascii="Times New Roman" w:hAnsi="Times New Roman" w:cs="Times New Roman"/>
        </w:rPr>
        <w:t>essentially redund</w:t>
      </w:r>
      <w:r w:rsidRPr="00D535AF" w:rsidR="0074401E">
        <w:rPr>
          <w:rFonts w:ascii="Times New Roman" w:hAnsi="Times New Roman" w:cs="Times New Roman"/>
        </w:rPr>
        <w:t>ant to the general Part 22 rule (</w:t>
      </w:r>
      <w:r w:rsidRPr="00D535AF" w:rsidR="001E68E9">
        <w:rPr>
          <w:rFonts w:ascii="Times New Roman" w:hAnsi="Times New Roman" w:cs="Times New Roman"/>
        </w:rPr>
        <w:t>Sec</w:t>
      </w:r>
      <w:r w:rsidRPr="00D535AF">
        <w:rPr>
          <w:rFonts w:ascii="Times New Roman" w:hAnsi="Times New Roman" w:cs="Times New Roman"/>
        </w:rPr>
        <w:t>tion</w:t>
      </w:r>
      <w:r w:rsidRPr="00D535AF" w:rsidR="001E68E9">
        <w:rPr>
          <w:rFonts w:ascii="Times New Roman" w:hAnsi="Times New Roman" w:cs="Times New Roman"/>
        </w:rPr>
        <w:t xml:space="preserve"> </w:t>
      </w:r>
      <w:r w:rsidRPr="00D535AF">
        <w:rPr>
          <w:rFonts w:ascii="Times New Roman" w:hAnsi="Times New Roman" w:cs="Times New Roman"/>
        </w:rPr>
        <w:t>22.169</w:t>
      </w:r>
      <w:r w:rsidRPr="00D535AF" w:rsidR="0074401E">
        <w:rPr>
          <w:rFonts w:ascii="Times New Roman" w:hAnsi="Times New Roman" w:cs="Times New Roman"/>
        </w:rPr>
        <w:t>)</w:t>
      </w:r>
      <w:r w:rsidR="00376921">
        <w:rPr>
          <w:rFonts w:ascii="Times New Roman" w:hAnsi="Times New Roman" w:cs="Times New Roman"/>
        </w:rPr>
        <w:t xml:space="preserve"> </w:t>
      </w:r>
      <w:r w:rsidR="00376921">
        <w:t>–</w:t>
      </w:r>
      <w:r w:rsidRPr="00D535AF" w:rsidR="004D48D3">
        <w:rPr>
          <w:rFonts w:ascii="Times New Roman" w:hAnsi="Times New Roman" w:cs="Times New Roman"/>
        </w:rPr>
        <w:t>were</w:t>
      </w:r>
      <w:r w:rsidRPr="00D535AF" w:rsidR="0074401E">
        <w:rPr>
          <w:rFonts w:ascii="Times New Roman" w:hAnsi="Times New Roman" w:cs="Times New Roman"/>
        </w:rPr>
        <w:t xml:space="preserve"> </w:t>
      </w:r>
      <w:r w:rsidRPr="00D535AF" w:rsidR="004D48D3">
        <w:rPr>
          <w:rFonts w:ascii="Times New Roman" w:hAnsi="Times New Roman" w:cs="Times New Roman"/>
        </w:rPr>
        <w:t>deleted</w:t>
      </w:r>
      <w:r w:rsidRPr="00D535AF" w:rsidR="00AE41E0">
        <w:rPr>
          <w:rFonts w:ascii="Times New Roman" w:hAnsi="Times New Roman" w:cs="Times New Roman"/>
        </w:rPr>
        <w:t xml:space="preserve">.  </w:t>
      </w:r>
    </w:p>
    <w:p w:rsidR="00F15531" w:rsidRPr="00D535AF" w:rsidP="00110E16" w14:paraId="63B498C0" w14:textId="68ADD2EE">
      <w:pPr>
        <w:pStyle w:val="ParaNum"/>
        <w:numPr>
          <w:ilvl w:val="0"/>
          <w:numId w:val="47"/>
        </w:numPr>
        <w:jc w:val="both"/>
        <w:rPr>
          <w:rFonts w:ascii="Times New Roman" w:hAnsi="Times New Roman" w:cs="Times New Roman"/>
        </w:rPr>
      </w:pPr>
      <w:r w:rsidRPr="00D535AF">
        <w:rPr>
          <w:rFonts w:ascii="Times New Roman" w:hAnsi="Times New Roman" w:cs="Times New Roman"/>
        </w:rPr>
        <w:t xml:space="preserve">Section 22.169 </w:t>
      </w:r>
      <w:r w:rsidRPr="00D535AF" w:rsidR="0074401E">
        <w:rPr>
          <w:rFonts w:ascii="Times New Roman" w:hAnsi="Times New Roman" w:cs="Times New Roman"/>
        </w:rPr>
        <w:t xml:space="preserve">was </w:t>
      </w:r>
      <w:r w:rsidRPr="00D535AF">
        <w:rPr>
          <w:rFonts w:ascii="Times New Roman" w:hAnsi="Times New Roman" w:cs="Times New Roman"/>
        </w:rPr>
        <w:t>slightly</w:t>
      </w:r>
      <w:r w:rsidRPr="00D535AF" w:rsidR="0053175E">
        <w:rPr>
          <w:rFonts w:ascii="Times New Roman" w:hAnsi="Times New Roman" w:cs="Times New Roman"/>
        </w:rPr>
        <w:t xml:space="preserve"> </w:t>
      </w:r>
      <w:r w:rsidRPr="00D535AF" w:rsidR="00031F72">
        <w:rPr>
          <w:rFonts w:ascii="Times New Roman" w:hAnsi="Times New Roman" w:cs="Times New Roman"/>
        </w:rPr>
        <w:t xml:space="preserve">revised </w:t>
      </w:r>
      <w:r w:rsidRPr="00D535AF" w:rsidR="00FF01EA">
        <w:rPr>
          <w:rFonts w:ascii="Times New Roman" w:hAnsi="Times New Roman" w:cs="Times New Roman"/>
        </w:rPr>
        <w:t xml:space="preserve">by </w:t>
      </w:r>
      <w:r w:rsidRPr="00D535AF" w:rsidR="0053175E">
        <w:rPr>
          <w:rFonts w:ascii="Times New Roman" w:hAnsi="Times New Roman" w:cs="Times New Roman"/>
        </w:rPr>
        <w:t xml:space="preserve">adding </w:t>
      </w:r>
      <w:r w:rsidRPr="00D535AF">
        <w:rPr>
          <w:rFonts w:ascii="Times New Roman" w:hAnsi="Times New Roman" w:cs="Times New Roman"/>
        </w:rPr>
        <w:t xml:space="preserve">a </w:t>
      </w:r>
      <w:r w:rsidRPr="00D535AF" w:rsidR="00063F04">
        <w:rPr>
          <w:rFonts w:ascii="Times New Roman" w:hAnsi="Times New Roman" w:cs="Times New Roman"/>
        </w:rPr>
        <w:t>reference</w:t>
      </w:r>
      <w:r w:rsidRPr="00D535AF" w:rsidR="0053175E">
        <w:rPr>
          <w:rFonts w:ascii="Times New Roman" w:hAnsi="Times New Roman" w:cs="Times New Roman"/>
        </w:rPr>
        <w:t xml:space="preserve"> to “operation of systems</w:t>
      </w:r>
      <w:r w:rsidRPr="00D535AF" w:rsidR="007C247B">
        <w:rPr>
          <w:rFonts w:ascii="Times New Roman" w:hAnsi="Times New Roman" w:cs="Times New Roman"/>
        </w:rPr>
        <w:t>.”</w:t>
      </w:r>
    </w:p>
    <w:p w:rsidR="00C607B4" w:rsidRPr="00D535AF" w:rsidP="007D578D" w14:paraId="0A91DC97" w14:textId="40161A9F">
      <w:pPr>
        <w:ind w:firstLine="720"/>
        <w:jc w:val="both"/>
        <w:rPr>
          <w:rFonts w:ascii="Times New Roman" w:hAnsi="Times New Roman" w:cs="Times New Roman"/>
        </w:rPr>
      </w:pPr>
      <w:bookmarkStart w:id="275" w:name="_Toc464070653"/>
      <w:bookmarkStart w:id="276" w:name="_Toc464126368"/>
      <w:bookmarkStart w:id="277" w:name="_Toc464128320"/>
      <w:bookmarkStart w:id="278" w:name="_Toc464143339"/>
      <w:bookmarkStart w:id="279" w:name="_Toc465280162"/>
      <w:bookmarkStart w:id="280" w:name="_Toc465357597"/>
      <w:bookmarkStart w:id="281" w:name="_Toc466396791"/>
      <w:bookmarkStart w:id="282" w:name="_Toc467155749"/>
      <w:bookmarkStart w:id="283" w:name="_Toc467171138"/>
      <w:bookmarkStart w:id="284" w:name="_Toc467183030"/>
      <w:bookmarkStart w:id="285" w:name="_Toc467233372"/>
      <w:bookmarkStart w:id="286" w:name="_Toc468201198"/>
      <w:bookmarkStart w:id="287" w:name="_Toc468702522"/>
      <w:bookmarkStart w:id="288" w:name="_Toc473563706"/>
      <w:bookmarkStart w:id="289" w:name="_Toc474348280"/>
      <w:bookmarkStart w:id="290" w:name="_Toc474351611"/>
      <w:bookmarkStart w:id="291" w:name="_Toc474352541"/>
      <w:bookmarkStart w:id="292" w:name="_Toc474353403"/>
      <w:bookmarkStart w:id="293" w:name="_Toc474532721"/>
      <w:bookmarkStart w:id="294" w:name="_Toc474534387"/>
      <w:bookmarkStart w:id="295" w:name="_Toc474752014"/>
      <w:bookmarkStart w:id="296" w:name="_Toc474947253"/>
      <w:bookmarkStart w:id="297" w:name="_Toc475028053"/>
      <w:bookmarkStart w:id="298" w:name="_Toc475537216"/>
      <w:bookmarkStart w:id="299" w:name="_Toc475899416"/>
      <w:bookmarkStart w:id="300" w:name="_Toc477805750"/>
      <w:bookmarkStart w:id="301" w:name="_Toc477954184"/>
      <w:bookmarkStart w:id="302" w:name="_Toc492564190"/>
      <w:bookmarkStart w:id="303" w:name="_Toc474348286"/>
      <w:bookmarkStart w:id="304" w:name="_Toc474351617"/>
      <w:bookmarkStart w:id="305" w:name="_Toc474352547"/>
      <w:bookmarkStart w:id="306" w:name="_Toc474353409"/>
      <w:bookmarkStart w:id="307" w:name="_Toc474532727"/>
      <w:bookmarkStart w:id="308" w:name="_Toc474534393"/>
      <w:bookmarkStart w:id="309" w:name="_Toc474752020"/>
      <w:bookmarkStart w:id="310" w:name="_Toc474947259"/>
      <w:bookmarkStart w:id="311" w:name="_Toc475028059"/>
      <w:bookmarkStart w:id="312" w:name="_Toc475537222"/>
      <w:bookmarkStart w:id="313" w:name="_Toc475899422"/>
      <w:bookmarkStart w:id="314" w:name="_Toc477805756"/>
      <w:bookmarkStart w:id="315" w:name="_Toc477954190"/>
      <w:bookmarkStart w:id="316" w:name="_Toc492564196"/>
      <w:r w:rsidRPr="00D535AF">
        <w:rPr>
          <w:rFonts w:ascii="Times New Roman" w:hAnsi="Times New Roman" w:cs="Times New Roman"/>
          <w:i/>
          <w:u w:val="single"/>
        </w:rPr>
        <w:t>Domestic Coordination Requirements</w:t>
      </w:r>
      <w:r w:rsidRPr="00D535AF">
        <w:rPr>
          <w:rFonts w:ascii="Times New Roman" w:hAnsi="Times New Roman" w:cs="Times New Roman"/>
        </w:rPr>
        <w:t>.  (47 CFR § 22.907)</w:t>
      </w:r>
    </w:p>
    <w:p w:rsidR="00C607B4" w:rsidRPr="00D535AF" w:rsidP="00C607B4" w14:paraId="5738D8F4" w14:textId="2E4849FE">
      <w:pPr>
        <w:pStyle w:val="ParaNum"/>
        <w:numPr>
          <w:ilvl w:val="0"/>
          <w:numId w:val="46"/>
        </w:numPr>
        <w:jc w:val="both"/>
        <w:rPr>
          <w:rFonts w:ascii="Times New Roman" w:hAnsi="Times New Roman" w:cs="Times New Roman"/>
        </w:rPr>
      </w:pPr>
      <w:r w:rsidRPr="00D535AF">
        <w:rPr>
          <w:rFonts w:ascii="Times New Roman" w:hAnsi="Times New Roman" w:cs="Times New Roman"/>
        </w:rPr>
        <w:t xml:space="preserve">The introductory paragraph of Section 22.907 was revised to exempt </w:t>
      </w:r>
      <w:r w:rsidRPr="00D535AF" w:rsidR="00AB5077">
        <w:rPr>
          <w:rFonts w:ascii="Times New Roman" w:hAnsi="Times New Roman" w:cs="Times New Roman"/>
        </w:rPr>
        <w:t xml:space="preserve">from domestic coordination requirements </w:t>
      </w:r>
      <w:r w:rsidRPr="00D535AF">
        <w:rPr>
          <w:rFonts w:ascii="Times New Roman" w:hAnsi="Times New Roman" w:cs="Times New Roman"/>
        </w:rPr>
        <w:t xml:space="preserve">those Cellular licensees that deploy technologies with a frequency re-use factor of one.  </w:t>
      </w:r>
    </w:p>
    <w:p w:rsidR="00684F98" w:rsidRPr="0090334E" w:rsidP="00E0653A" w14:paraId="6690712B" w14:textId="3236940B">
      <w:pPr>
        <w:pStyle w:val="ParaNum"/>
        <w:numPr>
          <w:ilvl w:val="0"/>
          <w:numId w:val="46"/>
        </w:numPr>
        <w:spacing w:after="0" w:line="240" w:lineRule="auto"/>
        <w:jc w:val="both"/>
        <w:rPr>
          <w:rFonts w:ascii="Times New Roman" w:hAnsi="Times New Roman" w:cs="Times New Roman"/>
          <w:i/>
          <w:u w:val="single"/>
        </w:rPr>
      </w:pPr>
      <w:r w:rsidRPr="0090334E">
        <w:rPr>
          <w:rFonts w:ascii="Times New Roman" w:hAnsi="Times New Roman" w:cs="Times New Roman"/>
        </w:rPr>
        <w:t>The reference to “tentative selectees”</w:t>
      </w:r>
      <w:r w:rsidRPr="00376921" w:rsidR="00376921">
        <w:t xml:space="preserve"> </w:t>
      </w:r>
      <w:r w:rsidR="00376921">
        <w:t>–</w:t>
      </w:r>
      <w:r w:rsidRPr="0090334E" w:rsidR="00376921">
        <w:rPr>
          <w:rFonts w:ascii="Times New Roman" w:hAnsi="Times New Roman" w:cs="Times New Roman"/>
        </w:rPr>
        <w:t xml:space="preserve"> </w:t>
      </w:r>
      <w:r w:rsidRPr="0090334E">
        <w:rPr>
          <w:rFonts w:ascii="Times New Roman" w:hAnsi="Times New Roman" w:cs="Times New Roman"/>
        </w:rPr>
        <w:t xml:space="preserve">a vestige of </w:t>
      </w:r>
      <w:r w:rsidRPr="0090334E" w:rsidR="00807C03">
        <w:rPr>
          <w:rFonts w:ascii="Times New Roman" w:hAnsi="Times New Roman" w:cs="Times New Roman"/>
        </w:rPr>
        <w:t xml:space="preserve">a </w:t>
      </w:r>
      <w:r w:rsidRPr="0090334E" w:rsidR="00347120">
        <w:rPr>
          <w:rFonts w:ascii="Times New Roman" w:hAnsi="Times New Roman" w:cs="Times New Roman"/>
        </w:rPr>
        <w:t xml:space="preserve">lottery system </w:t>
      </w:r>
      <w:r w:rsidRPr="0090334E" w:rsidR="00807C03">
        <w:rPr>
          <w:rFonts w:ascii="Times New Roman" w:hAnsi="Times New Roman" w:cs="Times New Roman"/>
        </w:rPr>
        <w:t xml:space="preserve">that is no longer used </w:t>
      </w:r>
      <w:r w:rsidR="00376921">
        <w:rPr>
          <w:rFonts w:ascii="Times New Roman" w:hAnsi="Times New Roman" w:cs="Times New Roman"/>
        </w:rPr>
        <w:t xml:space="preserve">for Cellular licensing </w:t>
      </w:r>
      <w:r w:rsidR="00376921">
        <w:t xml:space="preserve">– </w:t>
      </w:r>
      <w:r w:rsidRPr="0090334E">
        <w:rPr>
          <w:rFonts w:ascii="Times New Roman" w:hAnsi="Times New Roman" w:cs="Times New Roman"/>
        </w:rPr>
        <w:t>was deleted.</w:t>
      </w:r>
    </w:p>
    <w:p w:rsidR="0090334E" w:rsidRPr="0090334E" w:rsidP="0090334E" w14:paraId="4E1F1C7E" w14:textId="77777777">
      <w:pPr>
        <w:pStyle w:val="ParaNum"/>
        <w:numPr>
          <w:ilvl w:val="0"/>
          <w:numId w:val="0"/>
        </w:numPr>
        <w:spacing w:after="0" w:line="240" w:lineRule="auto"/>
        <w:ind w:left="1440"/>
        <w:jc w:val="both"/>
        <w:rPr>
          <w:rFonts w:ascii="Times New Roman" w:hAnsi="Times New Roman" w:cs="Times New Roman"/>
          <w:i/>
          <w:u w:val="single"/>
        </w:rPr>
      </w:pPr>
    </w:p>
    <w:p w:rsidR="001B2F3C" w:rsidRPr="00D535AF" w:rsidP="00180ED5" w14:paraId="3E23F249" w14:textId="5A3962CE">
      <w:pPr>
        <w:ind w:firstLine="720"/>
        <w:jc w:val="both"/>
        <w:rPr>
          <w:rFonts w:ascii="Times New Roman" w:hAnsi="Times New Roman" w:cs="Times New Roman"/>
        </w:rPr>
      </w:pPr>
      <w:r w:rsidRPr="00D535AF">
        <w:rPr>
          <w:rFonts w:ascii="Times New Roman" w:hAnsi="Times New Roman" w:cs="Times New Roman"/>
          <w:i/>
          <w:u w:val="single"/>
        </w:rPr>
        <w:t>Out of Band Emission (OOBE) Limit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D535AF" w:rsidR="00C607B4">
        <w:rPr>
          <w:rFonts w:ascii="Times New Roman" w:hAnsi="Times New Roman" w:cs="Times New Roman"/>
        </w:rPr>
        <w:t xml:space="preserve">. </w:t>
      </w:r>
      <w:r w:rsidRPr="00D535AF">
        <w:rPr>
          <w:rFonts w:ascii="Times New Roman" w:hAnsi="Times New Roman" w:cs="Times New Roman"/>
        </w:rPr>
        <w:t xml:space="preserve"> (47 CFR § 22.917)</w:t>
      </w:r>
    </w:p>
    <w:p w:rsidR="004469E2" w:rsidRPr="00D535AF" w:rsidP="0074401E" w14:paraId="46ECC0A4" w14:textId="61EF2D34">
      <w:pPr>
        <w:pStyle w:val="ParaNum"/>
        <w:numPr>
          <w:ilvl w:val="0"/>
          <w:numId w:val="43"/>
        </w:numPr>
        <w:jc w:val="both"/>
        <w:rPr>
          <w:rFonts w:ascii="Times New Roman" w:hAnsi="Times New Roman" w:cs="Times New Roman"/>
        </w:rPr>
      </w:pPr>
      <w:r w:rsidRPr="00D535AF">
        <w:rPr>
          <w:rFonts w:ascii="Times New Roman" w:hAnsi="Times New Roman" w:cs="Times New Roman"/>
        </w:rPr>
        <w:t xml:space="preserve">The </w:t>
      </w:r>
      <w:r w:rsidRPr="00D535AF" w:rsidR="00E67BB4">
        <w:rPr>
          <w:rFonts w:ascii="Times New Roman" w:hAnsi="Times New Roman" w:cs="Times New Roman"/>
        </w:rPr>
        <w:t xml:space="preserve">Cellular </w:t>
      </w:r>
      <w:r w:rsidRPr="00D535AF">
        <w:rPr>
          <w:rFonts w:ascii="Times New Roman" w:hAnsi="Times New Roman" w:cs="Times New Roman"/>
        </w:rPr>
        <w:t>out of band emission (OOBE) limit was retained</w:t>
      </w:r>
      <w:r w:rsidRPr="00D535AF">
        <w:rPr>
          <w:rFonts w:ascii="Times New Roman" w:hAnsi="Times New Roman" w:cs="Times New Roman"/>
        </w:rPr>
        <w:t xml:space="preserve"> without change in Section 22.917(a)</w:t>
      </w:r>
      <w:r w:rsidRPr="00D535AF" w:rsidR="0074401E">
        <w:rPr>
          <w:rFonts w:ascii="Times New Roman" w:hAnsi="Times New Roman" w:cs="Times New Roman"/>
        </w:rPr>
        <w:t>.</w:t>
      </w:r>
      <w:r w:rsidRPr="00D535AF">
        <w:rPr>
          <w:rFonts w:ascii="Times New Roman" w:hAnsi="Times New Roman" w:cs="Times New Roman"/>
        </w:rPr>
        <w:t xml:space="preserve"> </w:t>
      </w:r>
    </w:p>
    <w:p w:rsidR="004469E2" w:rsidRPr="00D535AF" w:rsidP="004469E2" w14:paraId="03A72B19" w14:textId="6F70465F">
      <w:pPr>
        <w:pStyle w:val="ParaNum"/>
        <w:numPr>
          <w:ilvl w:val="0"/>
          <w:numId w:val="43"/>
        </w:numPr>
        <w:jc w:val="both"/>
        <w:rPr>
          <w:rFonts w:ascii="Times New Roman" w:hAnsi="Times New Roman" w:cs="Times New Roman"/>
        </w:rPr>
      </w:pPr>
      <w:r w:rsidRPr="00D535AF">
        <w:rPr>
          <w:rFonts w:ascii="Times New Roman" w:hAnsi="Times New Roman" w:cs="Times New Roman"/>
        </w:rPr>
        <w:t xml:space="preserve">Section 22.917(b) was revised to remain consistent with international practices, specifying in renumbered Section 22.917(b)(1)) that it applies for measurements in the spectrum below 1 GHz, and adding Section 22.917(b)(2) to specify that measurements of out of band emissions from Cellular licensees into the spectrum above 1 GHz should use a </w:t>
      </w:r>
      <w:r w:rsidRPr="00D535AF" w:rsidR="00870A29">
        <w:rPr>
          <w:rFonts w:ascii="Times New Roman" w:hAnsi="Times New Roman" w:cs="Times New Roman"/>
        </w:rPr>
        <w:t xml:space="preserve">reference </w:t>
      </w:r>
      <w:r w:rsidRPr="00D535AF">
        <w:rPr>
          <w:rFonts w:ascii="Times New Roman" w:hAnsi="Times New Roman" w:cs="Times New Roman"/>
        </w:rPr>
        <w:t xml:space="preserve">bandwidth of 1 MHz.  </w:t>
      </w:r>
    </w:p>
    <w:p w:rsidR="004469E2" w:rsidRPr="00D535AF" w:rsidP="0090334E" w14:paraId="3F2D178D" w14:textId="0CA6FFFF">
      <w:pPr>
        <w:pStyle w:val="ParaNum"/>
        <w:numPr>
          <w:ilvl w:val="1"/>
          <w:numId w:val="43"/>
        </w:numPr>
        <w:spacing w:after="0"/>
        <w:jc w:val="both"/>
        <w:rPr>
          <w:rFonts w:ascii="Times New Roman" w:hAnsi="Times New Roman" w:cs="Times New Roman"/>
        </w:rPr>
      </w:pPr>
      <w:r w:rsidRPr="00D535AF">
        <w:rPr>
          <w:rFonts w:ascii="Times New Roman" w:hAnsi="Times New Roman" w:cs="Times New Roman"/>
        </w:rPr>
        <w:t xml:space="preserve">Licensees should regularly consult the FCC Laboratory’s KDB </w:t>
      </w:r>
      <w:r w:rsidRPr="00D535AF" w:rsidR="00BF586C">
        <w:rPr>
          <w:rFonts w:ascii="Times New Roman" w:hAnsi="Times New Roman" w:cs="Times New Roman"/>
        </w:rPr>
        <w:t>(</w:t>
      </w:r>
      <w:r w:rsidRPr="00D535AF" w:rsidR="00347120">
        <w:rPr>
          <w:rFonts w:ascii="Times New Roman" w:hAnsi="Times New Roman" w:cs="Times New Roman"/>
        </w:rPr>
        <w:t xml:space="preserve">available at </w:t>
      </w:r>
      <w:r>
        <w:fldChar w:fldCharType="begin"/>
      </w:r>
      <w:r>
        <w:instrText xml:space="preserve"> HYPERLINK "http://www.fcc.gov/labhelp" </w:instrText>
      </w:r>
      <w:r>
        <w:fldChar w:fldCharType="separate"/>
      </w:r>
      <w:r w:rsidRPr="00D535AF" w:rsidR="00BF586C">
        <w:rPr>
          <w:rStyle w:val="Hyperlink"/>
          <w:rFonts w:ascii="Times New Roman" w:hAnsi="Times New Roman" w:cs="Times New Roman"/>
        </w:rPr>
        <w:t>www.fcc.gov/labhelp</w:t>
      </w:r>
      <w:r>
        <w:fldChar w:fldCharType="end"/>
      </w:r>
      <w:r w:rsidRPr="00D535AF" w:rsidR="00694292">
        <w:rPr>
          <w:rStyle w:val="Hyperlink"/>
          <w:rFonts w:ascii="Times New Roman" w:hAnsi="Times New Roman" w:cs="Times New Roman"/>
          <w:u w:val="none"/>
        </w:rPr>
        <w:t xml:space="preserve">) </w:t>
      </w:r>
      <w:r w:rsidRPr="00D535AF" w:rsidR="00694292">
        <w:rPr>
          <w:rFonts w:ascii="Times New Roman" w:hAnsi="Times New Roman" w:cs="Times New Roman"/>
        </w:rPr>
        <w:t>for the latest recommended Commission-approved measurement</w:t>
      </w:r>
      <w:r w:rsidRPr="00D535AF">
        <w:rPr>
          <w:rFonts w:ascii="Times New Roman" w:hAnsi="Times New Roman" w:cs="Times New Roman"/>
        </w:rPr>
        <w:t xml:space="preserve"> procedures and techniques, and Part 2 of the Commission rules</w:t>
      </w:r>
      <w:r w:rsidRPr="00D535AF" w:rsidR="000F61C5">
        <w:rPr>
          <w:rFonts w:ascii="Times New Roman" w:hAnsi="Times New Roman" w:cs="Times New Roman"/>
        </w:rPr>
        <w:t xml:space="preserve">, which are </w:t>
      </w:r>
      <w:r w:rsidRPr="00D535AF">
        <w:rPr>
          <w:rFonts w:ascii="Times New Roman" w:hAnsi="Times New Roman" w:cs="Times New Roman"/>
        </w:rPr>
        <w:t>updated to keep pace with changing technologies.</w:t>
      </w:r>
    </w:p>
    <w:p w:rsidR="008E0D97" w:rsidRPr="00D535AF" w:rsidP="0090334E" w14:paraId="32D28F26" w14:textId="446B917F">
      <w:pPr>
        <w:spacing w:after="0"/>
        <w:ind w:firstLine="720"/>
        <w:jc w:val="both"/>
        <w:rPr>
          <w:rFonts w:ascii="Times New Roman" w:hAnsi="Times New Roman" w:cs="Times New Roman"/>
        </w:rPr>
      </w:pP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584892" w:rsidRPr="00D535AF" w:rsidP="009003C9" w14:paraId="52CA6CCF" w14:textId="16CF68CE">
      <w:pPr>
        <w:pStyle w:val="Heading1"/>
        <w:rPr>
          <w:rFonts w:ascii="Times New Roman" w:hAnsi="Times New Roman" w:cs="Times New Roman"/>
        </w:rPr>
      </w:pPr>
      <w:bookmarkStart w:id="317" w:name="_Toc103419990"/>
      <w:bookmarkStart w:id="318" w:name="_Toc103420614"/>
      <w:bookmarkStart w:id="319" w:name="_Toc103420756"/>
      <w:bookmarkStart w:id="320" w:name="_Toc103420800"/>
      <w:bookmarkStart w:id="321" w:name="_Toc103420860"/>
      <w:bookmarkStart w:id="322" w:name="_Toc103420907"/>
      <w:bookmarkStart w:id="323" w:name="_Toc103420995"/>
      <w:bookmarkStart w:id="324" w:name="_Toc103421334"/>
      <w:bookmarkStart w:id="325" w:name="_Toc103421422"/>
      <w:bookmarkStart w:id="326" w:name="_Toc103421546"/>
      <w:bookmarkStart w:id="327" w:name="_Toc103488303"/>
      <w:bookmarkStart w:id="328" w:name="_Toc125945586"/>
      <w:bookmarkStart w:id="329" w:name="_Toc176072636"/>
      <w:bookmarkStart w:id="330" w:name="_Toc176072762"/>
      <w:bookmarkStart w:id="331" w:name="_Toc176072788"/>
      <w:bookmarkStart w:id="332" w:name="_Toc176072812"/>
      <w:bookmarkStart w:id="333" w:name="_Toc179100598"/>
      <w:bookmarkStart w:id="334" w:name="_Toc179100963"/>
      <w:bookmarkStart w:id="335" w:name="_Toc216065693"/>
      <w:bookmarkStart w:id="336" w:name="_Toc326229723"/>
      <w:bookmarkStart w:id="337" w:name="_Toc326658333"/>
      <w:bookmarkStart w:id="338" w:name="_Toc326746789"/>
      <w:bookmarkStart w:id="339" w:name="_Toc326826055"/>
      <w:bookmarkStart w:id="340" w:name="_Toc419723026"/>
      <w:bookmarkStart w:id="341" w:name="_Toc419800683"/>
      <w:bookmarkStart w:id="342" w:name="_Toc419800748"/>
      <w:bookmarkStart w:id="343" w:name="_Toc492564200"/>
      <w:bookmarkStart w:id="344" w:name="_Toc504060952"/>
      <w:r w:rsidRPr="00D535AF">
        <w:rPr>
          <w:rFonts w:ascii="Times New Roman" w:hAnsi="Times New Roman" w:cs="Times New Roman"/>
        </w:rPr>
        <w:t>Recordkeeping and</w:t>
      </w:r>
      <w:r w:rsidRPr="00D535AF" w:rsidR="00E30F11">
        <w:rPr>
          <w:rFonts w:ascii="Times New Roman" w:hAnsi="Times New Roman" w:cs="Times New Roman"/>
        </w:rPr>
        <w:t xml:space="preserve"> </w:t>
      </w:r>
      <w:r w:rsidRPr="00D535AF" w:rsidR="0025761C">
        <w:rPr>
          <w:rFonts w:ascii="Times New Roman" w:hAnsi="Times New Roman" w:cs="Times New Roman"/>
        </w:rPr>
        <w:t xml:space="preserve">REPORTING </w:t>
      </w:r>
      <w:r w:rsidRPr="00D535AF">
        <w:rPr>
          <w:rFonts w:ascii="Times New Roman" w:hAnsi="Times New Roman" w:cs="Times New Roman"/>
        </w:rPr>
        <w:t>Requirements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3A69E5" w:rsidRPr="00D535AF" w:rsidP="00745879" w14:paraId="0C95AE9E" w14:textId="7DD42CF7">
      <w:pPr>
        <w:pStyle w:val="ParaNum"/>
        <w:numPr>
          <w:ilvl w:val="0"/>
          <w:numId w:val="0"/>
        </w:numPr>
        <w:tabs>
          <w:tab w:val="left" w:pos="720"/>
        </w:tabs>
        <w:jc w:val="both"/>
        <w:rPr>
          <w:rFonts w:ascii="Times New Roman" w:hAnsi="Times New Roman" w:cs="Times New Roman"/>
          <w:spacing w:val="-2"/>
        </w:rPr>
      </w:pPr>
      <w:r w:rsidRPr="00D535AF">
        <w:rPr>
          <w:rFonts w:ascii="Times New Roman" w:hAnsi="Times New Roman" w:cs="Times New Roman"/>
        </w:rPr>
        <w:tab/>
      </w:r>
      <w:r w:rsidRPr="00D535AF">
        <w:rPr>
          <w:rFonts w:ascii="Times New Roman" w:hAnsi="Times New Roman" w:cs="Times New Roman"/>
        </w:rPr>
        <w:t>The</w:t>
      </w:r>
      <w:r w:rsidRPr="00D535AF" w:rsidR="001B2F3C">
        <w:rPr>
          <w:rFonts w:ascii="Times New Roman" w:hAnsi="Times New Roman" w:cs="Times New Roman"/>
        </w:rPr>
        <w:t xml:space="preserve"> Commission’s actions in </w:t>
      </w:r>
      <w:r w:rsidRPr="00D535AF">
        <w:rPr>
          <w:rFonts w:ascii="Times New Roman" w:hAnsi="Times New Roman" w:cs="Times New Roman"/>
        </w:rPr>
        <w:t xml:space="preserve">the </w:t>
      </w:r>
      <w:r w:rsidRPr="00D535AF">
        <w:rPr>
          <w:rFonts w:ascii="Times New Roman" w:hAnsi="Times New Roman" w:cs="Times New Roman"/>
          <w:i/>
        </w:rPr>
        <w:t>Second</w:t>
      </w:r>
      <w:r w:rsidRPr="00D535AF">
        <w:rPr>
          <w:rFonts w:ascii="Times New Roman" w:hAnsi="Times New Roman" w:cs="Times New Roman"/>
        </w:rPr>
        <w:t xml:space="preserve"> </w:t>
      </w:r>
      <w:r w:rsidRPr="00D535AF" w:rsidR="001B2F3C">
        <w:rPr>
          <w:rFonts w:ascii="Times New Roman" w:hAnsi="Times New Roman" w:cs="Times New Roman"/>
          <w:i/>
        </w:rPr>
        <w:t xml:space="preserve">R&amp;O </w:t>
      </w:r>
      <w:r w:rsidRPr="00D535AF" w:rsidR="001B2F3C">
        <w:rPr>
          <w:rFonts w:ascii="Times New Roman" w:hAnsi="Times New Roman" w:cs="Times New Roman"/>
        </w:rPr>
        <w:t>trigger</w:t>
      </w:r>
      <w:r w:rsidRPr="00D535AF">
        <w:rPr>
          <w:rFonts w:ascii="Times New Roman" w:hAnsi="Times New Roman" w:cs="Times New Roman"/>
        </w:rPr>
        <w:t xml:space="preserve"> new </w:t>
      </w:r>
      <w:r w:rsidRPr="00D535AF" w:rsidR="00B76955">
        <w:rPr>
          <w:rFonts w:ascii="Times New Roman" w:hAnsi="Times New Roman" w:cs="Times New Roman"/>
        </w:rPr>
        <w:t xml:space="preserve">and </w:t>
      </w:r>
      <w:r w:rsidRPr="00D535AF" w:rsidR="000F61C5">
        <w:rPr>
          <w:rFonts w:ascii="Times New Roman" w:hAnsi="Times New Roman" w:cs="Times New Roman"/>
        </w:rPr>
        <w:t xml:space="preserve">modified </w:t>
      </w:r>
      <w:r w:rsidRPr="00D535AF">
        <w:rPr>
          <w:rFonts w:ascii="Times New Roman" w:hAnsi="Times New Roman" w:cs="Times New Roman"/>
        </w:rPr>
        <w:t xml:space="preserve">information </w:t>
      </w:r>
      <w:r w:rsidRPr="00D535AF" w:rsidR="000F61C5">
        <w:rPr>
          <w:rFonts w:ascii="Times New Roman" w:hAnsi="Times New Roman" w:cs="Times New Roman"/>
        </w:rPr>
        <w:t xml:space="preserve">collections that affect </w:t>
      </w:r>
      <w:r w:rsidRPr="00D535AF" w:rsidR="00490848">
        <w:rPr>
          <w:rFonts w:ascii="Times New Roman" w:hAnsi="Times New Roman" w:cs="Times New Roman"/>
          <w:spacing w:val="-2"/>
        </w:rPr>
        <w:t>recordkeeping and</w:t>
      </w:r>
      <w:r w:rsidRPr="00D535AF" w:rsidR="005736D4">
        <w:rPr>
          <w:rFonts w:ascii="Times New Roman" w:hAnsi="Times New Roman" w:cs="Times New Roman"/>
          <w:spacing w:val="-2"/>
        </w:rPr>
        <w:t>/or</w:t>
      </w:r>
      <w:r w:rsidRPr="00D535AF" w:rsidR="00490848">
        <w:rPr>
          <w:rFonts w:ascii="Times New Roman" w:hAnsi="Times New Roman" w:cs="Times New Roman"/>
          <w:spacing w:val="-2"/>
        </w:rPr>
        <w:t xml:space="preserve"> </w:t>
      </w:r>
      <w:r w:rsidRPr="00D535AF">
        <w:rPr>
          <w:rFonts w:ascii="Times New Roman" w:hAnsi="Times New Roman" w:cs="Times New Roman"/>
          <w:spacing w:val="-2"/>
        </w:rPr>
        <w:t>reporting requirements for small entities</w:t>
      </w:r>
      <w:r w:rsidRPr="00D535AF" w:rsidR="007973C6">
        <w:rPr>
          <w:rFonts w:ascii="Times New Roman" w:hAnsi="Times New Roman" w:cs="Times New Roman"/>
          <w:spacing w:val="-2"/>
        </w:rPr>
        <w:t xml:space="preserve"> and </w:t>
      </w:r>
      <w:r w:rsidRPr="00D535AF" w:rsidR="000F61C5">
        <w:rPr>
          <w:rFonts w:ascii="Times New Roman" w:hAnsi="Times New Roman" w:cs="Times New Roman"/>
          <w:spacing w:val="-2"/>
        </w:rPr>
        <w:t xml:space="preserve">all </w:t>
      </w:r>
      <w:r w:rsidRPr="00D535AF" w:rsidR="007973C6">
        <w:rPr>
          <w:rFonts w:ascii="Times New Roman" w:hAnsi="Times New Roman" w:cs="Times New Roman"/>
          <w:spacing w:val="-2"/>
        </w:rPr>
        <w:t>other Cellular licensees</w:t>
      </w:r>
      <w:r w:rsidRPr="00D535AF" w:rsidR="000F61C5">
        <w:rPr>
          <w:rFonts w:ascii="Times New Roman" w:hAnsi="Times New Roman" w:cs="Times New Roman"/>
          <w:spacing w:val="-2"/>
        </w:rPr>
        <w:t xml:space="preserve"> equally</w:t>
      </w:r>
      <w:r w:rsidRPr="00D535AF" w:rsidR="005736D4">
        <w:rPr>
          <w:rFonts w:ascii="Times New Roman" w:hAnsi="Times New Roman" w:cs="Times New Roman"/>
          <w:spacing w:val="-2"/>
        </w:rPr>
        <w:t>.</w:t>
      </w:r>
      <w:r w:rsidRPr="00D535AF" w:rsidR="000F61C5">
        <w:rPr>
          <w:rFonts w:ascii="Times New Roman" w:hAnsi="Times New Roman" w:cs="Times New Roman"/>
          <w:spacing w:val="-2"/>
        </w:rPr>
        <w:t xml:space="preserve">  The new and modified information collections </w:t>
      </w:r>
      <w:r w:rsidRPr="00D535AF" w:rsidR="007B21BC">
        <w:rPr>
          <w:rFonts w:ascii="Times New Roman" w:hAnsi="Times New Roman" w:cs="Times New Roman"/>
          <w:spacing w:val="-2"/>
        </w:rPr>
        <w:t xml:space="preserve">in </w:t>
      </w:r>
      <w:r w:rsidRPr="00D535AF" w:rsidR="00B7289F">
        <w:rPr>
          <w:rFonts w:ascii="Times New Roman" w:hAnsi="Times New Roman" w:cs="Times New Roman"/>
          <w:spacing w:val="-2"/>
        </w:rPr>
        <w:t>the affected rules</w:t>
      </w:r>
      <w:r w:rsidRPr="00D535AF" w:rsidR="007B21BC">
        <w:rPr>
          <w:rFonts w:ascii="Times New Roman" w:hAnsi="Times New Roman" w:cs="Times New Roman"/>
          <w:spacing w:val="-2"/>
        </w:rPr>
        <w:t xml:space="preserve">, which took effect December 1, 2017, </w:t>
      </w:r>
      <w:r w:rsidRPr="00D535AF" w:rsidR="000F61C5">
        <w:rPr>
          <w:rFonts w:ascii="Times New Roman" w:hAnsi="Times New Roman" w:cs="Times New Roman"/>
          <w:spacing w:val="-2"/>
        </w:rPr>
        <w:t>are as follows:</w:t>
      </w:r>
      <w:r>
        <w:rPr>
          <w:rStyle w:val="FootnoteReference"/>
          <w:rFonts w:cs="Times New Roman"/>
          <w:spacing w:val="-2"/>
          <w:sz w:val="22"/>
        </w:rPr>
        <w:footnoteReference w:id="5"/>
      </w:r>
    </w:p>
    <w:p w:rsidR="00B7289F" w:rsidRPr="00D535AF" w:rsidP="00B7289F" w14:paraId="05DC4EF0" w14:textId="57464102">
      <w:pPr>
        <w:pStyle w:val="ListParagraph"/>
        <w:numPr>
          <w:ilvl w:val="0"/>
          <w:numId w:val="60"/>
        </w:numPr>
        <w:jc w:val="both"/>
        <w:rPr>
          <w:rFonts w:ascii="Times New Roman" w:hAnsi="Times New Roman" w:cs="Times New Roman"/>
          <w:spacing w:val="-2"/>
        </w:rPr>
      </w:pPr>
      <w:r w:rsidRPr="00D535AF">
        <w:rPr>
          <w:rFonts w:ascii="Times New Roman" w:hAnsi="Times New Roman" w:cs="Times New Roman"/>
          <w:spacing w:val="-2"/>
        </w:rPr>
        <w:t xml:space="preserve">Under </w:t>
      </w:r>
      <w:r w:rsidRPr="00D535AF">
        <w:rPr>
          <w:rFonts w:ascii="Times New Roman" w:hAnsi="Times New Roman" w:cs="Times New Roman"/>
        </w:rPr>
        <w:t xml:space="preserve">Section 22.317, Cellular licensees were </w:t>
      </w:r>
      <w:r w:rsidRPr="00D535AF" w:rsidR="004D084B">
        <w:rPr>
          <w:rFonts w:ascii="Times New Roman" w:hAnsi="Times New Roman" w:cs="Times New Roman"/>
        </w:rPr>
        <w:t xml:space="preserve">previously </w:t>
      </w:r>
      <w:r w:rsidRPr="00D535AF">
        <w:rPr>
          <w:rFonts w:ascii="Times New Roman" w:hAnsi="Times New Roman" w:cs="Times New Roman"/>
        </w:rPr>
        <w:t>required</w:t>
      </w:r>
      <w:r w:rsidRPr="00D535AF">
        <w:rPr>
          <w:rFonts w:ascii="Times New Roman" w:hAnsi="Times New Roman" w:cs="Times New Roman"/>
        </w:rPr>
        <w:t xml:space="preserve"> </w:t>
      </w:r>
      <w:r w:rsidRPr="00D535AF">
        <w:rPr>
          <w:rFonts w:ascii="Times New Roman" w:hAnsi="Times New Roman" w:cs="Times New Roman"/>
        </w:rPr>
        <w:t xml:space="preserve">to </w:t>
      </w:r>
      <w:r w:rsidRPr="00D535AF">
        <w:rPr>
          <w:rFonts w:ascii="Times New Roman" w:hAnsi="Times New Roman" w:cs="Times New Roman"/>
        </w:rPr>
        <w:t xml:space="preserve">file FCC Form 601 to notify the Commission </w:t>
      </w:r>
      <w:r w:rsidRPr="00D535AF">
        <w:rPr>
          <w:rFonts w:ascii="Times New Roman" w:hAnsi="Times New Roman" w:cs="Times New Roman"/>
        </w:rPr>
        <w:t xml:space="preserve">if </w:t>
      </w:r>
      <w:r w:rsidRPr="00D535AF" w:rsidR="004D084B">
        <w:rPr>
          <w:rFonts w:ascii="Times New Roman" w:hAnsi="Times New Roman" w:cs="Times New Roman"/>
        </w:rPr>
        <w:t>operation at</w:t>
      </w:r>
      <w:r w:rsidRPr="00D535AF">
        <w:rPr>
          <w:rFonts w:ascii="Times New Roman" w:hAnsi="Times New Roman" w:cs="Times New Roman"/>
        </w:rPr>
        <w:t xml:space="preserve"> an individual cell site was </w:t>
      </w:r>
      <w:r w:rsidRPr="00D535AF">
        <w:rPr>
          <w:rFonts w:ascii="Times New Roman" w:hAnsi="Times New Roman" w:cs="Times New Roman"/>
        </w:rPr>
        <w:t>“</w:t>
      </w:r>
      <w:r w:rsidRPr="00D535AF">
        <w:rPr>
          <w:rFonts w:ascii="Times New Roman" w:hAnsi="Times New Roman" w:cs="Times New Roman"/>
        </w:rPr>
        <w:t>permanently discontinued</w:t>
      </w:r>
      <w:r w:rsidRPr="00D535AF">
        <w:rPr>
          <w:rFonts w:ascii="Times New Roman" w:hAnsi="Times New Roman" w:cs="Times New Roman"/>
        </w:rPr>
        <w:t>”</w:t>
      </w:r>
      <w:r w:rsidRPr="00D535AF">
        <w:rPr>
          <w:rFonts w:ascii="Times New Roman" w:hAnsi="Times New Roman" w:cs="Times New Roman"/>
        </w:rPr>
        <w:t xml:space="preserve"> (as defined in that rule).  Cellular licensee</w:t>
      </w:r>
      <w:r w:rsidRPr="00D535AF" w:rsidR="002F1335">
        <w:rPr>
          <w:rFonts w:ascii="Times New Roman" w:hAnsi="Times New Roman" w:cs="Times New Roman"/>
        </w:rPr>
        <w:t>s are no longer subject to Section 22.317</w:t>
      </w:r>
      <w:r w:rsidRPr="00D535AF" w:rsidR="000D57F6">
        <w:rPr>
          <w:rFonts w:ascii="Times New Roman" w:hAnsi="Times New Roman" w:cs="Times New Roman"/>
        </w:rPr>
        <w:t>.</w:t>
      </w:r>
      <w:r w:rsidRPr="00D535AF">
        <w:rPr>
          <w:rFonts w:ascii="Times New Roman" w:hAnsi="Times New Roman" w:cs="Times New Roman"/>
        </w:rPr>
        <w:t xml:space="preserve"> </w:t>
      </w:r>
      <w:r w:rsidRPr="00D535AF" w:rsidR="00D96362">
        <w:rPr>
          <w:rFonts w:ascii="Times New Roman" w:hAnsi="Times New Roman" w:cs="Times New Roman"/>
        </w:rPr>
        <w:t xml:space="preserve"> They are instead subject to new Section 22.947, described below.</w:t>
      </w:r>
    </w:p>
    <w:p w:rsidR="00B7289F" w:rsidRPr="00D535AF" w:rsidP="00B7289F" w14:paraId="2873D65A" w14:textId="5C8B6964">
      <w:pPr>
        <w:pStyle w:val="ListParagraph"/>
        <w:ind w:left="1440"/>
        <w:jc w:val="both"/>
        <w:rPr>
          <w:rFonts w:ascii="Times New Roman" w:hAnsi="Times New Roman" w:cs="Times New Roman"/>
          <w:spacing w:val="-2"/>
        </w:rPr>
      </w:pPr>
    </w:p>
    <w:p w:rsidR="008D5FA2" w:rsidRPr="00D535AF" w:rsidP="00110E16" w14:paraId="19FD17ED" w14:textId="359466A8">
      <w:pPr>
        <w:pStyle w:val="ListParagraph"/>
        <w:numPr>
          <w:ilvl w:val="0"/>
          <w:numId w:val="60"/>
        </w:numPr>
        <w:jc w:val="both"/>
        <w:rPr>
          <w:rFonts w:ascii="Times New Roman" w:hAnsi="Times New Roman" w:cs="Times New Roman"/>
          <w:spacing w:val="-2"/>
        </w:rPr>
      </w:pPr>
      <w:r w:rsidRPr="00D535AF">
        <w:rPr>
          <w:rFonts w:ascii="Times New Roman" w:hAnsi="Times New Roman" w:cs="Times New Roman"/>
        </w:rPr>
        <w:t xml:space="preserve">Under </w:t>
      </w:r>
      <w:r w:rsidRPr="00D535AF" w:rsidR="001022C1">
        <w:rPr>
          <w:rFonts w:ascii="Times New Roman" w:hAnsi="Times New Roman" w:cs="Times New Roman"/>
        </w:rPr>
        <w:t>Section 22.911</w:t>
      </w:r>
      <w:r w:rsidRPr="00D535AF" w:rsidR="00D13F2E">
        <w:rPr>
          <w:rFonts w:ascii="Times New Roman" w:hAnsi="Times New Roman" w:cs="Times New Roman"/>
        </w:rPr>
        <w:t xml:space="preserve">, which sets forth the methodology for calculating a Cellular licensee’s SAB and CGSA, a major modification application is required if the licensee </w:t>
      </w:r>
      <w:r w:rsidRPr="00D535AF">
        <w:rPr>
          <w:rFonts w:ascii="Times New Roman" w:hAnsi="Times New Roman" w:cs="Times New Roman"/>
        </w:rPr>
        <w:t xml:space="preserve">proposes to expand its SAB into Unserved Area </w:t>
      </w:r>
      <w:r w:rsidRPr="00D535AF" w:rsidR="00D13F2E">
        <w:rPr>
          <w:rFonts w:ascii="Times New Roman" w:hAnsi="Times New Roman" w:cs="Times New Roman"/>
        </w:rPr>
        <w:t xml:space="preserve">by 50 contiguous square miles or more.  </w:t>
      </w:r>
      <w:r w:rsidRPr="00D535AF">
        <w:rPr>
          <w:rFonts w:ascii="Times New Roman" w:hAnsi="Times New Roman" w:cs="Times New Roman"/>
        </w:rPr>
        <w:t xml:space="preserve">The </w:t>
      </w:r>
      <w:r w:rsidRPr="00D535AF" w:rsidR="00D13F2E">
        <w:rPr>
          <w:rFonts w:ascii="Times New Roman" w:hAnsi="Times New Roman" w:cs="Times New Roman"/>
        </w:rPr>
        <w:t xml:space="preserve">revised rule adopted in the </w:t>
      </w:r>
      <w:r w:rsidRPr="00D535AF" w:rsidR="00D13F2E">
        <w:rPr>
          <w:rFonts w:ascii="Times New Roman" w:hAnsi="Times New Roman" w:cs="Times New Roman"/>
          <w:i/>
        </w:rPr>
        <w:t>Second R&amp;O</w:t>
      </w:r>
      <w:r w:rsidRPr="00D535AF">
        <w:rPr>
          <w:rFonts w:ascii="Times New Roman" w:hAnsi="Times New Roman" w:cs="Times New Roman"/>
        </w:rPr>
        <w:t xml:space="preserve"> clarifies that </w:t>
      </w:r>
      <w:r w:rsidRPr="00D535AF" w:rsidR="00D13F2E">
        <w:rPr>
          <w:rFonts w:ascii="Times New Roman" w:hAnsi="Times New Roman" w:cs="Times New Roman"/>
        </w:rPr>
        <w:t xml:space="preserve">the </w:t>
      </w:r>
      <w:r w:rsidRPr="00D535AF" w:rsidR="00B10C85">
        <w:rPr>
          <w:rFonts w:ascii="Times New Roman" w:hAnsi="Times New Roman" w:cs="Times New Roman"/>
        </w:rPr>
        <w:t xml:space="preserve">methodology and the </w:t>
      </w:r>
      <w:r w:rsidRPr="00D535AF" w:rsidR="00D13F2E">
        <w:rPr>
          <w:rFonts w:ascii="Times New Roman" w:hAnsi="Times New Roman" w:cs="Times New Roman"/>
        </w:rPr>
        <w:t xml:space="preserve">exhibits described in Sections 22.911(a) and (b) </w:t>
      </w:r>
      <w:r w:rsidRPr="00D535AF">
        <w:rPr>
          <w:rFonts w:ascii="Times New Roman" w:hAnsi="Times New Roman" w:cs="Times New Roman"/>
        </w:rPr>
        <w:t xml:space="preserve">only pertain to non-PSD operations. </w:t>
      </w:r>
    </w:p>
    <w:p w:rsidR="008D5FA2" w:rsidRPr="00D535AF" w:rsidP="008D5FA2" w14:paraId="0F54B9A3" w14:textId="77777777">
      <w:pPr>
        <w:pStyle w:val="ListParagraph"/>
        <w:ind w:left="1440"/>
        <w:jc w:val="both"/>
        <w:rPr>
          <w:rFonts w:ascii="Times New Roman" w:hAnsi="Times New Roman" w:cs="Times New Roman"/>
          <w:spacing w:val="-2"/>
        </w:rPr>
      </w:pPr>
    </w:p>
    <w:p w:rsidR="001022C1" w:rsidRPr="00D535AF" w:rsidP="008D5FA2" w14:paraId="781B9D90" w14:textId="19331014">
      <w:pPr>
        <w:pStyle w:val="ListParagraph"/>
        <w:numPr>
          <w:ilvl w:val="1"/>
          <w:numId w:val="60"/>
        </w:numPr>
        <w:jc w:val="both"/>
        <w:rPr>
          <w:rFonts w:ascii="Times New Roman" w:hAnsi="Times New Roman" w:cs="Times New Roman"/>
          <w:spacing w:val="-2"/>
        </w:rPr>
      </w:pPr>
      <w:r w:rsidRPr="00D535AF">
        <w:rPr>
          <w:rFonts w:ascii="Times New Roman" w:hAnsi="Times New Roman" w:cs="Times New Roman"/>
        </w:rPr>
        <w:t xml:space="preserve">Under new Section 22.911(c), which applies solely to PSD operations, the licensee must use a predictive propagation model that is appropriate for the service provided, taking into account terrain and local conditions, to calculate the SABs of cell sites and determine CGSA expansion areas.   </w:t>
      </w:r>
      <w:r w:rsidRPr="00D535AF" w:rsidR="00B10C85">
        <w:rPr>
          <w:rFonts w:ascii="Times New Roman" w:hAnsi="Times New Roman" w:cs="Times New Roman"/>
        </w:rPr>
        <w:t xml:space="preserve">The provision includes details of the </w:t>
      </w:r>
      <w:r w:rsidRPr="00D535AF" w:rsidR="00745879">
        <w:rPr>
          <w:rFonts w:ascii="Times New Roman" w:hAnsi="Times New Roman" w:cs="Times New Roman"/>
        </w:rPr>
        <w:t xml:space="preserve">required </w:t>
      </w:r>
      <w:r w:rsidRPr="00D535AF" w:rsidR="00B10C85">
        <w:rPr>
          <w:rFonts w:ascii="Times New Roman" w:hAnsi="Times New Roman" w:cs="Times New Roman"/>
        </w:rPr>
        <w:t xml:space="preserve">calculation.  </w:t>
      </w:r>
      <w:r w:rsidRPr="00D535AF">
        <w:rPr>
          <w:rFonts w:ascii="Times New Roman" w:hAnsi="Times New Roman" w:cs="Times New Roman"/>
        </w:rPr>
        <w:t xml:space="preserve">Under this provision, a </w:t>
      </w:r>
      <w:r w:rsidRPr="00D535AF" w:rsidR="00F90C87">
        <w:rPr>
          <w:rFonts w:ascii="Times New Roman" w:hAnsi="Times New Roman" w:cs="Times New Roman"/>
        </w:rPr>
        <w:t xml:space="preserve">major modification </w:t>
      </w:r>
      <w:r w:rsidRPr="00D535AF">
        <w:rPr>
          <w:rFonts w:ascii="Times New Roman" w:hAnsi="Times New Roman" w:cs="Times New Roman"/>
        </w:rPr>
        <w:t xml:space="preserve">for CGSA expansion </w:t>
      </w:r>
      <w:r w:rsidRPr="00D535AF" w:rsidR="00F90C87">
        <w:rPr>
          <w:rFonts w:ascii="Times New Roman" w:hAnsi="Times New Roman" w:cs="Times New Roman"/>
        </w:rPr>
        <w:t>must include, as an exhibit, a depiction of the CGSA accompanied by one or more supporting propagation studies using methods appropriate for the 800-900 MHz frequency range, including all supporting data and calculations, and/or by extensive field strength measurement data.</w:t>
      </w:r>
      <w:r w:rsidRPr="00D535AF" w:rsidR="003A69E5">
        <w:rPr>
          <w:rFonts w:ascii="Times New Roman" w:hAnsi="Times New Roman" w:cs="Times New Roman"/>
        </w:rPr>
        <w:t xml:space="preserve"> </w:t>
      </w:r>
      <w:r w:rsidRPr="00D535AF" w:rsidR="00B10C85">
        <w:rPr>
          <w:rFonts w:ascii="Times New Roman" w:hAnsi="Times New Roman" w:cs="Times New Roman"/>
        </w:rPr>
        <w:t xml:space="preserve"> </w:t>
      </w:r>
    </w:p>
    <w:p w:rsidR="003A69E5" w:rsidRPr="00D535AF" w:rsidP="00110E16" w14:paraId="608C2A1E" w14:textId="77777777">
      <w:pPr>
        <w:pStyle w:val="ListParagraph"/>
        <w:rPr>
          <w:rFonts w:ascii="Times New Roman" w:hAnsi="Times New Roman" w:cs="Times New Roman"/>
        </w:rPr>
      </w:pPr>
    </w:p>
    <w:p w:rsidR="00B32FF6" w:rsidRPr="00D535AF" w:rsidP="00110E16" w14:paraId="2C94BDE6" w14:textId="383103C1">
      <w:pPr>
        <w:pStyle w:val="ListParagraph"/>
        <w:numPr>
          <w:ilvl w:val="0"/>
          <w:numId w:val="60"/>
        </w:numPr>
        <w:jc w:val="both"/>
        <w:rPr>
          <w:rFonts w:ascii="Times New Roman" w:hAnsi="Times New Roman" w:cs="Times New Roman"/>
          <w:spacing w:val="-2"/>
        </w:rPr>
      </w:pPr>
      <w:r w:rsidRPr="00D535AF">
        <w:rPr>
          <w:rFonts w:ascii="Times New Roman" w:hAnsi="Times New Roman" w:cs="Times New Roman"/>
        </w:rPr>
        <w:t>Section 22.913(a)</w:t>
      </w:r>
      <w:r w:rsidRPr="00D535AF" w:rsidR="00B10C85">
        <w:rPr>
          <w:rFonts w:ascii="Times New Roman" w:hAnsi="Times New Roman" w:cs="Times New Roman"/>
        </w:rPr>
        <w:t xml:space="preserve"> as revised establishes the maximum ERP limits for both non-PSD and PSD operations.  These limits are described above in Section II.A.</w:t>
      </w:r>
      <w:r w:rsidRPr="00D535AF" w:rsidR="008D5FA2">
        <w:rPr>
          <w:rFonts w:ascii="Times New Roman" w:hAnsi="Times New Roman" w:cs="Times New Roman"/>
        </w:rPr>
        <w:t xml:space="preserve"> </w:t>
      </w:r>
    </w:p>
    <w:p w:rsidR="00CC239F" w:rsidRPr="00D535AF" w:rsidP="00CC239F" w14:paraId="56969583" w14:textId="77777777">
      <w:pPr>
        <w:pStyle w:val="ListParagraph"/>
        <w:ind w:left="1440"/>
        <w:jc w:val="both"/>
        <w:rPr>
          <w:rFonts w:ascii="Times New Roman" w:hAnsi="Times New Roman" w:cs="Times New Roman"/>
          <w:spacing w:val="-2"/>
        </w:rPr>
      </w:pPr>
    </w:p>
    <w:p w:rsidR="003A69E5" w:rsidRPr="00D535AF" w:rsidP="00110E16" w14:paraId="1A3E9F60" w14:textId="451C3BC6">
      <w:pPr>
        <w:pStyle w:val="ListParagraph"/>
        <w:numPr>
          <w:ilvl w:val="0"/>
          <w:numId w:val="60"/>
        </w:numPr>
        <w:jc w:val="both"/>
        <w:rPr>
          <w:rFonts w:ascii="Times New Roman" w:hAnsi="Times New Roman" w:cs="Times New Roman"/>
          <w:spacing w:val="-2"/>
        </w:rPr>
      </w:pPr>
      <w:r w:rsidRPr="00D535AF">
        <w:rPr>
          <w:rFonts w:ascii="Times New Roman" w:hAnsi="Times New Roman" w:cs="Times New Roman"/>
        </w:rPr>
        <w:t xml:space="preserve">Section </w:t>
      </w:r>
      <w:r w:rsidRPr="00D535AF">
        <w:rPr>
          <w:rFonts w:ascii="Times New Roman" w:hAnsi="Times New Roman" w:cs="Times New Roman"/>
        </w:rPr>
        <w:t>22.913(c)</w:t>
      </w:r>
      <w:r w:rsidRPr="00D535AF">
        <w:rPr>
          <w:rFonts w:ascii="Times New Roman" w:hAnsi="Times New Roman" w:cs="Times New Roman"/>
        </w:rPr>
        <w:t xml:space="preserve"> requires licensees to </w:t>
      </w:r>
      <w:r w:rsidRPr="00D535AF" w:rsidR="00594849">
        <w:rPr>
          <w:rFonts w:ascii="Times New Roman" w:hAnsi="Times New Roman" w:cs="Times New Roman"/>
        </w:rPr>
        <w:t xml:space="preserve">provide </w:t>
      </w:r>
      <w:r w:rsidRPr="00D535AF" w:rsidR="00C07871">
        <w:rPr>
          <w:rFonts w:ascii="Times New Roman" w:hAnsi="Times New Roman" w:cs="Times New Roman"/>
        </w:rPr>
        <w:t xml:space="preserve">advanced written notice </w:t>
      </w:r>
      <w:r w:rsidRPr="00D535AF" w:rsidR="00594849">
        <w:rPr>
          <w:rFonts w:ascii="Times New Roman" w:hAnsi="Times New Roman" w:cs="Times New Roman"/>
        </w:rPr>
        <w:t>at least 30 days but not more than 90 days prior to activating a</w:t>
      </w:r>
      <w:r w:rsidRPr="00D535AF" w:rsidR="006F2CB9">
        <w:rPr>
          <w:rFonts w:ascii="Times New Roman" w:hAnsi="Times New Roman" w:cs="Times New Roman"/>
        </w:rPr>
        <w:t xml:space="preserve"> base station at the Hi</w:t>
      </w:r>
      <w:r w:rsidRPr="00D535AF" w:rsidR="00594849">
        <w:rPr>
          <w:rFonts w:ascii="Times New Roman" w:hAnsi="Times New Roman" w:cs="Times New Roman"/>
        </w:rPr>
        <w:t xml:space="preserve">gher </w:t>
      </w:r>
      <w:r w:rsidRPr="00D535AF" w:rsidR="006F2CB9">
        <w:rPr>
          <w:rFonts w:ascii="Times New Roman" w:hAnsi="Times New Roman" w:cs="Times New Roman"/>
        </w:rPr>
        <w:t>PSD Limits</w:t>
      </w:r>
      <w:r w:rsidRPr="00D535AF" w:rsidR="00B10C85">
        <w:rPr>
          <w:rFonts w:ascii="Times New Roman" w:hAnsi="Times New Roman" w:cs="Times New Roman"/>
        </w:rPr>
        <w:t>,</w:t>
      </w:r>
      <w:r w:rsidRPr="00D535AF" w:rsidR="006F2CB9">
        <w:rPr>
          <w:rFonts w:ascii="Times New Roman" w:hAnsi="Times New Roman" w:cs="Times New Roman"/>
        </w:rPr>
        <w:t xml:space="preserve"> permitted under Sections</w:t>
      </w:r>
      <w:r w:rsidRPr="00D535AF" w:rsidR="00594849">
        <w:rPr>
          <w:rFonts w:ascii="Times New Roman" w:hAnsi="Times New Roman" w:cs="Times New Roman"/>
        </w:rPr>
        <w:t xml:space="preserve"> </w:t>
      </w:r>
      <w:r w:rsidRPr="00D535AF" w:rsidR="00C07871">
        <w:rPr>
          <w:rFonts w:ascii="Times New Roman" w:hAnsi="Times New Roman" w:cs="Times New Roman"/>
        </w:rPr>
        <w:t>22.913</w:t>
      </w:r>
      <w:r w:rsidRPr="00D535AF" w:rsidR="00594849">
        <w:rPr>
          <w:rFonts w:ascii="Times New Roman" w:hAnsi="Times New Roman" w:cs="Times New Roman"/>
        </w:rPr>
        <w:t xml:space="preserve">(a)(3) and </w:t>
      </w:r>
      <w:r w:rsidRPr="00D535AF" w:rsidR="00C07871">
        <w:rPr>
          <w:rFonts w:ascii="Times New Roman" w:hAnsi="Times New Roman" w:cs="Times New Roman"/>
        </w:rPr>
        <w:t>22.913</w:t>
      </w:r>
      <w:r w:rsidRPr="00D535AF" w:rsidR="00BB2AF0">
        <w:rPr>
          <w:rFonts w:ascii="Times New Roman" w:hAnsi="Times New Roman" w:cs="Times New Roman"/>
        </w:rPr>
        <w:t>(a)</w:t>
      </w:r>
      <w:r w:rsidRPr="00D535AF" w:rsidR="00C07871">
        <w:rPr>
          <w:rFonts w:ascii="Times New Roman" w:hAnsi="Times New Roman" w:cs="Times New Roman"/>
        </w:rPr>
        <w:t>(4), to any public safety licensee authorized in the frequency range 806-816 MHz/851-861 MHz with a base station located within a radius of 113 km of the Cellular base station to be deployed.</w:t>
      </w:r>
      <w:r w:rsidRPr="00D535AF">
        <w:rPr>
          <w:rFonts w:ascii="Times New Roman" w:hAnsi="Times New Roman" w:cs="Times New Roman"/>
        </w:rPr>
        <w:t xml:space="preserve"> </w:t>
      </w:r>
      <w:r w:rsidRPr="00D535AF" w:rsidR="00B10C85">
        <w:rPr>
          <w:rFonts w:ascii="Times New Roman" w:hAnsi="Times New Roman" w:cs="Times New Roman"/>
        </w:rPr>
        <w:t xml:space="preserve"> The written notification must include the base station’s location, ERP level, height of the transmitting antenna’s center of radiation above ground level, and the timeframe for activation, as well as the Cellular licensee’s contact information.  Upon request of a public safety licensee required to be notified under this provision, the Cellular licensee shall supply additional information.</w:t>
      </w:r>
    </w:p>
    <w:p w:rsidR="003A69E5" w:rsidRPr="00D535AF" w:rsidP="00110E16" w14:paraId="74B6F5D7" w14:textId="77777777">
      <w:pPr>
        <w:pStyle w:val="ListParagraph"/>
        <w:rPr>
          <w:rFonts w:ascii="Times New Roman" w:hAnsi="Times New Roman" w:cs="Times New Roman"/>
        </w:rPr>
      </w:pPr>
    </w:p>
    <w:p w:rsidR="003A69E5" w:rsidRPr="00D535AF" w:rsidP="001134EC" w14:paraId="3F0806EA" w14:textId="56F0067A">
      <w:pPr>
        <w:pStyle w:val="ListParagraph"/>
        <w:numPr>
          <w:ilvl w:val="0"/>
          <w:numId w:val="60"/>
        </w:numPr>
        <w:spacing w:after="120"/>
        <w:jc w:val="both"/>
        <w:rPr>
          <w:rFonts w:ascii="Times New Roman" w:hAnsi="Times New Roman" w:cs="Times New Roman"/>
          <w:spacing w:val="-2"/>
        </w:rPr>
      </w:pPr>
      <w:r w:rsidRPr="00D535AF">
        <w:rPr>
          <w:rFonts w:ascii="Times New Roman" w:hAnsi="Times New Roman" w:cs="Times New Roman"/>
        </w:rPr>
        <w:t xml:space="preserve">Section </w:t>
      </w:r>
      <w:r w:rsidRPr="00D535AF" w:rsidR="0089538F">
        <w:rPr>
          <w:rFonts w:ascii="Times New Roman" w:hAnsi="Times New Roman" w:cs="Times New Roman"/>
        </w:rPr>
        <w:t>22.913(f)</w:t>
      </w:r>
      <w:r w:rsidRPr="00D535AF" w:rsidR="00461879">
        <w:rPr>
          <w:rFonts w:ascii="Times New Roman" w:hAnsi="Times New Roman" w:cs="Times New Roman"/>
        </w:rPr>
        <w:t xml:space="preserve"> adds a second exemption regarding the requirement to comply with the height-power limit set forth in Section 22.913(e):  a licensee operating its base transmitter or repeater using PSD</w:t>
      </w:r>
      <w:r w:rsidRPr="00D535AF" w:rsidR="0089538F">
        <w:rPr>
          <w:rFonts w:ascii="Times New Roman" w:hAnsi="Times New Roman" w:cs="Times New Roman"/>
        </w:rPr>
        <w:t xml:space="preserve"> </w:t>
      </w:r>
      <w:r w:rsidRPr="00D535AF" w:rsidR="00461879">
        <w:rPr>
          <w:rFonts w:ascii="Times New Roman" w:hAnsi="Times New Roman" w:cs="Times New Roman"/>
        </w:rPr>
        <w:t>need not comply with Section 22.913(e).</w:t>
      </w:r>
    </w:p>
    <w:p w:rsidR="003A69E5" w:rsidRPr="00D535AF" w:rsidP="001134EC" w14:paraId="78CD53E0" w14:textId="77777777">
      <w:pPr>
        <w:pStyle w:val="ListParagraph"/>
        <w:spacing w:after="120"/>
        <w:rPr>
          <w:rFonts w:ascii="Times New Roman" w:hAnsi="Times New Roman" w:cs="Times New Roman"/>
        </w:rPr>
      </w:pPr>
    </w:p>
    <w:p w:rsidR="00321686" w:rsidRPr="00D535AF" w:rsidP="00661463" w14:paraId="2C2B3F3A" w14:textId="2054A915">
      <w:pPr>
        <w:pStyle w:val="ListParagraph"/>
        <w:numPr>
          <w:ilvl w:val="0"/>
          <w:numId w:val="60"/>
        </w:numPr>
        <w:spacing w:after="120"/>
        <w:jc w:val="both"/>
        <w:rPr>
          <w:rFonts w:ascii="Times New Roman" w:hAnsi="Times New Roman" w:cs="Times New Roman"/>
          <w:spacing w:val="-2"/>
        </w:rPr>
      </w:pPr>
      <w:r w:rsidRPr="00D535AF">
        <w:rPr>
          <w:rFonts w:ascii="Times New Roman" w:hAnsi="Times New Roman" w:cs="Times New Roman"/>
        </w:rPr>
        <w:t xml:space="preserve">As adopted in the </w:t>
      </w:r>
      <w:r w:rsidRPr="00D535AF">
        <w:rPr>
          <w:rFonts w:ascii="Times New Roman" w:hAnsi="Times New Roman" w:cs="Times New Roman"/>
          <w:i/>
        </w:rPr>
        <w:t>Second R&amp;O</w:t>
      </w:r>
      <w:r w:rsidRPr="00D535AF">
        <w:rPr>
          <w:rFonts w:ascii="Times New Roman" w:hAnsi="Times New Roman" w:cs="Times New Roman"/>
        </w:rPr>
        <w:t>, new Section 22.947 defines “permanent discontinuance” based on the entire licensed area (i.e., the CGSA) rather than an individual cell site. Specifically, permanent discontinuance is defined as “180 consecutive days during which a Cellular licensee does not operate or, in the case of a commercial mobile radio service provider, does not provide service to at least one subscriber that is not affiliated with, controlled by, or related to the providing carrier.”</w:t>
      </w:r>
    </w:p>
    <w:p w:rsidR="001134EC" w:rsidRPr="00D535AF" w:rsidP="001134EC" w14:paraId="482EB67A" w14:textId="77777777">
      <w:pPr>
        <w:pStyle w:val="ListParagraph"/>
        <w:rPr>
          <w:rFonts w:ascii="Times New Roman" w:hAnsi="Times New Roman" w:cs="Times New Roman"/>
          <w:spacing w:val="-2"/>
        </w:rPr>
      </w:pPr>
    </w:p>
    <w:p w:rsidR="00321686" w:rsidRPr="00D535AF" w:rsidP="001134EC" w14:paraId="12255C14" w14:textId="51170B9D">
      <w:pPr>
        <w:pStyle w:val="ListParagraph"/>
        <w:numPr>
          <w:ilvl w:val="1"/>
          <w:numId w:val="60"/>
        </w:numPr>
        <w:spacing w:after="120"/>
        <w:jc w:val="both"/>
        <w:rPr>
          <w:rFonts w:ascii="Times New Roman" w:hAnsi="Times New Roman" w:cs="Times New Roman"/>
          <w:spacing w:val="-2"/>
        </w:rPr>
      </w:pPr>
      <w:r w:rsidRPr="00D535AF">
        <w:rPr>
          <w:rFonts w:ascii="Times New Roman" w:hAnsi="Times New Roman" w:cs="Times New Roman"/>
          <w:spacing w:val="-2"/>
        </w:rPr>
        <w:t>Except with respect to CMA 672-A (discussed below), a licensee’s CGSA authorization will automatically terminate, without specific Commission action, if the licensee permanently discontinue</w:t>
      </w:r>
      <w:r w:rsidRPr="00D535AF" w:rsidR="001E2800">
        <w:rPr>
          <w:rFonts w:ascii="Times New Roman" w:hAnsi="Times New Roman" w:cs="Times New Roman"/>
          <w:spacing w:val="-2"/>
        </w:rPr>
        <w:t>s</w:t>
      </w:r>
      <w:r w:rsidRPr="00D535AF">
        <w:rPr>
          <w:rFonts w:ascii="Times New Roman" w:hAnsi="Times New Roman" w:cs="Times New Roman"/>
          <w:spacing w:val="-2"/>
        </w:rPr>
        <w:t xml:space="preserve"> service.</w:t>
      </w:r>
    </w:p>
    <w:p w:rsidR="00321686" w:rsidRPr="00D535AF" w:rsidP="001134EC" w14:paraId="3E4A3419" w14:textId="77777777">
      <w:pPr>
        <w:pStyle w:val="ListParagraph"/>
        <w:spacing w:after="120"/>
        <w:ind w:left="2880"/>
        <w:jc w:val="both"/>
        <w:rPr>
          <w:rFonts w:ascii="Times New Roman" w:hAnsi="Times New Roman" w:cs="Times New Roman"/>
          <w:spacing w:val="-2"/>
        </w:rPr>
      </w:pPr>
    </w:p>
    <w:p w:rsidR="00321686" w:rsidRPr="00D535AF" w:rsidP="001134EC" w14:paraId="3FBD6BD6" w14:textId="77777777">
      <w:pPr>
        <w:pStyle w:val="ListParagraph"/>
        <w:numPr>
          <w:ilvl w:val="2"/>
          <w:numId w:val="60"/>
        </w:numPr>
        <w:spacing w:after="120"/>
        <w:jc w:val="both"/>
        <w:rPr>
          <w:rFonts w:ascii="Times New Roman" w:hAnsi="Times New Roman" w:cs="Times New Roman"/>
          <w:spacing w:val="-2"/>
        </w:rPr>
      </w:pPr>
      <w:r w:rsidRPr="00D535AF">
        <w:rPr>
          <w:rFonts w:ascii="Times New Roman" w:hAnsi="Times New Roman" w:cs="Times New Roman"/>
          <w:spacing w:val="-2"/>
        </w:rPr>
        <w:t>This termination of authorization provision does not apply to a new-system licensee until after expiration of its construction period (specified in 47 CFR § 22.946).</w:t>
      </w:r>
    </w:p>
    <w:p w:rsidR="00321686" w:rsidRPr="00D535AF" w:rsidP="00321686" w14:paraId="60DED8E4" w14:textId="77777777">
      <w:pPr>
        <w:pStyle w:val="ListParagraph"/>
        <w:rPr>
          <w:rFonts w:ascii="Times New Roman" w:hAnsi="Times New Roman" w:cs="Times New Roman"/>
          <w:spacing w:val="-2"/>
        </w:rPr>
      </w:pPr>
    </w:p>
    <w:p w:rsidR="00321686" w:rsidRPr="00D535AF" w:rsidP="00321686" w14:paraId="60338F19" w14:textId="69AFBF71">
      <w:pPr>
        <w:pStyle w:val="ListParagraph"/>
        <w:numPr>
          <w:ilvl w:val="2"/>
          <w:numId w:val="60"/>
        </w:numPr>
        <w:jc w:val="both"/>
        <w:rPr>
          <w:rFonts w:ascii="Times New Roman" w:hAnsi="Times New Roman" w:cs="Times New Roman"/>
          <w:spacing w:val="-2"/>
        </w:rPr>
      </w:pPr>
      <w:r w:rsidRPr="00D535AF">
        <w:rPr>
          <w:rFonts w:ascii="Times New Roman" w:hAnsi="Times New Roman" w:cs="Times New Roman"/>
          <w:spacing w:val="-2"/>
        </w:rPr>
        <w:t>The licensee’s authorization for CMA 672-A (Chambers, TX) will automatically terminate, without specific Commission action, if the licensee permanently discontinues service after meeting its interim construction requirement (specified in 47 CFR § 22.960(b)</w:t>
      </w:r>
      <w:r w:rsidRPr="00D535AF" w:rsidR="00CC239F">
        <w:rPr>
          <w:rFonts w:ascii="Times New Roman" w:hAnsi="Times New Roman" w:cs="Times New Roman"/>
          <w:spacing w:val="-2"/>
        </w:rPr>
        <w:t>(1)</w:t>
      </w:r>
      <w:r w:rsidRPr="00D535AF">
        <w:rPr>
          <w:rFonts w:ascii="Times New Roman" w:hAnsi="Times New Roman" w:cs="Times New Roman"/>
          <w:spacing w:val="-2"/>
        </w:rPr>
        <w:t>).</w:t>
      </w:r>
    </w:p>
    <w:p w:rsidR="00321686" w:rsidRPr="00D535AF" w:rsidP="00321686" w14:paraId="35059DFB" w14:textId="77777777">
      <w:pPr>
        <w:pStyle w:val="ListParagraph"/>
        <w:rPr>
          <w:rFonts w:ascii="Times New Roman" w:hAnsi="Times New Roman" w:cs="Times New Roman"/>
          <w:spacing w:val="-2"/>
        </w:rPr>
      </w:pPr>
    </w:p>
    <w:p w:rsidR="00321686" w:rsidRPr="00D535AF" w:rsidP="00321686" w14:paraId="338A6F3D" w14:textId="2DC1FC5C">
      <w:pPr>
        <w:pStyle w:val="ListParagraph"/>
        <w:numPr>
          <w:ilvl w:val="1"/>
          <w:numId w:val="60"/>
        </w:numPr>
        <w:jc w:val="both"/>
        <w:rPr>
          <w:rFonts w:ascii="Times New Roman" w:hAnsi="Times New Roman" w:cs="Times New Roman"/>
          <w:spacing w:val="-2"/>
        </w:rPr>
      </w:pPr>
      <w:r w:rsidRPr="00D535AF">
        <w:rPr>
          <w:rFonts w:ascii="Times New Roman" w:hAnsi="Times New Roman" w:cs="Times New Roman"/>
        </w:rPr>
        <w:t>A licensee that permanently discontinues service must notify the Commission of the discontinuance within 10 days by filing, via the U</w:t>
      </w:r>
      <w:r w:rsidRPr="00D535AF" w:rsidR="00F82E01">
        <w:rPr>
          <w:rFonts w:ascii="Times New Roman" w:hAnsi="Times New Roman" w:cs="Times New Roman"/>
        </w:rPr>
        <w:t>L</w:t>
      </w:r>
      <w:r w:rsidRPr="00D535AF">
        <w:rPr>
          <w:rFonts w:ascii="Times New Roman" w:hAnsi="Times New Roman" w:cs="Times New Roman"/>
        </w:rPr>
        <w:t>S, FCC Form 601 requesting license cancellation.  However, even if the licensee fails to file the requisite form, its authorization will automatically terminate without specific Commission action if service is permanently discontinued.</w:t>
      </w:r>
    </w:p>
    <w:p w:rsidR="00321686" w:rsidRPr="00D535AF" w:rsidP="00321686" w14:paraId="2F4C8758" w14:textId="77777777">
      <w:pPr>
        <w:pStyle w:val="ListParagraph"/>
        <w:rPr>
          <w:rFonts w:ascii="Times New Roman" w:hAnsi="Times New Roman" w:cs="Times New Roman"/>
        </w:rPr>
      </w:pPr>
    </w:p>
    <w:p w:rsidR="00B76955" w:rsidRPr="00805B41" w:rsidP="000E6E94" w14:paraId="0EC76BB6" w14:textId="21D0DE01">
      <w:pPr>
        <w:pStyle w:val="ListParagraph"/>
        <w:numPr>
          <w:ilvl w:val="0"/>
          <w:numId w:val="60"/>
        </w:numPr>
        <w:jc w:val="both"/>
        <w:rPr>
          <w:rFonts w:ascii="Times New Roman" w:hAnsi="Times New Roman" w:cs="Times New Roman"/>
        </w:rPr>
      </w:pPr>
      <w:r w:rsidRPr="00805B41">
        <w:rPr>
          <w:rFonts w:ascii="Times New Roman" w:hAnsi="Times New Roman" w:cs="Times New Roman"/>
        </w:rPr>
        <w:t xml:space="preserve">Under revised </w:t>
      </w:r>
      <w:r w:rsidRPr="00805B41" w:rsidR="003A69E5">
        <w:rPr>
          <w:rFonts w:ascii="Times New Roman" w:hAnsi="Times New Roman" w:cs="Times New Roman"/>
        </w:rPr>
        <w:t>Section 22.953(c)</w:t>
      </w:r>
      <w:r w:rsidRPr="00805B41">
        <w:rPr>
          <w:rFonts w:ascii="Times New Roman" w:hAnsi="Times New Roman" w:cs="Times New Roman"/>
        </w:rPr>
        <w:t>,</w:t>
      </w:r>
      <w:r w:rsidRPr="00805B41" w:rsidR="003C3E5F">
        <w:rPr>
          <w:rFonts w:ascii="Times New Roman" w:hAnsi="Times New Roman" w:cs="Times New Roman"/>
        </w:rPr>
        <w:t xml:space="preserve"> </w:t>
      </w:r>
      <w:r w:rsidRPr="00805B41">
        <w:rPr>
          <w:rFonts w:ascii="Times New Roman" w:hAnsi="Times New Roman" w:cs="Times New Roman"/>
        </w:rPr>
        <w:t xml:space="preserve">a </w:t>
      </w:r>
      <w:r w:rsidRPr="00805B41">
        <w:rPr>
          <w:rFonts w:ascii="Times New Roman" w:hAnsi="Times New Roman" w:cs="Times New Roman"/>
        </w:rPr>
        <w:t xml:space="preserve">licensee’s </w:t>
      </w:r>
      <w:r w:rsidRPr="00805B41" w:rsidR="003C3E5F">
        <w:rPr>
          <w:rFonts w:ascii="Times New Roman" w:hAnsi="Times New Roman" w:cs="Times New Roman"/>
        </w:rPr>
        <w:t xml:space="preserve">reduction in coverage </w:t>
      </w:r>
      <w:r w:rsidRPr="00805B41">
        <w:rPr>
          <w:rFonts w:ascii="Times New Roman" w:hAnsi="Times New Roman" w:cs="Times New Roman"/>
        </w:rPr>
        <w:t>resulting from minor system changes within the CGSA is no</w:t>
      </w:r>
      <w:r w:rsidRPr="00805B41" w:rsidR="003C3E5F">
        <w:rPr>
          <w:rFonts w:ascii="Times New Roman" w:hAnsi="Times New Roman" w:cs="Times New Roman"/>
        </w:rPr>
        <w:t xml:space="preserve"> </w:t>
      </w:r>
      <w:r w:rsidRPr="00805B41">
        <w:rPr>
          <w:rFonts w:ascii="Times New Roman" w:hAnsi="Times New Roman" w:cs="Times New Roman"/>
        </w:rPr>
        <w:t>longer subject to the</w:t>
      </w:r>
      <w:r w:rsidRPr="00805B41" w:rsidR="003C3E5F">
        <w:rPr>
          <w:rFonts w:ascii="Times New Roman" w:hAnsi="Times New Roman" w:cs="Times New Roman"/>
        </w:rPr>
        <w:t xml:space="preserve"> requirement</w:t>
      </w:r>
      <w:r w:rsidRPr="00805B41">
        <w:rPr>
          <w:rFonts w:ascii="Times New Roman" w:hAnsi="Times New Roman" w:cs="Times New Roman"/>
        </w:rPr>
        <w:t xml:space="preserve"> to make a filing notifying the Commission of the coverage reduction.</w:t>
      </w:r>
      <w:r w:rsidRPr="00805B41" w:rsidR="00AE0521">
        <w:rPr>
          <w:rFonts w:ascii="Times New Roman" w:hAnsi="Times New Roman" w:cs="Times New Roman"/>
        </w:rPr>
        <w:t xml:space="preserve"> </w:t>
      </w:r>
    </w:p>
    <w:p w:rsidR="00977C7F" w:rsidRPr="00D535AF" w:rsidP="009E2184" w14:paraId="0C17273E" w14:textId="6A56D208">
      <w:pPr>
        <w:pStyle w:val="Heading1"/>
        <w:spacing w:after="220"/>
        <w:jc w:val="both"/>
        <w:rPr>
          <w:rFonts w:ascii="Times New Roman" w:hAnsi="Times New Roman" w:cs="Times New Roman"/>
        </w:rPr>
      </w:pPr>
      <w:bookmarkStart w:id="345" w:name="_Toc492564201"/>
      <w:bookmarkStart w:id="346" w:name="_Toc504060953"/>
      <w:bookmarkStart w:id="347" w:name="_Toc176072637"/>
      <w:bookmarkStart w:id="348" w:name="_Toc176072763"/>
      <w:bookmarkStart w:id="349" w:name="_Toc176072789"/>
      <w:bookmarkStart w:id="350" w:name="_Toc176072813"/>
      <w:bookmarkStart w:id="351" w:name="_Toc179100599"/>
      <w:bookmarkStart w:id="352" w:name="_Toc179100964"/>
      <w:bookmarkStart w:id="353" w:name="_Toc216065694"/>
      <w:bookmarkStart w:id="354" w:name="_Toc326229724"/>
      <w:bookmarkStart w:id="355" w:name="_Toc326658334"/>
      <w:bookmarkStart w:id="356" w:name="_Toc326746790"/>
      <w:bookmarkStart w:id="357" w:name="_Toc326826056"/>
      <w:bookmarkStart w:id="358" w:name="_Toc419723027"/>
      <w:bookmarkStart w:id="359" w:name="_Toc419800684"/>
      <w:bookmarkStart w:id="360" w:name="_Toc419800749"/>
      <w:r w:rsidRPr="00D535AF">
        <w:rPr>
          <w:rFonts w:ascii="Times New Roman" w:hAnsi="Times New Roman" w:cs="Times New Roman"/>
        </w:rPr>
        <w:t>implementation</w:t>
      </w:r>
      <w:r w:rsidRPr="00D535AF" w:rsidR="0025761C">
        <w:rPr>
          <w:rFonts w:ascii="Times New Roman" w:hAnsi="Times New Roman" w:cs="Times New Roman"/>
        </w:rPr>
        <w:t xml:space="preserve"> DATE</w:t>
      </w:r>
      <w:bookmarkEnd w:id="345"/>
      <w:bookmarkEnd w:id="346"/>
    </w:p>
    <w:p w:rsidR="00977C7F" w:rsidRPr="00D535AF" w:rsidP="00110E16" w14:paraId="02EF2FFE" w14:textId="7C8E9441">
      <w:pPr>
        <w:pStyle w:val="ParaNum"/>
        <w:numPr>
          <w:ilvl w:val="0"/>
          <w:numId w:val="0"/>
        </w:numPr>
        <w:ind w:firstLine="720"/>
        <w:rPr>
          <w:rFonts w:ascii="Times New Roman" w:hAnsi="Times New Roman" w:cs="Times New Roman"/>
        </w:rPr>
      </w:pPr>
      <w:r w:rsidRPr="00D535AF">
        <w:rPr>
          <w:rFonts w:ascii="Times New Roman" w:hAnsi="Times New Roman" w:cs="Times New Roman"/>
        </w:rPr>
        <w:t xml:space="preserve">The </w:t>
      </w:r>
      <w:r w:rsidRPr="00D535AF" w:rsidR="004F5474">
        <w:rPr>
          <w:rFonts w:ascii="Times New Roman" w:hAnsi="Times New Roman" w:cs="Times New Roman"/>
        </w:rPr>
        <w:t>following</w:t>
      </w:r>
      <w:r w:rsidRPr="00D535AF" w:rsidR="00B76955">
        <w:rPr>
          <w:rFonts w:ascii="Times New Roman" w:hAnsi="Times New Roman" w:cs="Times New Roman"/>
        </w:rPr>
        <w:t xml:space="preserve"> new and revised </w:t>
      </w:r>
      <w:r w:rsidRPr="00D535AF">
        <w:rPr>
          <w:rFonts w:ascii="Times New Roman" w:hAnsi="Times New Roman" w:cs="Times New Roman"/>
        </w:rPr>
        <w:t xml:space="preserve">rules </w:t>
      </w:r>
      <w:r w:rsidRPr="00D535AF" w:rsidR="00B76955">
        <w:rPr>
          <w:rFonts w:ascii="Times New Roman" w:hAnsi="Times New Roman" w:cs="Times New Roman"/>
        </w:rPr>
        <w:t xml:space="preserve">adopted </w:t>
      </w:r>
      <w:r w:rsidRPr="00D535AF">
        <w:rPr>
          <w:rFonts w:ascii="Times New Roman" w:hAnsi="Times New Roman" w:cs="Times New Roman"/>
        </w:rPr>
        <w:t xml:space="preserve">in the </w:t>
      </w:r>
      <w:r w:rsidRPr="00D535AF" w:rsidR="00B76955">
        <w:rPr>
          <w:rFonts w:ascii="Times New Roman" w:hAnsi="Times New Roman" w:cs="Times New Roman"/>
          <w:i/>
        </w:rPr>
        <w:t xml:space="preserve">Second R&amp;O </w:t>
      </w:r>
      <w:r w:rsidRPr="00D535AF">
        <w:rPr>
          <w:rFonts w:ascii="Times New Roman" w:hAnsi="Times New Roman" w:cs="Times New Roman"/>
        </w:rPr>
        <w:t>bec</w:t>
      </w:r>
      <w:r w:rsidRPr="00D535AF" w:rsidR="004F5474">
        <w:rPr>
          <w:rFonts w:ascii="Times New Roman" w:hAnsi="Times New Roman" w:cs="Times New Roman"/>
        </w:rPr>
        <w:t>a</w:t>
      </w:r>
      <w:r w:rsidRPr="00D535AF">
        <w:rPr>
          <w:rFonts w:ascii="Times New Roman" w:hAnsi="Times New Roman" w:cs="Times New Roman"/>
        </w:rPr>
        <w:t>me effectiv</w:t>
      </w:r>
      <w:r w:rsidRPr="00D535AF" w:rsidR="004F5474">
        <w:rPr>
          <w:rFonts w:ascii="Times New Roman" w:hAnsi="Times New Roman" w:cs="Times New Roman"/>
          <w:color w:val="000000" w:themeColor="text1"/>
        </w:rPr>
        <w:t xml:space="preserve">e </w:t>
      </w:r>
      <w:r w:rsidRPr="00D535AF" w:rsidR="00C269A2">
        <w:rPr>
          <w:rFonts w:ascii="Times New Roman" w:hAnsi="Times New Roman" w:cs="Times New Roman"/>
          <w:color w:val="000000" w:themeColor="text1"/>
        </w:rPr>
        <w:t xml:space="preserve">May </w:t>
      </w:r>
      <w:r w:rsidRPr="00D535AF">
        <w:rPr>
          <w:rFonts w:ascii="Times New Roman" w:hAnsi="Times New Roman" w:cs="Times New Roman"/>
          <w:color w:val="000000" w:themeColor="text1"/>
        </w:rPr>
        <w:t xml:space="preserve">12, </w:t>
      </w:r>
      <w:r w:rsidRPr="00D535AF">
        <w:rPr>
          <w:rFonts w:ascii="Times New Roman" w:hAnsi="Times New Roman" w:cs="Times New Roman"/>
        </w:rPr>
        <w:t xml:space="preserve">2017, thirty (30) days after publication of the </w:t>
      </w:r>
      <w:r w:rsidRPr="00D535AF" w:rsidR="004F5474">
        <w:rPr>
          <w:rFonts w:ascii="Times New Roman" w:hAnsi="Times New Roman" w:cs="Times New Roman"/>
        </w:rPr>
        <w:t>text or summary th</w:t>
      </w:r>
      <w:r w:rsidRPr="00D535AF" w:rsidR="00B76955">
        <w:rPr>
          <w:rFonts w:ascii="Times New Roman" w:hAnsi="Times New Roman" w:cs="Times New Roman"/>
        </w:rPr>
        <w:t>ereof in the Federal Register:</w:t>
      </w:r>
      <w:r w:rsidRPr="00D535AF" w:rsidR="007B21BC">
        <w:rPr>
          <w:rFonts w:ascii="Times New Roman" w:hAnsi="Times New Roman" w:cs="Times New Roman"/>
        </w:rPr>
        <w:t xml:space="preserve">  Sections 22.169, 22</w:t>
      </w:r>
      <w:r w:rsidRPr="00D535AF" w:rsidR="004D244A">
        <w:rPr>
          <w:rFonts w:ascii="Times New Roman" w:hAnsi="Times New Roman" w:cs="Times New Roman"/>
        </w:rPr>
        <w:t>.907, 22.911(d), 22.913(b), 22.9</w:t>
      </w:r>
      <w:r w:rsidRPr="00D535AF" w:rsidR="007B21BC">
        <w:rPr>
          <w:rFonts w:ascii="Times New Roman" w:hAnsi="Times New Roman" w:cs="Times New Roman"/>
        </w:rPr>
        <w:t>13(d), 22.913(e), and 22.917.</w:t>
      </w:r>
      <w:r w:rsidRPr="00D535AF" w:rsidR="00B76955">
        <w:rPr>
          <w:rFonts w:ascii="Times New Roman" w:hAnsi="Times New Roman" w:cs="Times New Roman"/>
        </w:rPr>
        <w:t xml:space="preserve">    </w:t>
      </w:r>
    </w:p>
    <w:p w:rsidR="00977C7F" w:rsidRPr="00D535AF" w:rsidP="00174FA2" w14:paraId="6F492BB2" w14:textId="4A5A8638">
      <w:pPr>
        <w:pStyle w:val="ParaNum"/>
        <w:numPr>
          <w:ilvl w:val="0"/>
          <w:numId w:val="0"/>
        </w:numPr>
        <w:spacing w:after="0"/>
        <w:ind w:firstLine="720"/>
        <w:rPr>
          <w:rFonts w:ascii="Times New Roman" w:hAnsi="Times New Roman" w:cs="Times New Roman"/>
        </w:rPr>
      </w:pPr>
      <w:r w:rsidRPr="00D535AF">
        <w:rPr>
          <w:rFonts w:ascii="Times New Roman" w:hAnsi="Times New Roman" w:cs="Times New Roman"/>
        </w:rPr>
        <w:t xml:space="preserve">The following rules in the </w:t>
      </w:r>
      <w:r w:rsidRPr="00D535AF" w:rsidR="00B76955">
        <w:rPr>
          <w:rFonts w:ascii="Times New Roman" w:hAnsi="Times New Roman" w:cs="Times New Roman"/>
          <w:i/>
        </w:rPr>
        <w:t xml:space="preserve">Second R&amp;O </w:t>
      </w:r>
      <w:r w:rsidRPr="00D535AF">
        <w:rPr>
          <w:rFonts w:ascii="Times New Roman" w:hAnsi="Times New Roman" w:cs="Times New Roman"/>
        </w:rPr>
        <w:t>require</w:t>
      </w:r>
      <w:r w:rsidRPr="00D535AF" w:rsidR="00B76955">
        <w:rPr>
          <w:rFonts w:ascii="Times New Roman" w:hAnsi="Times New Roman" w:cs="Times New Roman"/>
        </w:rPr>
        <w:t>d</w:t>
      </w:r>
      <w:r w:rsidRPr="00D535AF">
        <w:rPr>
          <w:rFonts w:ascii="Times New Roman" w:hAnsi="Times New Roman" w:cs="Times New Roman"/>
        </w:rPr>
        <w:t xml:space="preserve"> approval by the Office of Management and Budget (OMB) und</w:t>
      </w:r>
      <w:r w:rsidRPr="00D535AF">
        <w:rPr>
          <w:rFonts w:ascii="Times New Roman" w:hAnsi="Times New Roman" w:cs="Times New Roman"/>
        </w:rPr>
        <w:t xml:space="preserve">er the Paperwork Reduction Act: </w:t>
      </w:r>
      <w:r w:rsidRPr="00D535AF">
        <w:rPr>
          <w:rFonts w:ascii="Times New Roman" w:hAnsi="Times New Roman" w:cs="Times New Roman"/>
        </w:rPr>
        <w:t xml:space="preserve"> </w:t>
      </w:r>
      <w:r w:rsidRPr="00D535AF">
        <w:rPr>
          <w:rFonts w:ascii="Times New Roman" w:hAnsi="Times New Roman" w:cs="Times New Roman"/>
        </w:rPr>
        <w:t>Sections 22.317, 22.911(a)-(c), 22.913(a), 22.913(c), 22.913(f), 22.947, and 22.953(c)</w:t>
      </w:r>
      <w:r w:rsidRPr="00D535AF" w:rsidR="009F7939">
        <w:rPr>
          <w:rFonts w:ascii="Times New Roman" w:hAnsi="Times New Roman" w:cs="Times New Roman"/>
        </w:rPr>
        <w:t xml:space="preserve">.  </w:t>
      </w:r>
      <w:r w:rsidRPr="00D535AF" w:rsidR="00B76955">
        <w:rPr>
          <w:rFonts w:ascii="Times New Roman" w:hAnsi="Times New Roman" w:cs="Times New Roman"/>
        </w:rPr>
        <w:t xml:space="preserve">These rules became </w:t>
      </w:r>
      <w:r w:rsidRPr="00D535AF">
        <w:rPr>
          <w:rFonts w:ascii="Times New Roman" w:hAnsi="Times New Roman" w:cs="Times New Roman"/>
        </w:rPr>
        <w:t xml:space="preserve">effective </w:t>
      </w:r>
      <w:r w:rsidRPr="00D535AF" w:rsidR="00B76955">
        <w:rPr>
          <w:rFonts w:ascii="Times New Roman" w:hAnsi="Times New Roman" w:cs="Times New Roman"/>
        </w:rPr>
        <w:t>on December 1, 201</w:t>
      </w:r>
      <w:r w:rsidRPr="00D535AF" w:rsidR="007727A3">
        <w:rPr>
          <w:rFonts w:ascii="Times New Roman" w:hAnsi="Times New Roman" w:cs="Times New Roman"/>
        </w:rPr>
        <w:t>7</w:t>
      </w:r>
      <w:r w:rsidRPr="00D535AF" w:rsidR="00B76955">
        <w:rPr>
          <w:rFonts w:ascii="Times New Roman" w:hAnsi="Times New Roman" w:cs="Times New Roman"/>
        </w:rPr>
        <w:t xml:space="preserve">, </w:t>
      </w:r>
      <w:r w:rsidRPr="00D535AF">
        <w:rPr>
          <w:rFonts w:ascii="Times New Roman" w:hAnsi="Times New Roman" w:cs="Times New Roman"/>
        </w:rPr>
        <w:t>following OMB approval</w:t>
      </w:r>
      <w:r w:rsidRPr="00D535AF" w:rsidR="00B76955">
        <w:rPr>
          <w:rFonts w:ascii="Times New Roman" w:hAnsi="Times New Roman" w:cs="Times New Roman"/>
        </w:rPr>
        <w:t xml:space="preserve">, as announced by </w:t>
      </w:r>
      <w:r w:rsidRPr="00D535AF">
        <w:rPr>
          <w:rFonts w:ascii="Times New Roman" w:hAnsi="Times New Roman" w:cs="Times New Roman"/>
        </w:rPr>
        <w:t xml:space="preserve">the Commission </w:t>
      </w:r>
      <w:r w:rsidRPr="00D535AF" w:rsidR="00B76955">
        <w:rPr>
          <w:rFonts w:ascii="Times New Roman" w:hAnsi="Times New Roman" w:cs="Times New Roman"/>
        </w:rPr>
        <w:t xml:space="preserve">in a </w:t>
      </w:r>
      <w:r w:rsidRPr="00D535AF">
        <w:rPr>
          <w:rFonts w:ascii="Times New Roman" w:hAnsi="Times New Roman" w:cs="Times New Roman"/>
        </w:rPr>
        <w:t xml:space="preserve">Federal Register </w:t>
      </w:r>
      <w:r w:rsidRPr="00D535AF" w:rsidR="00B76955">
        <w:rPr>
          <w:rFonts w:ascii="Times New Roman" w:hAnsi="Times New Roman" w:cs="Times New Roman"/>
        </w:rPr>
        <w:t>notice published on November 24, 2017.</w:t>
      </w:r>
    </w:p>
    <w:p w:rsidR="006F3798" w:rsidRPr="00D535AF" w:rsidP="00174FA2" w14:paraId="0B61A23D" w14:textId="77777777">
      <w:pPr>
        <w:pStyle w:val="ParaNum"/>
        <w:numPr>
          <w:ilvl w:val="0"/>
          <w:numId w:val="0"/>
        </w:numPr>
        <w:spacing w:after="0"/>
        <w:ind w:firstLine="720"/>
        <w:rPr>
          <w:rFonts w:ascii="Times New Roman" w:hAnsi="Times New Roman" w:cs="Times New Roman"/>
        </w:rPr>
      </w:pPr>
    </w:p>
    <w:p w:rsidR="00584892" w:rsidRPr="00D535AF" w:rsidP="009E2184" w14:paraId="29AF0A19" w14:textId="1A2D7738">
      <w:pPr>
        <w:pStyle w:val="Heading1"/>
        <w:spacing w:after="220"/>
        <w:jc w:val="both"/>
        <w:rPr>
          <w:rFonts w:ascii="Times New Roman" w:hAnsi="Times New Roman" w:cs="Times New Roman"/>
        </w:rPr>
      </w:pPr>
      <w:bookmarkStart w:id="361" w:name="_Toc492564202"/>
      <w:bookmarkStart w:id="362" w:name="_Toc504060954"/>
      <w:r w:rsidRPr="00D535AF">
        <w:rPr>
          <w:rFonts w:ascii="Times New Roman" w:hAnsi="Times New Roman" w:cs="Times New Roman"/>
        </w:rPr>
        <w:t xml:space="preserve">INTERNET </w:t>
      </w:r>
      <w:r w:rsidRPr="00D535AF">
        <w:rPr>
          <w:rFonts w:ascii="Times New Roman" w:hAnsi="Times New Roman" w:cs="Times New Roman"/>
        </w:rPr>
        <w:t>link</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D535AF">
        <w:rPr>
          <w:rFonts w:ascii="Times New Roman" w:hAnsi="Times New Roman" w:cs="Times New Roman"/>
        </w:rPr>
        <w:t>S</w:t>
      </w:r>
      <w:bookmarkEnd w:id="361"/>
      <w:bookmarkEnd w:id="362"/>
    </w:p>
    <w:p w:rsidR="008F15D7" w:rsidRPr="00D535AF" w:rsidP="0086583C" w14:paraId="1C2CE6B0" w14:textId="05B45CE7">
      <w:pPr>
        <w:spacing w:after="0" w:line="240" w:lineRule="auto"/>
        <w:ind w:firstLine="720"/>
        <w:jc w:val="both"/>
        <w:rPr>
          <w:rFonts w:ascii="Times New Roman" w:hAnsi="Times New Roman" w:cs="Times New Roman"/>
        </w:rPr>
      </w:pPr>
      <w:r w:rsidRPr="00D535AF">
        <w:rPr>
          <w:rFonts w:ascii="Times New Roman" w:hAnsi="Times New Roman" w:cs="Times New Roman"/>
        </w:rPr>
        <w:t xml:space="preserve">A copy of the </w:t>
      </w:r>
      <w:r w:rsidRPr="00D535AF">
        <w:rPr>
          <w:rFonts w:ascii="Times New Roman" w:hAnsi="Times New Roman" w:cs="Times New Roman"/>
          <w:i/>
        </w:rPr>
        <w:t>Second</w:t>
      </w:r>
      <w:r w:rsidRPr="00D535AF">
        <w:rPr>
          <w:rFonts w:ascii="Times New Roman" w:hAnsi="Times New Roman" w:cs="Times New Roman"/>
        </w:rPr>
        <w:t xml:space="preserve"> </w:t>
      </w:r>
      <w:r w:rsidRPr="00D535AF" w:rsidR="005E0F58">
        <w:rPr>
          <w:rFonts w:ascii="Times New Roman" w:hAnsi="Times New Roman" w:cs="Times New Roman"/>
          <w:i/>
        </w:rPr>
        <w:t>R&amp;O</w:t>
      </w:r>
      <w:r w:rsidRPr="00D535AF">
        <w:rPr>
          <w:rFonts w:ascii="Times New Roman" w:hAnsi="Times New Roman" w:cs="Times New Roman"/>
        </w:rPr>
        <w:t xml:space="preserve"> </w:t>
      </w:r>
      <w:r w:rsidRPr="00D535AF">
        <w:rPr>
          <w:rFonts w:ascii="Times New Roman" w:hAnsi="Times New Roman" w:cs="Times New Roman"/>
        </w:rPr>
        <w:t>is available at:</w:t>
      </w:r>
    </w:p>
    <w:p w:rsidR="00324782" w:rsidRPr="00D535AF" w:rsidP="0086583C" w14:paraId="34744240" w14:textId="0D44EB79">
      <w:pPr>
        <w:spacing w:after="0" w:line="240" w:lineRule="auto"/>
        <w:jc w:val="both"/>
        <w:rPr>
          <w:rFonts w:ascii="Times New Roman" w:hAnsi="Times New Roman" w:cs="Times New Roman"/>
        </w:rPr>
      </w:pPr>
      <w:r>
        <w:fldChar w:fldCharType="begin"/>
      </w:r>
      <w:r>
        <w:instrText xml:space="preserve"> HYPERLINK "https://apps.fcc.gov/edocs_public/attachmatch/FCC-17-27A1.docx" </w:instrText>
      </w:r>
      <w:r>
        <w:fldChar w:fldCharType="separate"/>
      </w:r>
      <w:r w:rsidRPr="00D535AF" w:rsidR="00567C5E">
        <w:rPr>
          <w:rStyle w:val="Hyperlink"/>
          <w:rFonts w:ascii="Times New Roman" w:hAnsi="Times New Roman" w:cs="Times New Roman"/>
        </w:rPr>
        <w:t>https://apps.fcc.gov/edocs_public/attachmatch/FCC-17-27A1.docx</w:t>
      </w:r>
      <w:r>
        <w:fldChar w:fldCharType="end"/>
      </w:r>
      <w:r w:rsidRPr="00D535AF" w:rsidR="00567C5E">
        <w:rPr>
          <w:rFonts w:ascii="Times New Roman" w:hAnsi="Times New Roman" w:cs="Times New Roman"/>
        </w:rPr>
        <w:t xml:space="preserve"> </w:t>
      </w:r>
    </w:p>
    <w:p w:rsidR="00567C5E" w:rsidRPr="00D535AF" w:rsidP="006E0E04" w14:paraId="0B8C9849" w14:textId="1B25CC2E">
      <w:pPr>
        <w:spacing w:after="0" w:line="240" w:lineRule="auto"/>
        <w:jc w:val="both"/>
        <w:rPr>
          <w:rFonts w:ascii="Times New Roman" w:hAnsi="Times New Roman" w:cs="Times New Roman"/>
        </w:rPr>
      </w:pPr>
      <w:r>
        <w:fldChar w:fldCharType="begin"/>
      </w:r>
      <w:r>
        <w:instrText xml:space="preserve"> HYPERLINK "https://apps.fcc.gov/edocs_public/attachmatch/FCC-17-27A1.pdf" </w:instrText>
      </w:r>
      <w:r>
        <w:fldChar w:fldCharType="separate"/>
      </w:r>
      <w:r w:rsidRPr="00D535AF">
        <w:rPr>
          <w:rStyle w:val="Hyperlink"/>
          <w:rFonts w:ascii="Times New Roman" w:hAnsi="Times New Roman" w:cs="Times New Roman"/>
        </w:rPr>
        <w:t>https://apps.fcc.gov/edocs_public/attachmatch/FCC-17-27A1.pdf</w:t>
      </w:r>
      <w:r>
        <w:fldChar w:fldCharType="end"/>
      </w:r>
    </w:p>
    <w:p w:rsidR="008F15D7" w:rsidRPr="00D535AF" w:rsidP="006F1DA9" w14:paraId="24463026" w14:textId="10B6970B">
      <w:pPr>
        <w:spacing w:after="120" w:line="240" w:lineRule="auto"/>
        <w:jc w:val="both"/>
        <w:rPr>
          <w:rFonts w:ascii="Times New Roman" w:hAnsi="Times New Roman" w:cs="Times New Roman"/>
        </w:rPr>
      </w:pPr>
      <w:r>
        <w:fldChar w:fldCharType="begin"/>
      </w:r>
      <w:r>
        <w:instrText xml:space="preserve"> HYPERLINK "https://apps.fcc.gov/edocs_public/attachmatch/FCC-17-27A1.txt" </w:instrText>
      </w:r>
      <w:r>
        <w:fldChar w:fldCharType="separate"/>
      </w:r>
      <w:r w:rsidRPr="00D535AF" w:rsidR="00567C5E">
        <w:rPr>
          <w:rStyle w:val="Hyperlink"/>
          <w:rFonts w:ascii="Times New Roman" w:hAnsi="Times New Roman" w:cs="Times New Roman"/>
        </w:rPr>
        <w:t>https://apps.fcc.gov/edocs_public/attachmatch/FCC-17-27A1.txt</w:t>
      </w:r>
      <w:r>
        <w:fldChar w:fldCharType="end"/>
      </w:r>
    </w:p>
    <w:p w:rsidR="00584892" w:rsidRPr="00D535AF" w:rsidP="006F1DA9" w14:paraId="75A63FC0" w14:textId="7332A457">
      <w:pPr>
        <w:spacing w:after="120"/>
        <w:ind w:firstLine="720"/>
        <w:rPr>
          <w:rStyle w:val="Hyperlink"/>
          <w:rFonts w:ascii="Times New Roman" w:hAnsi="Times New Roman" w:cs="Times New Roman"/>
        </w:rPr>
      </w:pPr>
      <w:r w:rsidRPr="00D535AF">
        <w:rPr>
          <w:rFonts w:ascii="Times New Roman" w:hAnsi="Times New Roman" w:cs="Times New Roman"/>
        </w:rPr>
        <w:t xml:space="preserve">A copy of the Federal Register Summary of the </w:t>
      </w:r>
      <w:r w:rsidRPr="00D535AF">
        <w:rPr>
          <w:rFonts w:ascii="Times New Roman" w:hAnsi="Times New Roman" w:cs="Times New Roman"/>
          <w:i/>
        </w:rPr>
        <w:t>Second</w:t>
      </w:r>
      <w:r w:rsidRPr="00D535AF">
        <w:rPr>
          <w:rFonts w:ascii="Times New Roman" w:hAnsi="Times New Roman" w:cs="Times New Roman"/>
        </w:rPr>
        <w:t xml:space="preserve"> </w:t>
      </w:r>
      <w:r w:rsidRPr="00D535AF">
        <w:rPr>
          <w:rFonts w:ascii="Times New Roman" w:hAnsi="Times New Roman" w:cs="Times New Roman"/>
          <w:i/>
        </w:rPr>
        <w:t>R</w:t>
      </w:r>
      <w:r w:rsidRPr="00D535AF" w:rsidR="005E0F58">
        <w:rPr>
          <w:rFonts w:ascii="Times New Roman" w:hAnsi="Times New Roman" w:cs="Times New Roman"/>
          <w:i/>
        </w:rPr>
        <w:t xml:space="preserve">&amp;O </w:t>
      </w:r>
      <w:r w:rsidRPr="00D535AF" w:rsidR="00C146CF">
        <w:rPr>
          <w:rFonts w:ascii="Times New Roman" w:hAnsi="Times New Roman" w:cs="Times New Roman"/>
        </w:rPr>
        <w:t xml:space="preserve">is available at: </w:t>
      </w:r>
      <w:r>
        <w:fldChar w:fldCharType="begin"/>
      </w:r>
      <w:r>
        <w:instrText xml:space="preserve"> HYPERLINK "https://www.gpo.gov/fdsys/pkg/FR-2017-04-12/pdf/2017-07154.pdf" </w:instrText>
      </w:r>
      <w:r>
        <w:fldChar w:fldCharType="separate"/>
      </w:r>
      <w:r w:rsidRPr="00D535AF" w:rsidR="00C146CF">
        <w:rPr>
          <w:rStyle w:val="Hyperlink"/>
          <w:rFonts w:ascii="Times New Roman" w:hAnsi="Times New Roman" w:cs="Times New Roman"/>
        </w:rPr>
        <w:t>https://www.gpo.gov/fdsys/pkg/FR-2017-04-12/pdf/2017-07154.pdf</w:t>
      </w:r>
      <w:r>
        <w:fldChar w:fldCharType="end"/>
      </w:r>
      <w:r w:rsidRPr="00D535AF" w:rsidR="00B00704">
        <w:rPr>
          <w:rStyle w:val="Hyperlink"/>
          <w:rFonts w:ascii="Times New Roman" w:hAnsi="Times New Roman" w:cs="Times New Roman"/>
        </w:rPr>
        <w:t xml:space="preserve"> </w:t>
      </w:r>
    </w:p>
    <w:p w:rsidR="00B00704" w:rsidRPr="00D535AF" w:rsidP="006E0E04" w14:paraId="1A4926A6" w14:textId="0927E871">
      <w:pPr>
        <w:spacing w:after="240"/>
        <w:ind w:firstLine="720"/>
        <w:jc w:val="both"/>
        <w:rPr>
          <w:rFonts w:ascii="Times New Roman" w:hAnsi="Times New Roman" w:cs="Times New Roman"/>
        </w:rPr>
      </w:pPr>
      <w:r w:rsidRPr="00D535AF">
        <w:rPr>
          <w:rFonts w:ascii="Times New Roman" w:hAnsi="Times New Roman" w:cs="Times New Roman"/>
        </w:rPr>
        <w:t xml:space="preserve">A copy of the Federal Register notice announcing OMB approval and the effective date is available at: </w:t>
      </w:r>
      <w:r w:rsidRPr="00D535AF" w:rsidR="0086583C">
        <w:rPr>
          <w:rFonts w:ascii="Times New Roman" w:hAnsi="Times New Roman" w:cs="Times New Roman"/>
        </w:rPr>
        <w:t xml:space="preserve"> </w:t>
      </w:r>
      <w:r>
        <w:fldChar w:fldCharType="begin"/>
      </w:r>
      <w:r>
        <w:instrText xml:space="preserve"> HYPERLINK "https://www.gpo.gov/fdsys/pkg/FR-2017-11-24/pdf/2017-25413.pdf" </w:instrText>
      </w:r>
      <w:r>
        <w:fldChar w:fldCharType="separate"/>
      </w:r>
      <w:r w:rsidRPr="00D535AF">
        <w:rPr>
          <w:rStyle w:val="Hyperlink"/>
          <w:rFonts w:ascii="Times New Roman" w:hAnsi="Times New Roman" w:cs="Times New Roman"/>
        </w:rPr>
        <w:t>https://www.gpo.gov/fdsys/pkg/FR-2017-11-24/pdf/2017-25413.pdf</w:t>
      </w:r>
      <w:r>
        <w:fldChar w:fldCharType="end"/>
      </w:r>
      <w:r w:rsidRPr="00D535AF">
        <w:rPr>
          <w:rFonts w:ascii="Times New Roman" w:hAnsi="Times New Roman" w:cs="Times New Roman"/>
        </w:rPr>
        <w:t xml:space="preserve"> </w:t>
      </w:r>
    </w:p>
    <w:p w:rsidR="0086583C" w:rsidRPr="00D535AF" w:rsidP="00AE0521" w14:paraId="3AE8F900" w14:textId="77777777">
      <w:pPr>
        <w:ind w:firstLine="720"/>
        <w:jc w:val="both"/>
        <w:rPr>
          <w:rFonts w:ascii="Times New Roman" w:hAnsi="Times New Roman" w:cs="Times New Roman"/>
        </w:rPr>
      </w:pPr>
    </w:p>
    <w:sectPr w:rsidSect="003F467B">
      <w:footerReference w:type="default" r:id="rId12"/>
      <w:headerReference w:type="first" r:id="rId13"/>
      <w:footerReference w:type="first" r:id="rId14"/>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14:paraId="00C911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61463" w14:paraId="3CC2EFAC" w14:textId="77777777">
    <w:pPr>
      <w:pStyle w:val="Footer"/>
    </w:pPr>
  </w:p>
  <w:p w:rsidR="00661463" w14:paraId="1D716324" w14:textId="77777777"/>
  <w:p w:rsidR="00661463" w14:paraId="21F5303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14:paraId="6F762A6A" w14:textId="26005A42">
    <w:pPr>
      <w:pStyle w:val="Footer"/>
      <w:jc w:val="center"/>
    </w:pPr>
  </w:p>
  <w:p w:rsidR="00661463" w14:paraId="2D4B5E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116" w14:paraId="7F04E60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677659"/>
      <w:docPartObj>
        <w:docPartGallery w:val="Page Numbers (Bottom of Page)"/>
        <w:docPartUnique/>
      </w:docPartObj>
    </w:sdtPr>
    <w:sdtEndPr>
      <w:rPr>
        <w:noProof/>
      </w:rPr>
    </w:sdtEndPr>
    <w:sdtContent>
      <w:p w:rsidR="00661463" w14:paraId="4DD8B6FD" w14:textId="3A2ED55C">
        <w:pPr>
          <w:pStyle w:val="Footer"/>
          <w:jc w:val="center"/>
        </w:pPr>
        <w:r w:rsidRPr="004F4A40">
          <w:rPr>
            <w:rFonts w:ascii="Times New Roman" w:hAnsi="Times New Roman" w:cs="Times New Roman"/>
            <w:sz w:val="20"/>
            <w:szCs w:val="20"/>
          </w:rPr>
          <w:fldChar w:fldCharType="begin"/>
        </w:r>
        <w:r w:rsidRPr="004F4A40">
          <w:rPr>
            <w:rFonts w:ascii="Times New Roman" w:hAnsi="Times New Roman" w:cs="Times New Roman"/>
            <w:sz w:val="20"/>
            <w:szCs w:val="20"/>
          </w:rPr>
          <w:instrText xml:space="preserve"> PAGE   \* MERGEFORMAT </w:instrText>
        </w:r>
        <w:r w:rsidRPr="004F4A40">
          <w:rPr>
            <w:rFonts w:ascii="Times New Roman" w:hAnsi="Times New Roman" w:cs="Times New Roman"/>
            <w:sz w:val="20"/>
            <w:szCs w:val="20"/>
          </w:rPr>
          <w:fldChar w:fldCharType="separate"/>
        </w:r>
        <w:r w:rsidR="004E7349">
          <w:rPr>
            <w:rFonts w:ascii="Times New Roman" w:hAnsi="Times New Roman" w:cs="Times New Roman"/>
            <w:noProof/>
            <w:sz w:val="20"/>
            <w:szCs w:val="20"/>
          </w:rPr>
          <w:t>12</w:t>
        </w:r>
        <w:r w:rsidRPr="004F4A40">
          <w:rPr>
            <w:rFonts w:ascii="Times New Roman" w:hAnsi="Times New Roman" w:cs="Times New Roman"/>
            <w:noProof/>
            <w:sz w:val="20"/>
            <w:szCs w:val="20"/>
          </w:rPr>
          <w:fldChar w:fldCharType="end"/>
        </w:r>
      </w:p>
    </w:sdtContent>
  </w:sdt>
  <w:p w:rsidR="00661463" w14:paraId="1C563CE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0362054"/>
      <w:docPartObj>
        <w:docPartGallery w:val="Page Numbers (Bottom of Page)"/>
        <w:docPartUnique/>
      </w:docPartObj>
    </w:sdtPr>
    <w:sdtEndPr>
      <w:rPr>
        <w:rFonts w:ascii="Times New Roman" w:hAnsi="Times New Roman" w:cs="Times New Roman"/>
        <w:noProof/>
        <w:sz w:val="20"/>
        <w:szCs w:val="20"/>
      </w:rPr>
    </w:sdtEndPr>
    <w:sdtContent>
      <w:p w:rsidR="00661463" w:rsidRPr="005F2C58" w14:paraId="3EA41A5C" w14:textId="17CF0415">
        <w:pPr>
          <w:pStyle w:val="Footer"/>
          <w:jc w:val="center"/>
          <w:rPr>
            <w:rFonts w:ascii="Times New Roman" w:hAnsi="Times New Roman" w:cs="Times New Roman"/>
            <w:sz w:val="20"/>
            <w:szCs w:val="20"/>
          </w:rPr>
        </w:pPr>
        <w:r w:rsidRPr="005F2C58">
          <w:rPr>
            <w:rFonts w:ascii="Times New Roman" w:hAnsi="Times New Roman" w:cs="Times New Roman"/>
            <w:sz w:val="20"/>
            <w:szCs w:val="20"/>
          </w:rPr>
          <w:fldChar w:fldCharType="begin"/>
        </w:r>
        <w:r w:rsidRPr="005F2C58">
          <w:rPr>
            <w:rFonts w:ascii="Times New Roman" w:hAnsi="Times New Roman" w:cs="Times New Roman"/>
            <w:sz w:val="20"/>
            <w:szCs w:val="20"/>
          </w:rPr>
          <w:instrText xml:space="preserve"> PAGE   \* MERGEFORMAT </w:instrText>
        </w:r>
        <w:r w:rsidRPr="005F2C58">
          <w:rPr>
            <w:rFonts w:ascii="Times New Roman" w:hAnsi="Times New Roman" w:cs="Times New Roman"/>
            <w:sz w:val="20"/>
            <w:szCs w:val="20"/>
          </w:rPr>
          <w:fldChar w:fldCharType="separate"/>
        </w:r>
        <w:r w:rsidR="004E7349">
          <w:rPr>
            <w:rFonts w:ascii="Times New Roman" w:hAnsi="Times New Roman" w:cs="Times New Roman"/>
            <w:noProof/>
            <w:sz w:val="20"/>
            <w:szCs w:val="20"/>
          </w:rPr>
          <w:t>1</w:t>
        </w:r>
        <w:r w:rsidRPr="005F2C58">
          <w:rPr>
            <w:rFonts w:ascii="Times New Roman" w:hAnsi="Times New Roman" w:cs="Times New Roman"/>
            <w:noProof/>
            <w:sz w:val="20"/>
            <w:szCs w:val="20"/>
          </w:rPr>
          <w:fldChar w:fldCharType="end"/>
        </w:r>
      </w:p>
    </w:sdtContent>
  </w:sdt>
  <w:p w:rsidR="00661463" w14:paraId="2A8DBD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5A3" w14:paraId="693B99FB" w14:textId="77777777">
      <w:r>
        <w:separator/>
      </w:r>
    </w:p>
  </w:footnote>
  <w:footnote w:type="continuationSeparator" w:id="1">
    <w:p w:rsidR="006965A3" w14:paraId="4200A604" w14:textId="77777777">
      <w:r>
        <w:continuationSeparator/>
      </w:r>
    </w:p>
  </w:footnote>
  <w:footnote w:type="continuationNotice" w:id="2">
    <w:p w:rsidR="006965A3" w14:paraId="1234AD6B" w14:textId="77777777">
      <w:pPr>
        <w:spacing w:after="0" w:line="240" w:lineRule="auto"/>
      </w:pPr>
    </w:p>
  </w:footnote>
  <w:footnote w:id="3">
    <w:p w:rsidR="0035639F" w:rsidRPr="00E2514D" w:rsidP="00992AC2" w14:paraId="0C1CFA95" w14:textId="77777777">
      <w:pPr>
        <w:pStyle w:val="FootnoteText"/>
      </w:pPr>
      <w:r w:rsidRPr="006C0BD8">
        <w:rPr>
          <w:rStyle w:val="FootnoteReference"/>
        </w:rPr>
        <w:footnoteRef/>
      </w:r>
      <w:r w:rsidRPr="006C0BD8">
        <w:t xml:space="preserve"> </w:t>
      </w:r>
      <w:r w:rsidRPr="00E2514D">
        <w:rPr>
          <w:i/>
        </w:rPr>
        <w:t>Amendment of Parts 1, 22, 24, 27, 74, 80, 90, 95, and 101 To Establish Uniform License Renewal, Discontinuance of Operation, and Geographic Partitioning and Spectrum Disaggregation Rules and Policies for Certain Wireless Radio Services</w:t>
      </w:r>
      <w:r w:rsidRPr="00E2514D">
        <w:t>, Second Report and Order and Further Notice of Proposed Rulemaking,  WT Docket No. 10-112, 32 FCC Rcd 8874, 82 Fed. Reg. 41580 (2017) (</w:t>
      </w:r>
      <w:r w:rsidRPr="00E2514D">
        <w:rPr>
          <w:i/>
        </w:rPr>
        <w:t>WRS Second R&amp;O</w:t>
      </w:r>
      <w:r w:rsidRPr="00E2514D">
        <w:t xml:space="preserve">). </w:t>
      </w:r>
    </w:p>
  </w:footnote>
  <w:footnote w:id="4">
    <w:p w:rsidR="00661463" w:rsidRPr="00E2514D" w:rsidP="00505EDB" w14:paraId="5CBAD8ED" w14:textId="3E296796">
      <w:pPr>
        <w:pStyle w:val="ParaNum"/>
        <w:numPr>
          <w:ilvl w:val="0"/>
          <w:numId w:val="0"/>
        </w:numPr>
        <w:jc w:val="both"/>
      </w:pPr>
      <w:r w:rsidRPr="00E2514D">
        <w:rPr>
          <w:rStyle w:val="FootnoteReference"/>
          <w:rFonts w:cs="Times New Roman"/>
        </w:rPr>
        <w:footnoteRef/>
      </w:r>
      <w:r w:rsidRPr="00E2514D">
        <w:rPr>
          <w:rFonts w:ascii="Times New Roman" w:hAnsi="Times New Roman" w:cs="Times New Roman"/>
          <w:sz w:val="20"/>
        </w:rPr>
        <w:t xml:space="preserve"> </w:t>
      </w:r>
      <w:r w:rsidRPr="00E2514D" w:rsidR="00C2122D">
        <w:rPr>
          <w:rFonts w:ascii="Times New Roman" w:hAnsi="Times New Roman" w:cs="Times New Roman"/>
          <w:sz w:val="20"/>
        </w:rPr>
        <w:t>U</w:t>
      </w:r>
      <w:r w:rsidRPr="00E2514D">
        <w:rPr>
          <w:rFonts w:ascii="Times New Roman" w:hAnsi="Times New Roman" w:cs="Times New Roman"/>
          <w:sz w:val="20"/>
        </w:rPr>
        <w:t xml:space="preserve">niform license renewal rules and policies that apply to </w:t>
      </w:r>
      <w:r w:rsidRPr="00E2514D" w:rsidR="00C61460">
        <w:rPr>
          <w:rFonts w:ascii="Times New Roman" w:hAnsi="Times New Roman" w:cs="Times New Roman"/>
          <w:sz w:val="20"/>
        </w:rPr>
        <w:t xml:space="preserve">Cellular Service and </w:t>
      </w:r>
      <w:r w:rsidRPr="00E2514D">
        <w:rPr>
          <w:rFonts w:ascii="Times New Roman" w:hAnsi="Times New Roman" w:cs="Times New Roman"/>
          <w:sz w:val="20"/>
        </w:rPr>
        <w:t>other WRS licensees</w:t>
      </w:r>
      <w:r w:rsidRPr="00E2514D" w:rsidR="00C2122D">
        <w:rPr>
          <w:rFonts w:ascii="Times New Roman" w:hAnsi="Times New Roman" w:cs="Times New Roman"/>
          <w:sz w:val="20"/>
        </w:rPr>
        <w:t xml:space="preserve"> were subsequently adopted by the Commission in the </w:t>
      </w:r>
      <w:r w:rsidRPr="00E2514D" w:rsidR="00C2122D">
        <w:rPr>
          <w:rFonts w:ascii="Times New Roman" w:hAnsi="Times New Roman" w:cs="Times New Roman"/>
          <w:i/>
          <w:sz w:val="20"/>
        </w:rPr>
        <w:t>WRS Second R&amp;O</w:t>
      </w:r>
      <w:r w:rsidRPr="00E2514D" w:rsidR="00C2122D">
        <w:rPr>
          <w:rFonts w:ascii="Times New Roman" w:hAnsi="Times New Roman" w:cs="Times New Roman"/>
          <w:sz w:val="20"/>
        </w:rPr>
        <w:t xml:space="preserve">.  </w:t>
      </w:r>
      <w:r w:rsidRPr="00E2514D" w:rsidR="00C2122D">
        <w:rPr>
          <w:rFonts w:ascii="Times New Roman" w:hAnsi="Times New Roman" w:cs="Times New Roman"/>
          <w:i/>
          <w:sz w:val="20"/>
        </w:rPr>
        <w:t>See id</w:t>
      </w:r>
      <w:r w:rsidRPr="00E2514D" w:rsidR="00C61460">
        <w:rPr>
          <w:rFonts w:ascii="Times New Roman" w:hAnsi="Times New Roman" w:cs="Times New Roman"/>
          <w:sz w:val="20"/>
        </w:rPr>
        <w:t>.</w:t>
      </w:r>
      <w:r w:rsidRPr="00E2514D">
        <w:rPr>
          <w:rFonts w:ascii="Times New Roman" w:hAnsi="Times New Roman" w:cs="Times New Roman"/>
          <w:sz w:val="20"/>
        </w:rPr>
        <w:t xml:space="preserve">  </w:t>
      </w:r>
    </w:p>
  </w:footnote>
  <w:footnote w:id="5">
    <w:p w:rsidR="00661463" w14:paraId="6A141FB4" w14:textId="30FCD4AC">
      <w:pPr>
        <w:pStyle w:val="FootnoteText"/>
      </w:pPr>
      <w:r w:rsidRPr="00E2514D">
        <w:rPr>
          <w:rStyle w:val="FootnoteReference"/>
        </w:rPr>
        <w:footnoteRef/>
      </w:r>
      <w:r w:rsidRPr="00E2514D">
        <w:t xml:space="preserve"> Only the new and modified reporting and recordkeeping requirements are discussed in this Section of the Guide.  Pre-existing requirements that are unchanged by the rules adopted in the </w:t>
      </w:r>
      <w:r w:rsidRPr="00E2514D">
        <w:rPr>
          <w:i/>
        </w:rPr>
        <w:t>Second R&amp;O</w:t>
      </w:r>
      <w:r w:rsidRPr="00E2514D">
        <w:t xml:space="preserve"> are not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14:paraId="690497D6" w14:textId="77777777"/>
  <w:p w:rsidR="00661463" w14:paraId="7041E18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116" w14:paraId="69F207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rsidRPr="00D535AF" w:rsidP="005140E6" w14:paraId="1E89C888" w14:textId="77777777">
    <w:pPr>
      <w:pStyle w:val="Header"/>
      <w:spacing w:after="0"/>
      <w:rPr>
        <w:b/>
      </w:rPr>
    </w:pPr>
    <w:r>
      <w:rPr>
        <w:b/>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6091915" r:id="rId2"/>
      </w:pict>
    </w:r>
    <w:r w:rsidRPr="00D535AF">
      <w:t>Federal Communications Commission</w:t>
    </w:r>
  </w:p>
  <w:p w:rsidR="00661463" w:rsidRPr="00D535AF" w:rsidP="005140E6" w14:paraId="42F83602" w14:textId="5FB4411D">
    <w:pPr>
      <w:pStyle w:val="Header"/>
      <w:spacing w:after="0"/>
      <w:rPr>
        <w:b/>
      </w:rPr>
    </w:pPr>
    <w:r w:rsidRPr="00D535AF">
      <w:t>Washington DC, 20554</w:t>
    </w:r>
  </w:p>
  <w:p w:rsidR="00661463" w:rsidRPr="00D535AF" w:rsidP="00110E16" w14:paraId="064C338D" w14:textId="77777777">
    <w:pPr>
      <w:tabs>
        <w:tab w:val="center" w:pos="4680"/>
        <w:tab w:val="left" w:pos="7665"/>
      </w:tabs>
      <w:jc w:val="both"/>
      <w:rPr>
        <w:rFonts w:ascii="Times New Roman" w:hAnsi="Times New Roman" w:cs="Times New Roman"/>
      </w:rPr>
    </w:pPr>
    <w:r w:rsidRPr="00D535AF">
      <w:rPr>
        <w:rFonts w:ascii="Times New Roman" w:hAnsi="Times New Roman" w:cs="Times New Roman"/>
      </w:rPr>
      <w:tab/>
    </w:r>
  </w:p>
  <w:p w:rsidR="00661463" w:rsidRPr="00D535AF" w:rsidP="00A26594" w14:paraId="69AE0CC1" w14:textId="76150845">
    <w:pPr>
      <w:tabs>
        <w:tab w:val="center" w:pos="4680"/>
        <w:tab w:val="left" w:pos="7665"/>
      </w:tabs>
      <w:jc w:val="center"/>
      <w:rPr>
        <w:rFonts w:ascii="Times New Roman" w:hAnsi="Times New Roman" w:cs="Times New Roman"/>
        <w:sz w:val="24"/>
        <w:szCs w:val="24"/>
      </w:rPr>
    </w:pPr>
    <w:r w:rsidRPr="00D535AF">
      <w:rPr>
        <w:rFonts w:ascii="Times New Roman" w:hAnsi="Times New Roman" w:cs="Times New Roman"/>
        <w:sz w:val="24"/>
        <w:szCs w:val="24"/>
      </w:rPr>
      <w:t>April</w:t>
    </w:r>
    <w:r w:rsidR="004E7349">
      <w:rPr>
        <w:rFonts w:ascii="Times New Roman" w:hAnsi="Times New Roman" w:cs="Times New Roman"/>
        <w:sz w:val="24"/>
        <w:szCs w:val="24"/>
      </w:rPr>
      <w:t xml:space="preserve"> 24</w:t>
    </w:r>
    <w:r w:rsidRPr="00D535AF">
      <w:rPr>
        <w:rFonts w:ascii="Times New Roman" w:hAnsi="Times New Roman" w:cs="Times New Roman"/>
        <w:sz w:val="24"/>
        <w:szCs w:val="24"/>
      </w:rPr>
      <w:t>,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rsidRPr="00BA054F" w:rsidP="00110E16" w14:paraId="4D65AA13" w14:textId="77777777">
    <w:pPr>
      <w:tabs>
        <w:tab w:val="center" w:pos="4680"/>
        <w:tab w:val="left" w:pos="7665"/>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9A07FE"/>
    <w:lvl w:ilvl="0">
      <w:start w:val="1"/>
      <w:numFmt w:val="decimal"/>
      <w:lvlText w:val="%1."/>
      <w:lvlJc w:val="left"/>
      <w:pPr>
        <w:tabs>
          <w:tab w:val="num" w:pos="1800"/>
        </w:tabs>
        <w:ind w:left="1800" w:hanging="360"/>
      </w:pPr>
    </w:lvl>
  </w:abstractNum>
  <w:abstractNum w:abstractNumId="1">
    <w:nsid w:val="FFFFFF7D"/>
    <w:multiLevelType w:val="singleLevel"/>
    <w:tmpl w:val="31F4C85C"/>
    <w:lvl w:ilvl="0">
      <w:start w:val="1"/>
      <w:numFmt w:val="decimal"/>
      <w:lvlText w:val="%1."/>
      <w:lvlJc w:val="left"/>
      <w:pPr>
        <w:tabs>
          <w:tab w:val="num" w:pos="1440"/>
        </w:tabs>
        <w:ind w:left="1440" w:hanging="360"/>
      </w:pPr>
    </w:lvl>
  </w:abstractNum>
  <w:abstractNum w:abstractNumId="2">
    <w:nsid w:val="FFFFFF7E"/>
    <w:multiLevelType w:val="singleLevel"/>
    <w:tmpl w:val="C4B4E58A"/>
    <w:lvl w:ilvl="0">
      <w:start w:val="1"/>
      <w:numFmt w:val="decimal"/>
      <w:lvlText w:val="%1."/>
      <w:lvlJc w:val="left"/>
      <w:pPr>
        <w:tabs>
          <w:tab w:val="num" w:pos="1080"/>
        </w:tabs>
        <w:ind w:left="1080" w:hanging="360"/>
      </w:pPr>
    </w:lvl>
  </w:abstractNum>
  <w:abstractNum w:abstractNumId="3">
    <w:nsid w:val="FFFFFF7F"/>
    <w:multiLevelType w:val="singleLevel"/>
    <w:tmpl w:val="38B601D6"/>
    <w:lvl w:ilvl="0">
      <w:start w:val="1"/>
      <w:numFmt w:val="decimal"/>
      <w:lvlText w:val="%1."/>
      <w:lvlJc w:val="left"/>
      <w:pPr>
        <w:tabs>
          <w:tab w:val="num" w:pos="720"/>
        </w:tabs>
        <w:ind w:left="720" w:hanging="360"/>
      </w:pPr>
    </w:lvl>
  </w:abstractNum>
  <w:abstractNum w:abstractNumId="4">
    <w:nsid w:val="FFFFFF80"/>
    <w:multiLevelType w:val="singleLevel"/>
    <w:tmpl w:val="E5884D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6A67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AA9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64EA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A20C26"/>
    <w:lvl w:ilvl="0">
      <w:start w:val="1"/>
      <w:numFmt w:val="decimal"/>
      <w:lvlText w:val="%1."/>
      <w:lvlJc w:val="left"/>
      <w:pPr>
        <w:tabs>
          <w:tab w:val="num" w:pos="360"/>
        </w:tabs>
        <w:ind w:left="360" w:hanging="360"/>
      </w:pPr>
    </w:lvl>
  </w:abstractNum>
  <w:abstractNum w:abstractNumId="9">
    <w:nsid w:val="FFFFFF89"/>
    <w:multiLevelType w:val="singleLevel"/>
    <w:tmpl w:val="36107DDA"/>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1C630CF"/>
    <w:multiLevelType w:val="hybridMultilevel"/>
    <w:tmpl w:val="F9FE22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FE6250"/>
    <w:multiLevelType w:val="hybridMultilevel"/>
    <w:tmpl w:val="B81ED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752DF4"/>
    <w:multiLevelType w:val="hybridMultilevel"/>
    <w:tmpl w:val="695A38A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6CF1921"/>
    <w:multiLevelType w:val="hybridMultilevel"/>
    <w:tmpl w:val="92CC1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395DB0"/>
    <w:multiLevelType w:val="hybridMultilevel"/>
    <w:tmpl w:val="8D1879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28D47FF0"/>
    <w:multiLevelType w:val="hybridMultilevel"/>
    <w:tmpl w:val="D82CBD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ECE4BF2"/>
    <w:multiLevelType w:val="hybridMultilevel"/>
    <w:tmpl w:val="378682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348094B"/>
    <w:multiLevelType w:val="hybridMultilevel"/>
    <w:tmpl w:val="74B23A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6A2ABE"/>
    <w:multiLevelType w:val="hybridMultilevel"/>
    <w:tmpl w:val="8F788A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60B75A0"/>
    <w:multiLevelType w:val="hybridMultilevel"/>
    <w:tmpl w:val="98B03B3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36FB72B7"/>
    <w:multiLevelType w:val="hybridMultilevel"/>
    <w:tmpl w:val="EADEC5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BC359F9"/>
    <w:multiLevelType w:val="hybridMultilevel"/>
    <w:tmpl w:val="74E860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3D72759D"/>
    <w:multiLevelType w:val="hybridMultilevel"/>
    <w:tmpl w:val="412213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47E6924"/>
    <w:multiLevelType w:val="hybridMultilevel"/>
    <w:tmpl w:val="9BB04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C41BD8"/>
    <w:multiLevelType w:val="hybridMultilevel"/>
    <w:tmpl w:val="AC8881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6B6B7F"/>
    <w:multiLevelType w:val="hybridMultilevel"/>
    <w:tmpl w:val="7974DA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D8F3BCB"/>
    <w:multiLevelType w:val="hybridMultilevel"/>
    <w:tmpl w:val="1E0AC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4E696800"/>
    <w:multiLevelType w:val="hybridMultilevel"/>
    <w:tmpl w:val="1B7A95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508E20F6"/>
    <w:multiLevelType w:val="hybridMultilevel"/>
    <w:tmpl w:val="C1A443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51EC048F"/>
    <w:multiLevelType w:val="hybridMultilevel"/>
    <w:tmpl w:val="465A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2AB2D54"/>
    <w:multiLevelType w:val="hybridMultilevel"/>
    <w:tmpl w:val="776CE6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DF42853"/>
    <w:multiLevelType w:val="hybridMultilevel"/>
    <w:tmpl w:val="414A14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5F63116F"/>
    <w:multiLevelType w:val="hybridMultilevel"/>
    <w:tmpl w:val="D9B22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FD4004C"/>
    <w:multiLevelType w:val="hybridMultilevel"/>
    <w:tmpl w:val="EEFE1A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1">
    <w:nsid w:val="639D5C91"/>
    <w:multiLevelType w:val="hybridMultilevel"/>
    <w:tmpl w:val="CB18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50E0E7D"/>
    <w:multiLevelType w:val="hybridMultilevel"/>
    <w:tmpl w:val="FC82B0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665A6785"/>
    <w:multiLevelType w:val="hybridMultilevel"/>
    <w:tmpl w:val="49FEF1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67736923"/>
    <w:multiLevelType w:val="hybridMultilevel"/>
    <w:tmpl w:val="72C2F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C072686"/>
    <w:multiLevelType w:val="hybridMultilevel"/>
    <w:tmpl w:val="3FB685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6D5D46A3"/>
    <w:multiLevelType w:val="hybridMultilevel"/>
    <w:tmpl w:val="51C437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6F7827B6"/>
    <w:multiLevelType w:val="hybridMultilevel"/>
    <w:tmpl w:val="74BCC5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123229E"/>
    <w:multiLevelType w:val="hybridMultilevel"/>
    <w:tmpl w:val="9BC2E1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9">
    <w:nsid w:val="71970851"/>
    <w:multiLevelType w:val="hybridMultilevel"/>
    <w:tmpl w:val="68E82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3C942D8"/>
    <w:multiLevelType w:val="hybridMultilevel"/>
    <w:tmpl w:val="3D008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75661211"/>
    <w:multiLevelType w:val="hybridMultilevel"/>
    <w:tmpl w:val="6E2C0B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78522EC4"/>
    <w:multiLevelType w:val="hybridMultilevel"/>
    <w:tmpl w:val="2CB2379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79E77588"/>
    <w:multiLevelType w:val="hybridMultilevel"/>
    <w:tmpl w:val="5CF0E9B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4">
    <w:nsid w:val="7B012997"/>
    <w:multiLevelType w:val="hybridMultilevel"/>
    <w:tmpl w:val="DE666D28"/>
    <w:lvl w:ilvl="0">
      <w:start w:val="2"/>
      <w:numFmt w:val="lowerLetter"/>
      <w:lvlText w:val="(%1)"/>
      <w:lvlJc w:val="left"/>
      <w:pPr>
        <w:ind w:left="888" w:hanging="360"/>
      </w:pPr>
      <w:rPr>
        <w:rFonts w:hint="default"/>
        <w:i w:val="0"/>
      </w:rPr>
    </w:lvl>
    <w:lvl w:ilvl="1">
      <w:start w:val="1"/>
      <w:numFmt w:val="decimal"/>
      <w:lvlText w:val="(%2)"/>
      <w:lvlJc w:val="left"/>
      <w:pPr>
        <w:ind w:left="1608" w:hanging="360"/>
      </w:pPr>
      <w:rPr>
        <w:rFonts w:ascii="Times New Roman" w:eastAsia="Calibri" w:hAnsi="Times New Roman" w:cs="Times New Roman"/>
      </w:rPr>
    </w:lvl>
    <w:lvl w:ilvl="2" w:tentative="1">
      <w:start w:val="1"/>
      <w:numFmt w:val="lowerRoman"/>
      <w:lvlText w:val="%3."/>
      <w:lvlJc w:val="right"/>
      <w:pPr>
        <w:ind w:left="2328" w:hanging="180"/>
      </w:pPr>
    </w:lvl>
    <w:lvl w:ilvl="3" w:tentative="1">
      <w:start w:val="1"/>
      <w:numFmt w:val="decimal"/>
      <w:lvlText w:val="%4."/>
      <w:lvlJc w:val="left"/>
      <w:pPr>
        <w:ind w:left="3048" w:hanging="360"/>
      </w:pPr>
    </w:lvl>
    <w:lvl w:ilvl="4" w:tentative="1">
      <w:start w:val="1"/>
      <w:numFmt w:val="lowerLetter"/>
      <w:lvlText w:val="%5."/>
      <w:lvlJc w:val="left"/>
      <w:pPr>
        <w:ind w:left="3768" w:hanging="360"/>
      </w:pPr>
    </w:lvl>
    <w:lvl w:ilvl="5" w:tentative="1">
      <w:start w:val="1"/>
      <w:numFmt w:val="lowerRoman"/>
      <w:lvlText w:val="%6."/>
      <w:lvlJc w:val="right"/>
      <w:pPr>
        <w:ind w:left="4488" w:hanging="180"/>
      </w:pPr>
    </w:lvl>
    <w:lvl w:ilvl="6" w:tentative="1">
      <w:start w:val="1"/>
      <w:numFmt w:val="decimal"/>
      <w:lvlText w:val="%7."/>
      <w:lvlJc w:val="left"/>
      <w:pPr>
        <w:ind w:left="5208" w:hanging="360"/>
      </w:pPr>
    </w:lvl>
    <w:lvl w:ilvl="7" w:tentative="1">
      <w:start w:val="1"/>
      <w:numFmt w:val="lowerLetter"/>
      <w:lvlText w:val="%8."/>
      <w:lvlJc w:val="left"/>
      <w:pPr>
        <w:ind w:left="5928" w:hanging="360"/>
      </w:pPr>
    </w:lvl>
    <w:lvl w:ilvl="8" w:tentative="1">
      <w:start w:val="1"/>
      <w:numFmt w:val="lowerRoman"/>
      <w:lvlText w:val="%9."/>
      <w:lvlJc w:val="right"/>
      <w:pPr>
        <w:ind w:left="6648" w:hanging="180"/>
      </w:pPr>
    </w:lvl>
  </w:abstractNum>
  <w:abstractNum w:abstractNumId="55">
    <w:nsid w:val="7D503DBE"/>
    <w:multiLevelType w:val="hybridMultilevel"/>
    <w:tmpl w:val="B8D452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7DAF7295"/>
    <w:multiLevelType w:val="hybridMultilevel"/>
    <w:tmpl w:val="309413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9"/>
  </w:num>
  <w:num w:numId="2">
    <w:abstractNumId w:val="40"/>
  </w:num>
  <w:num w:numId="3">
    <w:abstractNumId w:val="10"/>
  </w:num>
  <w:num w:numId="4">
    <w:abstractNumId w:val="52"/>
  </w:num>
  <w:num w:numId="5">
    <w:abstractNumId w:val="19"/>
  </w:num>
  <w:num w:numId="6">
    <w:abstractNumId w:val="19"/>
  </w:num>
  <w:num w:numId="7">
    <w:abstractNumId w:val="15"/>
  </w:num>
  <w:num w:numId="8">
    <w:abstractNumId w:val="32"/>
  </w:num>
  <w:num w:numId="9">
    <w:abstractNumId w:val="16"/>
  </w:num>
  <w:num w:numId="10">
    <w:abstractNumId w:val="12"/>
  </w:num>
  <w:num w:numId="11">
    <w:abstractNumId w:val="19"/>
  </w:num>
  <w:num w:numId="12">
    <w:abstractNumId w:val="1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8"/>
  </w:num>
  <w:num w:numId="25">
    <w:abstractNumId w:val="31"/>
  </w:num>
  <w:num w:numId="26">
    <w:abstractNumId w:val="53"/>
  </w:num>
  <w:num w:numId="27">
    <w:abstractNumId w:val="38"/>
  </w:num>
  <w:num w:numId="28">
    <w:abstractNumId w:val="14"/>
  </w:num>
  <w:num w:numId="29">
    <w:abstractNumId w:val="24"/>
  </w:num>
  <w:num w:numId="30">
    <w:abstractNumId w:val="18"/>
  </w:num>
  <w:num w:numId="31">
    <w:abstractNumId w:val="34"/>
  </w:num>
  <w:num w:numId="32">
    <w:abstractNumId w:val="27"/>
  </w:num>
  <w:num w:numId="33">
    <w:abstractNumId w:val="33"/>
  </w:num>
  <w:num w:numId="34">
    <w:abstractNumId w:val="51"/>
  </w:num>
  <w:num w:numId="35">
    <w:abstractNumId w:val="47"/>
  </w:num>
  <w:num w:numId="36">
    <w:abstractNumId w:val="37"/>
  </w:num>
  <w:num w:numId="37">
    <w:abstractNumId w:val="23"/>
  </w:num>
  <w:num w:numId="38">
    <w:abstractNumId w:val="26"/>
  </w:num>
  <w:num w:numId="39">
    <w:abstractNumId w:val="39"/>
  </w:num>
  <w:num w:numId="40">
    <w:abstractNumId w:val="25"/>
  </w:num>
  <w:num w:numId="41">
    <w:abstractNumId w:val="36"/>
  </w:num>
  <w:num w:numId="42">
    <w:abstractNumId w:val="20"/>
  </w:num>
  <w:num w:numId="43">
    <w:abstractNumId w:val="55"/>
  </w:num>
  <w:num w:numId="44">
    <w:abstractNumId w:val="42"/>
  </w:num>
  <w:num w:numId="45">
    <w:abstractNumId w:val="43"/>
  </w:num>
  <w:num w:numId="46">
    <w:abstractNumId w:val="56"/>
  </w:num>
  <w:num w:numId="47">
    <w:abstractNumId w:val="21"/>
  </w:num>
  <w:num w:numId="48">
    <w:abstractNumId w:val="50"/>
  </w:num>
  <w:num w:numId="49">
    <w:abstractNumId w:val="46"/>
  </w:num>
  <w:num w:numId="50">
    <w:abstractNumId w:val="41"/>
  </w:num>
  <w:num w:numId="51">
    <w:abstractNumId w:val="35"/>
  </w:num>
  <w:num w:numId="52">
    <w:abstractNumId w:val="22"/>
  </w:num>
  <w:num w:numId="53">
    <w:abstractNumId w:val="49"/>
  </w:num>
  <w:num w:numId="54">
    <w:abstractNumId w:val="44"/>
  </w:num>
  <w:num w:numId="55">
    <w:abstractNumId w:val="17"/>
  </w:num>
  <w:num w:numId="56">
    <w:abstractNumId w:val="28"/>
  </w:num>
  <w:num w:numId="57">
    <w:abstractNumId w:val="29"/>
  </w:num>
  <w:num w:numId="58">
    <w:abstractNumId w:val="13"/>
  </w:num>
  <w:num w:numId="59">
    <w:abstractNumId w:val="30"/>
  </w:num>
  <w:num w:numId="60">
    <w:abstractNumId w:val="11"/>
  </w:num>
  <w:num w:numId="61">
    <w:abstractNumId w:val="45"/>
  </w:num>
  <w:num w:numId="62">
    <w:abstractNumId w:val="54"/>
  </w:num>
  <w:num w:numId="63">
    <w:abstractNumId w:val="19"/>
  </w:num>
  <w:num w:numId="64">
    <w:abstractNumId w:val="40"/>
  </w:num>
  <w:num w:numId="65">
    <w:abstractNumId w:val="19"/>
  </w:num>
  <w:num w:numId="66">
    <w:abstractNumId w:val="40"/>
  </w:num>
  <w:num w:numId="67">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8F"/>
    <w:rsid w:val="00001C3C"/>
    <w:rsid w:val="0000263B"/>
    <w:rsid w:val="00002D3E"/>
    <w:rsid w:val="00003198"/>
    <w:rsid w:val="000040D6"/>
    <w:rsid w:val="00004488"/>
    <w:rsid w:val="000052E4"/>
    <w:rsid w:val="00006ECE"/>
    <w:rsid w:val="00010CCB"/>
    <w:rsid w:val="00012758"/>
    <w:rsid w:val="00013692"/>
    <w:rsid w:val="00013E57"/>
    <w:rsid w:val="000144DE"/>
    <w:rsid w:val="00014AFD"/>
    <w:rsid w:val="0001759E"/>
    <w:rsid w:val="000218B1"/>
    <w:rsid w:val="0002481F"/>
    <w:rsid w:val="000254C9"/>
    <w:rsid w:val="00025F97"/>
    <w:rsid w:val="00026893"/>
    <w:rsid w:val="000272B8"/>
    <w:rsid w:val="000273C2"/>
    <w:rsid w:val="00030497"/>
    <w:rsid w:val="00030A2C"/>
    <w:rsid w:val="000314BA"/>
    <w:rsid w:val="00031A62"/>
    <w:rsid w:val="00031F72"/>
    <w:rsid w:val="0003246A"/>
    <w:rsid w:val="00035E5D"/>
    <w:rsid w:val="0004199F"/>
    <w:rsid w:val="00041EBD"/>
    <w:rsid w:val="0004215A"/>
    <w:rsid w:val="0004220D"/>
    <w:rsid w:val="00044593"/>
    <w:rsid w:val="0004488B"/>
    <w:rsid w:val="0004540B"/>
    <w:rsid w:val="00045548"/>
    <w:rsid w:val="000455EE"/>
    <w:rsid w:val="00046ED8"/>
    <w:rsid w:val="000477C8"/>
    <w:rsid w:val="00050072"/>
    <w:rsid w:val="00051B00"/>
    <w:rsid w:val="00051CE1"/>
    <w:rsid w:val="0005323A"/>
    <w:rsid w:val="00053BF1"/>
    <w:rsid w:val="000546AF"/>
    <w:rsid w:val="000568AD"/>
    <w:rsid w:val="00063A75"/>
    <w:rsid w:val="00063F04"/>
    <w:rsid w:val="00064601"/>
    <w:rsid w:val="00064DD0"/>
    <w:rsid w:val="0006518E"/>
    <w:rsid w:val="00065D01"/>
    <w:rsid w:val="000667EF"/>
    <w:rsid w:val="00066B48"/>
    <w:rsid w:val="00066C19"/>
    <w:rsid w:val="00067683"/>
    <w:rsid w:val="00071E09"/>
    <w:rsid w:val="000726B3"/>
    <w:rsid w:val="00073EB6"/>
    <w:rsid w:val="00075A29"/>
    <w:rsid w:val="00075A31"/>
    <w:rsid w:val="0007632F"/>
    <w:rsid w:val="000767EF"/>
    <w:rsid w:val="00077306"/>
    <w:rsid w:val="0008036D"/>
    <w:rsid w:val="000812D7"/>
    <w:rsid w:val="0008131D"/>
    <w:rsid w:val="0008131F"/>
    <w:rsid w:val="000823FC"/>
    <w:rsid w:val="00082E59"/>
    <w:rsid w:val="00083EF1"/>
    <w:rsid w:val="000845C0"/>
    <w:rsid w:val="0008557B"/>
    <w:rsid w:val="00085C01"/>
    <w:rsid w:val="0008729B"/>
    <w:rsid w:val="00087F2D"/>
    <w:rsid w:val="00090888"/>
    <w:rsid w:val="00090BC8"/>
    <w:rsid w:val="000918C1"/>
    <w:rsid w:val="0009511A"/>
    <w:rsid w:val="00097870"/>
    <w:rsid w:val="00097874"/>
    <w:rsid w:val="000A18B5"/>
    <w:rsid w:val="000A2E8B"/>
    <w:rsid w:val="000A31F6"/>
    <w:rsid w:val="000A46F2"/>
    <w:rsid w:val="000A5054"/>
    <w:rsid w:val="000A51ED"/>
    <w:rsid w:val="000A66A4"/>
    <w:rsid w:val="000A6BBD"/>
    <w:rsid w:val="000B3690"/>
    <w:rsid w:val="000B3AA6"/>
    <w:rsid w:val="000B52D3"/>
    <w:rsid w:val="000B59E8"/>
    <w:rsid w:val="000B5BB6"/>
    <w:rsid w:val="000B71C8"/>
    <w:rsid w:val="000C038F"/>
    <w:rsid w:val="000C0704"/>
    <w:rsid w:val="000C1390"/>
    <w:rsid w:val="000C59F5"/>
    <w:rsid w:val="000C638B"/>
    <w:rsid w:val="000C6B79"/>
    <w:rsid w:val="000D1345"/>
    <w:rsid w:val="000D43AA"/>
    <w:rsid w:val="000D57F6"/>
    <w:rsid w:val="000D6632"/>
    <w:rsid w:val="000D6F4B"/>
    <w:rsid w:val="000E1C37"/>
    <w:rsid w:val="000E226B"/>
    <w:rsid w:val="000E3A05"/>
    <w:rsid w:val="000E3D4C"/>
    <w:rsid w:val="000E422A"/>
    <w:rsid w:val="000E6148"/>
    <w:rsid w:val="000E6E94"/>
    <w:rsid w:val="000F17D4"/>
    <w:rsid w:val="000F1EB2"/>
    <w:rsid w:val="000F481F"/>
    <w:rsid w:val="000F4E2C"/>
    <w:rsid w:val="000F4EF7"/>
    <w:rsid w:val="000F61C5"/>
    <w:rsid w:val="001001F5"/>
    <w:rsid w:val="00101090"/>
    <w:rsid w:val="00101704"/>
    <w:rsid w:val="00101A68"/>
    <w:rsid w:val="00101F7B"/>
    <w:rsid w:val="001022C1"/>
    <w:rsid w:val="00103CAF"/>
    <w:rsid w:val="001055EA"/>
    <w:rsid w:val="0010663C"/>
    <w:rsid w:val="00107410"/>
    <w:rsid w:val="00110E16"/>
    <w:rsid w:val="0011259C"/>
    <w:rsid w:val="001134EC"/>
    <w:rsid w:val="001179E0"/>
    <w:rsid w:val="00120791"/>
    <w:rsid w:val="00122830"/>
    <w:rsid w:val="00122B29"/>
    <w:rsid w:val="00122CA2"/>
    <w:rsid w:val="001233CD"/>
    <w:rsid w:val="00123C5D"/>
    <w:rsid w:val="0012619B"/>
    <w:rsid w:val="0013073A"/>
    <w:rsid w:val="00131BB0"/>
    <w:rsid w:val="0013325B"/>
    <w:rsid w:val="0013461D"/>
    <w:rsid w:val="00135D0E"/>
    <w:rsid w:val="0013643F"/>
    <w:rsid w:val="0014041F"/>
    <w:rsid w:val="00142B41"/>
    <w:rsid w:val="00142D0F"/>
    <w:rsid w:val="00142DB0"/>
    <w:rsid w:val="00143CD9"/>
    <w:rsid w:val="001467D5"/>
    <w:rsid w:val="0014735B"/>
    <w:rsid w:val="001477BE"/>
    <w:rsid w:val="001533CF"/>
    <w:rsid w:val="0015455C"/>
    <w:rsid w:val="0015544C"/>
    <w:rsid w:val="001558FB"/>
    <w:rsid w:val="001566A5"/>
    <w:rsid w:val="0015702A"/>
    <w:rsid w:val="001571F2"/>
    <w:rsid w:val="00157203"/>
    <w:rsid w:val="00157484"/>
    <w:rsid w:val="00157C77"/>
    <w:rsid w:val="00161155"/>
    <w:rsid w:val="00161FCB"/>
    <w:rsid w:val="001625D2"/>
    <w:rsid w:val="00162B0B"/>
    <w:rsid w:val="0016443B"/>
    <w:rsid w:val="001646F6"/>
    <w:rsid w:val="001649EB"/>
    <w:rsid w:val="00164BD9"/>
    <w:rsid w:val="00164C72"/>
    <w:rsid w:val="00164D3C"/>
    <w:rsid w:val="0016688F"/>
    <w:rsid w:val="00166D6C"/>
    <w:rsid w:val="00166FC0"/>
    <w:rsid w:val="001679A4"/>
    <w:rsid w:val="00167D68"/>
    <w:rsid w:val="00167EAA"/>
    <w:rsid w:val="001735DB"/>
    <w:rsid w:val="00174FA2"/>
    <w:rsid w:val="001766FE"/>
    <w:rsid w:val="00177274"/>
    <w:rsid w:val="0017789C"/>
    <w:rsid w:val="00180076"/>
    <w:rsid w:val="00180ED5"/>
    <w:rsid w:val="00181D29"/>
    <w:rsid w:val="00181EBF"/>
    <w:rsid w:val="00182956"/>
    <w:rsid w:val="00183191"/>
    <w:rsid w:val="00184D2B"/>
    <w:rsid w:val="00186D18"/>
    <w:rsid w:val="00187CB8"/>
    <w:rsid w:val="00192BF7"/>
    <w:rsid w:val="00193840"/>
    <w:rsid w:val="00195C13"/>
    <w:rsid w:val="00195C22"/>
    <w:rsid w:val="001A0353"/>
    <w:rsid w:val="001A0962"/>
    <w:rsid w:val="001A2C92"/>
    <w:rsid w:val="001A2EAE"/>
    <w:rsid w:val="001A39C2"/>
    <w:rsid w:val="001A4D82"/>
    <w:rsid w:val="001A5434"/>
    <w:rsid w:val="001A54AE"/>
    <w:rsid w:val="001A5969"/>
    <w:rsid w:val="001A59B6"/>
    <w:rsid w:val="001A6B31"/>
    <w:rsid w:val="001A71EB"/>
    <w:rsid w:val="001B0402"/>
    <w:rsid w:val="001B0976"/>
    <w:rsid w:val="001B0C06"/>
    <w:rsid w:val="001B1EA4"/>
    <w:rsid w:val="001B2063"/>
    <w:rsid w:val="001B27CA"/>
    <w:rsid w:val="001B2E2E"/>
    <w:rsid w:val="001B2F3C"/>
    <w:rsid w:val="001B3A10"/>
    <w:rsid w:val="001B3EEE"/>
    <w:rsid w:val="001B48C6"/>
    <w:rsid w:val="001B5119"/>
    <w:rsid w:val="001B5F86"/>
    <w:rsid w:val="001B6124"/>
    <w:rsid w:val="001C0468"/>
    <w:rsid w:val="001C0A96"/>
    <w:rsid w:val="001C20E1"/>
    <w:rsid w:val="001C40D7"/>
    <w:rsid w:val="001C4D1C"/>
    <w:rsid w:val="001C62BF"/>
    <w:rsid w:val="001C77DD"/>
    <w:rsid w:val="001D1BC4"/>
    <w:rsid w:val="001D1C6D"/>
    <w:rsid w:val="001D2AF4"/>
    <w:rsid w:val="001D2D4A"/>
    <w:rsid w:val="001D3FAB"/>
    <w:rsid w:val="001D48E4"/>
    <w:rsid w:val="001D6122"/>
    <w:rsid w:val="001D675E"/>
    <w:rsid w:val="001D6B8C"/>
    <w:rsid w:val="001D7A15"/>
    <w:rsid w:val="001D7A62"/>
    <w:rsid w:val="001E076D"/>
    <w:rsid w:val="001E0C4A"/>
    <w:rsid w:val="001E1F79"/>
    <w:rsid w:val="001E2800"/>
    <w:rsid w:val="001E2DCF"/>
    <w:rsid w:val="001E3113"/>
    <w:rsid w:val="001E3339"/>
    <w:rsid w:val="001E3576"/>
    <w:rsid w:val="001E364B"/>
    <w:rsid w:val="001E4079"/>
    <w:rsid w:val="001E4E01"/>
    <w:rsid w:val="001E68E9"/>
    <w:rsid w:val="001E71A9"/>
    <w:rsid w:val="001E7FAF"/>
    <w:rsid w:val="001F0056"/>
    <w:rsid w:val="001F0A3E"/>
    <w:rsid w:val="001F124F"/>
    <w:rsid w:val="001F17AC"/>
    <w:rsid w:val="001F1B8E"/>
    <w:rsid w:val="001F1BAC"/>
    <w:rsid w:val="001F1DA7"/>
    <w:rsid w:val="001F5C2F"/>
    <w:rsid w:val="001F5D33"/>
    <w:rsid w:val="001F6489"/>
    <w:rsid w:val="001F64DD"/>
    <w:rsid w:val="001F661E"/>
    <w:rsid w:val="001F67CA"/>
    <w:rsid w:val="001F6BAD"/>
    <w:rsid w:val="001F6F87"/>
    <w:rsid w:val="00202C66"/>
    <w:rsid w:val="002039ED"/>
    <w:rsid w:val="00207B56"/>
    <w:rsid w:val="0021019B"/>
    <w:rsid w:val="00211C8D"/>
    <w:rsid w:val="00212115"/>
    <w:rsid w:val="002133F9"/>
    <w:rsid w:val="00213D8C"/>
    <w:rsid w:val="00214E03"/>
    <w:rsid w:val="002153B2"/>
    <w:rsid w:val="00216D06"/>
    <w:rsid w:val="00220DC4"/>
    <w:rsid w:val="00222A68"/>
    <w:rsid w:val="00222F1E"/>
    <w:rsid w:val="00223546"/>
    <w:rsid w:val="00223738"/>
    <w:rsid w:val="00223D60"/>
    <w:rsid w:val="00224532"/>
    <w:rsid w:val="00224940"/>
    <w:rsid w:val="002253F1"/>
    <w:rsid w:val="0022541B"/>
    <w:rsid w:val="002254C6"/>
    <w:rsid w:val="00225FD8"/>
    <w:rsid w:val="002261EF"/>
    <w:rsid w:val="00226E98"/>
    <w:rsid w:val="0023042D"/>
    <w:rsid w:val="00232C30"/>
    <w:rsid w:val="00233935"/>
    <w:rsid w:val="002343D8"/>
    <w:rsid w:val="00235922"/>
    <w:rsid w:val="00235F96"/>
    <w:rsid w:val="00236073"/>
    <w:rsid w:val="0023683B"/>
    <w:rsid w:val="00237BC3"/>
    <w:rsid w:val="00240875"/>
    <w:rsid w:val="00243085"/>
    <w:rsid w:val="002430B6"/>
    <w:rsid w:val="0024454D"/>
    <w:rsid w:val="002448A3"/>
    <w:rsid w:val="00250C7A"/>
    <w:rsid w:val="00250E4F"/>
    <w:rsid w:val="00250F94"/>
    <w:rsid w:val="002517DE"/>
    <w:rsid w:val="00251D10"/>
    <w:rsid w:val="00251ED5"/>
    <w:rsid w:val="00252166"/>
    <w:rsid w:val="00252A34"/>
    <w:rsid w:val="00254025"/>
    <w:rsid w:val="0025596D"/>
    <w:rsid w:val="00255C55"/>
    <w:rsid w:val="00256073"/>
    <w:rsid w:val="002560AA"/>
    <w:rsid w:val="0025761C"/>
    <w:rsid w:val="002606EC"/>
    <w:rsid w:val="002614A2"/>
    <w:rsid w:val="00261CAE"/>
    <w:rsid w:val="002628D1"/>
    <w:rsid w:val="00264E42"/>
    <w:rsid w:val="0026582E"/>
    <w:rsid w:val="00266C57"/>
    <w:rsid w:val="00266E9B"/>
    <w:rsid w:val="00267B49"/>
    <w:rsid w:val="00267CBA"/>
    <w:rsid w:val="002707FE"/>
    <w:rsid w:val="00272AE8"/>
    <w:rsid w:val="00272B06"/>
    <w:rsid w:val="00274B11"/>
    <w:rsid w:val="00275593"/>
    <w:rsid w:val="002808E1"/>
    <w:rsid w:val="002811CA"/>
    <w:rsid w:val="00281F59"/>
    <w:rsid w:val="0028361F"/>
    <w:rsid w:val="0028406B"/>
    <w:rsid w:val="0028476C"/>
    <w:rsid w:val="002854E8"/>
    <w:rsid w:val="002856EF"/>
    <w:rsid w:val="00285E3A"/>
    <w:rsid w:val="00285F63"/>
    <w:rsid w:val="00286AB2"/>
    <w:rsid w:val="00286F54"/>
    <w:rsid w:val="00287CE8"/>
    <w:rsid w:val="0029177D"/>
    <w:rsid w:val="002924D0"/>
    <w:rsid w:val="00292517"/>
    <w:rsid w:val="00292861"/>
    <w:rsid w:val="00293119"/>
    <w:rsid w:val="00293445"/>
    <w:rsid w:val="00293A2E"/>
    <w:rsid w:val="002964FF"/>
    <w:rsid w:val="00296694"/>
    <w:rsid w:val="00296979"/>
    <w:rsid w:val="002972FB"/>
    <w:rsid w:val="00297799"/>
    <w:rsid w:val="002A1949"/>
    <w:rsid w:val="002A1B5A"/>
    <w:rsid w:val="002A1EA4"/>
    <w:rsid w:val="002A2415"/>
    <w:rsid w:val="002A52C0"/>
    <w:rsid w:val="002A58C4"/>
    <w:rsid w:val="002A624E"/>
    <w:rsid w:val="002B02E0"/>
    <w:rsid w:val="002B14B3"/>
    <w:rsid w:val="002B207B"/>
    <w:rsid w:val="002B26D5"/>
    <w:rsid w:val="002B3FDB"/>
    <w:rsid w:val="002B4126"/>
    <w:rsid w:val="002B4334"/>
    <w:rsid w:val="002B4CAB"/>
    <w:rsid w:val="002B595C"/>
    <w:rsid w:val="002B5A4A"/>
    <w:rsid w:val="002B72F0"/>
    <w:rsid w:val="002C0684"/>
    <w:rsid w:val="002C1D21"/>
    <w:rsid w:val="002C2BBD"/>
    <w:rsid w:val="002C31C5"/>
    <w:rsid w:val="002C3A0B"/>
    <w:rsid w:val="002C5484"/>
    <w:rsid w:val="002C5E5A"/>
    <w:rsid w:val="002C7242"/>
    <w:rsid w:val="002D0328"/>
    <w:rsid w:val="002D05AC"/>
    <w:rsid w:val="002D0B43"/>
    <w:rsid w:val="002D0CAE"/>
    <w:rsid w:val="002D389A"/>
    <w:rsid w:val="002D4965"/>
    <w:rsid w:val="002D5A47"/>
    <w:rsid w:val="002D75E5"/>
    <w:rsid w:val="002E0DA9"/>
    <w:rsid w:val="002E3FD0"/>
    <w:rsid w:val="002E4C2D"/>
    <w:rsid w:val="002E53B5"/>
    <w:rsid w:val="002E6EE5"/>
    <w:rsid w:val="002F12FD"/>
    <w:rsid w:val="002F1335"/>
    <w:rsid w:val="002F153D"/>
    <w:rsid w:val="002F198C"/>
    <w:rsid w:val="002F2A7F"/>
    <w:rsid w:val="002F55D2"/>
    <w:rsid w:val="002F65CF"/>
    <w:rsid w:val="002F6A72"/>
    <w:rsid w:val="002F7837"/>
    <w:rsid w:val="00300562"/>
    <w:rsid w:val="003019CA"/>
    <w:rsid w:val="00303EFA"/>
    <w:rsid w:val="0030625C"/>
    <w:rsid w:val="00307688"/>
    <w:rsid w:val="00307F7C"/>
    <w:rsid w:val="0031000F"/>
    <w:rsid w:val="00313608"/>
    <w:rsid w:val="00314BFA"/>
    <w:rsid w:val="0031592C"/>
    <w:rsid w:val="00315CEB"/>
    <w:rsid w:val="003160F9"/>
    <w:rsid w:val="00316E52"/>
    <w:rsid w:val="003210D7"/>
    <w:rsid w:val="003211BF"/>
    <w:rsid w:val="00321686"/>
    <w:rsid w:val="0032286B"/>
    <w:rsid w:val="00323ECC"/>
    <w:rsid w:val="00324782"/>
    <w:rsid w:val="00324D76"/>
    <w:rsid w:val="0032629F"/>
    <w:rsid w:val="0032695A"/>
    <w:rsid w:val="00327D6B"/>
    <w:rsid w:val="00327F3C"/>
    <w:rsid w:val="00330743"/>
    <w:rsid w:val="003318E0"/>
    <w:rsid w:val="00331B77"/>
    <w:rsid w:val="00333E75"/>
    <w:rsid w:val="00333ED3"/>
    <w:rsid w:val="00334352"/>
    <w:rsid w:val="00334495"/>
    <w:rsid w:val="0033509F"/>
    <w:rsid w:val="00335939"/>
    <w:rsid w:val="0033605C"/>
    <w:rsid w:val="0033776F"/>
    <w:rsid w:val="0034071F"/>
    <w:rsid w:val="00340A10"/>
    <w:rsid w:val="00342A30"/>
    <w:rsid w:val="00343655"/>
    <w:rsid w:val="00343B4C"/>
    <w:rsid w:val="0034421B"/>
    <w:rsid w:val="00344348"/>
    <w:rsid w:val="00345BBA"/>
    <w:rsid w:val="003467DE"/>
    <w:rsid w:val="00346CA6"/>
    <w:rsid w:val="00346F60"/>
    <w:rsid w:val="00347120"/>
    <w:rsid w:val="00350B99"/>
    <w:rsid w:val="00351560"/>
    <w:rsid w:val="003520A4"/>
    <w:rsid w:val="00352E77"/>
    <w:rsid w:val="00353B19"/>
    <w:rsid w:val="003555D8"/>
    <w:rsid w:val="0035639F"/>
    <w:rsid w:val="003566B5"/>
    <w:rsid w:val="00356749"/>
    <w:rsid w:val="003601FB"/>
    <w:rsid w:val="00361A6C"/>
    <w:rsid w:val="003623FD"/>
    <w:rsid w:val="00363324"/>
    <w:rsid w:val="00363AA0"/>
    <w:rsid w:val="003642F4"/>
    <w:rsid w:val="003647BF"/>
    <w:rsid w:val="00364DFE"/>
    <w:rsid w:val="00366902"/>
    <w:rsid w:val="00367C56"/>
    <w:rsid w:val="00367DA5"/>
    <w:rsid w:val="0037027D"/>
    <w:rsid w:val="0037033F"/>
    <w:rsid w:val="0037080C"/>
    <w:rsid w:val="00370AD4"/>
    <w:rsid w:val="003720CF"/>
    <w:rsid w:val="003723F5"/>
    <w:rsid w:val="00374787"/>
    <w:rsid w:val="00374DEA"/>
    <w:rsid w:val="003760B9"/>
    <w:rsid w:val="00376921"/>
    <w:rsid w:val="00376E37"/>
    <w:rsid w:val="00380296"/>
    <w:rsid w:val="0038074E"/>
    <w:rsid w:val="00384012"/>
    <w:rsid w:val="0038541C"/>
    <w:rsid w:val="0038674C"/>
    <w:rsid w:val="0039097D"/>
    <w:rsid w:val="00392CA1"/>
    <w:rsid w:val="00393E3D"/>
    <w:rsid w:val="00394519"/>
    <w:rsid w:val="003948F2"/>
    <w:rsid w:val="00394BCB"/>
    <w:rsid w:val="00395ABF"/>
    <w:rsid w:val="00395C4C"/>
    <w:rsid w:val="00396F6C"/>
    <w:rsid w:val="003A12B3"/>
    <w:rsid w:val="003A174E"/>
    <w:rsid w:val="003A1BC2"/>
    <w:rsid w:val="003A1EF8"/>
    <w:rsid w:val="003A2049"/>
    <w:rsid w:val="003A2580"/>
    <w:rsid w:val="003A25D4"/>
    <w:rsid w:val="003A3B56"/>
    <w:rsid w:val="003A3E34"/>
    <w:rsid w:val="003A69E5"/>
    <w:rsid w:val="003B0D71"/>
    <w:rsid w:val="003B0EFD"/>
    <w:rsid w:val="003B11A7"/>
    <w:rsid w:val="003B1580"/>
    <w:rsid w:val="003B159D"/>
    <w:rsid w:val="003B1BE9"/>
    <w:rsid w:val="003B267F"/>
    <w:rsid w:val="003B38AE"/>
    <w:rsid w:val="003B39EF"/>
    <w:rsid w:val="003B4602"/>
    <w:rsid w:val="003B483D"/>
    <w:rsid w:val="003B4C6B"/>
    <w:rsid w:val="003B6B1B"/>
    <w:rsid w:val="003B6CB5"/>
    <w:rsid w:val="003B7FA1"/>
    <w:rsid w:val="003C034A"/>
    <w:rsid w:val="003C1D33"/>
    <w:rsid w:val="003C1E72"/>
    <w:rsid w:val="003C246D"/>
    <w:rsid w:val="003C28A6"/>
    <w:rsid w:val="003C2B5A"/>
    <w:rsid w:val="003C3E5F"/>
    <w:rsid w:val="003C4793"/>
    <w:rsid w:val="003C4815"/>
    <w:rsid w:val="003C5046"/>
    <w:rsid w:val="003C5D09"/>
    <w:rsid w:val="003C76FD"/>
    <w:rsid w:val="003D27B5"/>
    <w:rsid w:val="003D2A9F"/>
    <w:rsid w:val="003D2D23"/>
    <w:rsid w:val="003D3229"/>
    <w:rsid w:val="003D355E"/>
    <w:rsid w:val="003D357B"/>
    <w:rsid w:val="003D35D9"/>
    <w:rsid w:val="003D44C1"/>
    <w:rsid w:val="003D508D"/>
    <w:rsid w:val="003D5738"/>
    <w:rsid w:val="003D78DC"/>
    <w:rsid w:val="003D7B64"/>
    <w:rsid w:val="003E0449"/>
    <w:rsid w:val="003E1C23"/>
    <w:rsid w:val="003E1FB6"/>
    <w:rsid w:val="003E24BF"/>
    <w:rsid w:val="003E35B9"/>
    <w:rsid w:val="003E4035"/>
    <w:rsid w:val="003E7765"/>
    <w:rsid w:val="003E7AA7"/>
    <w:rsid w:val="003F0241"/>
    <w:rsid w:val="003F0F74"/>
    <w:rsid w:val="003F23BD"/>
    <w:rsid w:val="003F2E33"/>
    <w:rsid w:val="003F3ACF"/>
    <w:rsid w:val="003F44B6"/>
    <w:rsid w:val="003F467B"/>
    <w:rsid w:val="003F4A6C"/>
    <w:rsid w:val="003F55A0"/>
    <w:rsid w:val="003F5B00"/>
    <w:rsid w:val="003F5C2E"/>
    <w:rsid w:val="00401505"/>
    <w:rsid w:val="00402652"/>
    <w:rsid w:val="0041154E"/>
    <w:rsid w:val="0041244C"/>
    <w:rsid w:val="00414693"/>
    <w:rsid w:val="0041471B"/>
    <w:rsid w:val="00415795"/>
    <w:rsid w:val="00415EDA"/>
    <w:rsid w:val="004167D7"/>
    <w:rsid w:val="00417628"/>
    <w:rsid w:val="00420C9E"/>
    <w:rsid w:val="00421177"/>
    <w:rsid w:val="0042136E"/>
    <w:rsid w:val="004219AA"/>
    <w:rsid w:val="00421F67"/>
    <w:rsid w:val="00422F46"/>
    <w:rsid w:val="0042406A"/>
    <w:rsid w:val="00424723"/>
    <w:rsid w:val="0042529D"/>
    <w:rsid w:val="00427D4F"/>
    <w:rsid w:val="00427E41"/>
    <w:rsid w:val="004300C1"/>
    <w:rsid w:val="00430EF8"/>
    <w:rsid w:val="00431336"/>
    <w:rsid w:val="0043237D"/>
    <w:rsid w:val="00432737"/>
    <w:rsid w:val="004335E9"/>
    <w:rsid w:val="00433790"/>
    <w:rsid w:val="00434DD0"/>
    <w:rsid w:val="004369B3"/>
    <w:rsid w:val="0043721F"/>
    <w:rsid w:val="004378F1"/>
    <w:rsid w:val="00441049"/>
    <w:rsid w:val="0044152C"/>
    <w:rsid w:val="00442757"/>
    <w:rsid w:val="0044606E"/>
    <w:rsid w:val="004464B8"/>
    <w:rsid w:val="004469E2"/>
    <w:rsid w:val="00446BB5"/>
    <w:rsid w:val="00447DEF"/>
    <w:rsid w:val="00451B12"/>
    <w:rsid w:val="0045262A"/>
    <w:rsid w:val="00452ADC"/>
    <w:rsid w:val="00452BCF"/>
    <w:rsid w:val="00452EA3"/>
    <w:rsid w:val="0045360C"/>
    <w:rsid w:val="004536B9"/>
    <w:rsid w:val="00453F0E"/>
    <w:rsid w:val="00455994"/>
    <w:rsid w:val="00455B83"/>
    <w:rsid w:val="00456D69"/>
    <w:rsid w:val="004578E0"/>
    <w:rsid w:val="00457C45"/>
    <w:rsid w:val="004607B3"/>
    <w:rsid w:val="00460EB9"/>
    <w:rsid w:val="00460F8C"/>
    <w:rsid w:val="0046106E"/>
    <w:rsid w:val="00461879"/>
    <w:rsid w:val="00461B2F"/>
    <w:rsid w:val="00464401"/>
    <w:rsid w:val="004663DF"/>
    <w:rsid w:val="0046662B"/>
    <w:rsid w:val="004670B3"/>
    <w:rsid w:val="00467825"/>
    <w:rsid w:val="00470ACC"/>
    <w:rsid w:val="00470D2D"/>
    <w:rsid w:val="00474A6C"/>
    <w:rsid w:val="00475C21"/>
    <w:rsid w:val="00475EFD"/>
    <w:rsid w:val="0047655F"/>
    <w:rsid w:val="004768D2"/>
    <w:rsid w:val="00476E57"/>
    <w:rsid w:val="00477220"/>
    <w:rsid w:val="0047762D"/>
    <w:rsid w:val="00481169"/>
    <w:rsid w:val="0048489D"/>
    <w:rsid w:val="004855D0"/>
    <w:rsid w:val="0048580A"/>
    <w:rsid w:val="00487D69"/>
    <w:rsid w:val="004901B6"/>
    <w:rsid w:val="00490848"/>
    <w:rsid w:val="00490BE1"/>
    <w:rsid w:val="00490C58"/>
    <w:rsid w:val="004918AD"/>
    <w:rsid w:val="00492191"/>
    <w:rsid w:val="00492CA1"/>
    <w:rsid w:val="00492EC9"/>
    <w:rsid w:val="0049306B"/>
    <w:rsid w:val="00494142"/>
    <w:rsid w:val="004950CE"/>
    <w:rsid w:val="00495132"/>
    <w:rsid w:val="004952CF"/>
    <w:rsid w:val="00495B73"/>
    <w:rsid w:val="00496FB3"/>
    <w:rsid w:val="00497657"/>
    <w:rsid w:val="00497E5C"/>
    <w:rsid w:val="004A017A"/>
    <w:rsid w:val="004A054B"/>
    <w:rsid w:val="004A068C"/>
    <w:rsid w:val="004A1259"/>
    <w:rsid w:val="004A318F"/>
    <w:rsid w:val="004A31B6"/>
    <w:rsid w:val="004A3C58"/>
    <w:rsid w:val="004A6062"/>
    <w:rsid w:val="004A6117"/>
    <w:rsid w:val="004A6629"/>
    <w:rsid w:val="004A735A"/>
    <w:rsid w:val="004B1558"/>
    <w:rsid w:val="004B233A"/>
    <w:rsid w:val="004B3535"/>
    <w:rsid w:val="004B3EA5"/>
    <w:rsid w:val="004B4B4C"/>
    <w:rsid w:val="004B66A4"/>
    <w:rsid w:val="004B6C55"/>
    <w:rsid w:val="004B758D"/>
    <w:rsid w:val="004C274D"/>
    <w:rsid w:val="004C2E7C"/>
    <w:rsid w:val="004C3EDC"/>
    <w:rsid w:val="004C474F"/>
    <w:rsid w:val="004C4D77"/>
    <w:rsid w:val="004D00EF"/>
    <w:rsid w:val="004D084B"/>
    <w:rsid w:val="004D195A"/>
    <w:rsid w:val="004D1A7E"/>
    <w:rsid w:val="004D244A"/>
    <w:rsid w:val="004D2A77"/>
    <w:rsid w:val="004D3352"/>
    <w:rsid w:val="004D3D68"/>
    <w:rsid w:val="004D48D3"/>
    <w:rsid w:val="004D5ADC"/>
    <w:rsid w:val="004D6607"/>
    <w:rsid w:val="004D7B0C"/>
    <w:rsid w:val="004E0B7A"/>
    <w:rsid w:val="004E234A"/>
    <w:rsid w:val="004E3B22"/>
    <w:rsid w:val="004E3DBA"/>
    <w:rsid w:val="004E4162"/>
    <w:rsid w:val="004E43FA"/>
    <w:rsid w:val="004E4966"/>
    <w:rsid w:val="004E4D86"/>
    <w:rsid w:val="004E50F1"/>
    <w:rsid w:val="004E7349"/>
    <w:rsid w:val="004E76CC"/>
    <w:rsid w:val="004E7C56"/>
    <w:rsid w:val="004E7CA5"/>
    <w:rsid w:val="004F0254"/>
    <w:rsid w:val="004F0C8B"/>
    <w:rsid w:val="004F2B24"/>
    <w:rsid w:val="004F2BA3"/>
    <w:rsid w:val="004F4A40"/>
    <w:rsid w:val="004F5471"/>
    <w:rsid w:val="004F5474"/>
    <w:rsid w:val="004F588C"/>
    <w:rsid w:val="004F5895"/>
    <w:rsid w:val="004F59C5"/>
    <w:rsid w:val="004F71BA"/>
    <w:rsid w:val="004F7788"/>
    <w:rsid w:val="005004DE"/>
    <w:rsid w:val="00501AFC"/>
    <w:rsid w:val="0050488E"/>
    <w:rsid w:val="00505305"/>
    <w:rsid w:val="00505EDB"/>
    <w:rsid w:val="00505FAA"/>
    <w:rsid w:val="0051042C"/>
    <w:rsid w:val="00513D98"/>
    <w:rsid w:val="005140E6"/>
    <w:rsid w:val="00514195"/>
    <w:rsid w:val="005150E6"/>
    <w:rsid w:val="00515576"/>
    <w:rsid w:val="005165CC"/>
    <w:rsid w:val="00516D35"/>
    <w:rsid w:val="00516F39"/>
    <w:rsid w:val="00517B62"/>
    <w:rsid w:val="0052108C"/>
    <w:rsid w:val="00521142"/>
    <w:rsid w:val="005211A3"/>
    <w:rsid w:val="005212B0"/>
    <w:rsid w:val="00521FFF"/>
    <w:rsid w:val="005221E1"/>
    <w:rsid w:val="00523C6E"/>
    <w:rsid w:val="00523C72"/>
    <w:rsid w:val="005275A0"/>
    <w:rsid w:val="00527707"/>
    <w:rsid w:val="00527A8C"/>
    <w:rsid w:val="0053175E"/>
    <w:rsid w:val="00532916"/>
    <w:rsid w:val="005334AC"/>
    <w:rsid w:val="00533590"/>
    <w:rsid w:val="00534E88"/>
    <w:rsid w:val="0053532C"/>
    <w:rsid w:val="0053567B"/>
    <w:rsid w:val="005363C6"/>
    <w:rsid w:val="005365F2"/>
    <w:rsid w:val="00537103"/>
    <w:rsid w:val="005408BB"/>
    <w:rsid w:val="005416C7"/>
    <w:rsid w:val="0054301C"/>
    <w:rsid w:val="00546BE1"/>
    <w:rsid w:val="005478BB"/>
    <w:rsid w:val="005478D5"/>
    <w:rsid w:val="005479DB"/>
    <w:rsid w:val="00550E69"/>
    <w:rsid w:val="00551AD6"/>
    <w:rsid w:val="00552FDD"/>
    <w:rsid w:val="0055333B"/>
    <w:rsid w:val="00554785"/>
    <w:rsid w:val="0055580B"/>
    <w:rsid w:val="005577FE"/>
    <w:rsid w:val="0056248F"/>
    <w:rsid w:val="00562DA2"/>
    <w:rsid w:val="00562F09"/>
    <w:rsid w:val="00563E11"/>
    <w:rsid w:val="005653FF"/>
    <w:rsid w:val="00565D50"/>
    <w:rsid w:val="0056687B"/>
    <w:rsid w:val="005677FB"/>
    <w:rsid w:val="00567C5E"/>
    <w:rsid w:val="00572E49"/>
    <w:rsid w:val="0057331F"/>
    <w:rsid w:val="005736D4"/>
    <w:rsid w:val="00573D32"/>
    <w:rsid w:val="00576595"/>
    <w:rsid w:val="00577603"/>
    <w:rsid w:val="00577982"/>
    <w:rsid w:val="00581327"/>
    <w:rsid w:val="005814C7"/>
    <w:rsid w:val="0058282E"/>
    <w:rsid w:val="00584892"/>
    <w:rsid w:val="00585535"/>
    <w:rsid w:val="00585AE2"/>
    <w:rsid w:val="0059117A"/>
    <w:rsid w:val="0059162E"/>
    <w:rsid w:val="00591EE6"/>
    <w:rsid w:val="00594754"/>
    <w:rsid w:val="00594849"/>
    <w:rsid w:val="00595950"/>
    <w:rsid w:val="005961FE"/>
    <w:rsid w:val="00596467"/>
    <w:rsid w:val="005964AA"/>
    <w:rsid w:val="0059659F"/>
    <w:rsid w:val="0059717E"/>
    <w:rsid w:val="00597C9D"/>
    <w:rsid w:val="005A055B"/>
    <w:rsid w:val="005A0945"/>
    <w:rsid w:val="005A2218"/>
    <w:rsid w:val="005A28E0"/>
    <w:rsid w:val="005A2AD3"/>
    <w:rsid w:val="005A4363"/>
    <w:rsid w:val="005A65DC"/>
    <w:rsid w:val="005A6EC3"/>
    <w:rsid w:val="005A76F1"/>
    <w:rsid w:val="005A7E86"/>
    <w:rsid w:val="005B0053"/>
    <w:rsid w:val="005B0371"/>
    <w:rsid w:val="005B0884"/>
    <w:rsid w:val="005B0D0C"/>
    <w:rsid w:val="005B1494"/>
    <w:rsid w:val="005B2A96"/>
    <w:rsid w:val="005B2BF3"/>
    <w:rsid w:val="005B3554"/>
    <w:rsid w:val="005B3A77"/>
    <w:rsid w:val="005B528D"/>
    <w:rsid w:val="005B613B"/>
    <w:rsid w:val="005C3CFD"/>
    <w:rsid w:val="005C54CE"/>
    <w:rsid w:val="005C58BB"/>
    <w:rsid w:val="005C5D73"/>
    <w:rsid w:val="005C7448"/>
    <w:rsid w:val="005C7ACF"/>
    <w:rsid w:val="005C7EA7"/>
    <w:rsid w:val="005D00CE"/>
    <w:rsid w:val="005D1EAD"/>
    <w:rsid w:val="005D1FCE"/>
    <w:rsid w:val="005D25CD"/>
    <w:rsid w:val="005D29EB"/>
    <w:rsid w:val="005D2B42"/>
    <w:rsid w:val="005D3232"/>
    <w:rsid w:val="005D36FA"/>
    <w:rsid w:val="005D380C"/>
    <w:rsid w:val="005D3B18"/>
    <w:rsid w:val="005D3DBB"/>
    <w:rsid w:val="005D4844"/>
    <w:rsid w:val="005D7F5A"/>
    <w:rsid w:val="005E0F58"/>
    <w:rsid w:val="005E10E4"/>
    <w:rsid w:val="005E2C65"/>
    <w:rsid w:val="005E32E4"/>
    <w:rsid w:val="005E3610"/>
    <w:rsid w:val="005E507E"/>
    <w:rsid w:val="005E5604"/>
    <w:rsid w:val="005E5B3F"/>
    <w:rsid w:val="005E6226"/>
    <w:rsid w:val="005E6583"/>
    <w:rsid w:val="005F1840"/>
    <w:rsid w:val="005F2C58"/>
    <w:rsid w:val="005F2D49"/>
    <w:rsid w:val="005F3B42"/>
    <w:rsid w:val="005F3FAA"/>
    <w:rsid w:val="005F6CAE"/>
    <w:rsid w:val="005F6FAC"/>
    <w:rsid w:val="005F70C6"/>
    <w:rsid w:val="005F7C11"/>
    <w:rsid w:val="00601C22"/>
    <w:rsid w:val="00601C87"/>
    <w:rsid w:val="00602160"/>
    <w:rsid w:val="0060241E"/>
    <w:rsid w:val="00602C5E"/>
    <w:rsid w:val="00603733"/>
    <w:rsid w:val="00606167"/>
    <w:rsid w:val="00606442"/>
    <w:rsid w:val="00610873"/>
    <w:rsid w:val="00610FEE"/>
    <w:rsid w:val="0061123F"/>
    <w:rsid w:val="006114C7"/>
    <w:rsid w:val="00612F67"/>
    <w:rsid w:val="0061371C"/>
    <w:rsid w:val="006206C4"/>
    <w:rsid w:val="00622587"/>
    <w:rsid w:val="00622643"/>
    <w:rsid w:val="00622979"/>
    <w:rsid w:val="00624465"/>
    <w:rsid w:val="00624D26"/>
    <w:rsid w:val="00630030"/>
    <w:rsid w:val="00630042"/>
    <w:rsid w:val="00632BCE"/>
    <w:rsid w:val="0063433B"/>
    <w:rsid w:val="00636162"/>
    <w:rsid w:val="0063693F"/>
    <w:rsid w:val="00636A3A"/>
    <w:rsid w:val="00637022"/>
    <w:rsid w:val="00640727"/>
    <w:rsid w:val="00640815"/>
    <w:rsid w:val="00642669"/>
    <w:rsid w:val="00642AF4"/>
    <w:rsid w:val="00646349"/>
    <w:rsid w:val="00650F3C"/>
    <w:rsid w:val="00652294"/>
    <w:rsid w:val="00652E52"/>
    <w:rsid w:val="0065331E"/>
    <w:rsid w:val="00653CC1"/>
    <w:rsid w:val="0065463E"/>
    <w:rsid w:val="006551A9"/>
    <w:rsid w:val="006552B0"/>
    <w:rsid w:val="00655381"/>
    <w:rsid w:val="006564FD"/>
    <w:rsid w:val="0066064E"/>
    <w:rsid w:val="00661463"/>
    <w:rsid w:val="0066316F"/>
    <w:rsid w:val="006634AF"/>
    <w:rsid w:val="00664ED4"/>
    <w:rsid w:val="00665124"/>
    <w:rsid w:val="00665687"/>
    <w:rsid w:val="006657E9"/>
    <w:rsid w:val="00665898"/>
    <w:rsid w:val="006664E0"/>
    <w:rsid w:val="0066701D"/>
    <w:rsid w:val="00667062"/>
    <w:rsid w:val="00667700"/>
    <w:rsid w:val="00671098"/>
    <w:rsid w:val="00671B1B"/>
    <w:rsid w:val="00672260"/>
    <w:rsid w:val="006729C1"/>
    <w:rsid w:val="00673B17"/>
    <w:rsid w:val="0067548C"/>
    <w:rsid w:val="00675FC8"/>
    <w:rsid w:val="00676089"/>
    <w:rsid w:val="00676EF0"/>
    <w:rsid w:val="0068034E"/>
    <w:rsid w:val="00684E53"/>
    <w:rsid w:val="00684F98"/>
    <w:rsid w:val="00685FEC"/>
    <w:rsid w:val="006867D5"/>
    <w:rsid w:val="00691AFC"/>
    <w:rsid w:val="00692C9B"/>
    <w:rsid w:val="00694292"/>
    <w:rsid w:val="00694A8A"/>
    <w:rsid w:val="0069533D"/>
    <w:rsid w:val="00695389"/>
    <w:rsid w:val="006955BC"/>
    <w:rsid w:val="006960ED"/>
    <w:rsid w:val="006965A3"/>
    <w:rsid w:val="00696E7B"/>
    <w:rsid w:val="00697DF8"/>
    <w:rsid w:val="006A03BC"/>
    <w:rsid w:val="006A07DC"/>
    <w:rsid w:val="006A454E"/>
    <w:rsid w:val="006A55EF"/>
    <w:rsid w:val="006A5778"/>
    <w:rsid w:val="006A6BD7"/>
    <w:rsid w:val="006A73C6"/>
    <w:rsid w:val="006A793F"/>
    <w:rsid w:val="006A79AE"/>
    <w:rsid w:val="006B18EE"/>
    <w:rsid w:val="006B1E4A"/>
    <w:rsid w:val="006B2058"/>
    <w:rsid w:val="006B2701"/>
    <w:rsid w:val="006B341A"/>
    <w:rsid w:val="006B4C08"/>
    <w:rsid w:val="006B54D9"/>
    <w:rsid w:val="006B5D89"/>
    <w:rsid w:val="006B6213"/>
    <w:rsid w:val="006C0BD8"/>
    <w:rsid w:val="006C0E63"/>
    <w:rsid w:val="006C392B"/>
    <w:rsid w:val="006D0144"/>
    <w:rsid w:val="006D0354"/>
    <w:rsid w:val="006D1A14"/>
    <w:rsid w:val="006D273D"/>
    <w:rsid w:val="006D2F94"/>
    <w:rsid w:val="006D4A8C"/>
    <w:rsid w:val="006D4F25"/>
    <w:rsid w:val="006D752F"/>
    <w:rsid w:val="006E0E04"/>
    <w:rsid w:val="006E0FC0"/>
    <w:rsid w:val="006E1154"/>
    <w:rsid w:val="006E1654"/>
    <w:rsid w:val="006E18AD"/>
    <w:rsid w:val="006E225E"/>
    <w:rsid w:val="006E2E25"/>
    <w:rsid w:val="006E2E51"/>
    <w:rsid w:val="006E366B"/>
    <w:rsid w:val="006E3F77"/>
    <w:rsid w:val="006E52BB"/>
    <w:rsid w:val="006E5A15"/>
    <w:rsid w:val="006F0D5F"/>
    <w:rsid w:val="006F1DA9"/>
    <w:rsid w:val="006F22BD"/>
    <w:rsid w:val="006F2CB9"/>
    <w:rsid w:val="006F3798"/>
    <w:rsid w:val="006F3F40"/>
    <w:rsid w:val="006F4822"/>
    <w:rsid w:val="006F5592"/>
    <w:rsid w:val="006F59FB"/>
    <w:rsid w:val="006F5F33"/>
    <w:rsid w:val="006F6BF7"/>
    <w:rsid w:val="006F770C"/>
    <w:rsid w:val="0070128F"/>
    <w:rsid w:val="00703035"/>
    <w:rsid w:val="007034BB"/>
    <w:rsid w:val="00703DB9"/>
    <w:rsid w:val="007046BA"/>
    <w:rsid w:val="0070622D"/>
    <w:rsid w:val="0070653A"/>
    <w:rsid w:val="007071F4"/>
    <w:rsid w:val="00707BDB"/>
    <w:rsid w:val="00707C3F"/>
    <w:rsid w:val="00710E43"/>
    <w:rsid w:val="007118D1"/>
    <w:rsid w:val="007126AC"/>
    <w:rsid w:val="007148EA"/>
    <w:rsid w:val="00715F36"/>
    <w:rsid w:val="00716635"/>
    <w:rsid w:val="007166DD"/>
    <w:rsid w:val="00717446"/>
    <w:rsid w:val="00720868"/>
    <w:rsid w:val="007228A8"/>
    <w:rsid w:val="007232ED"/>
    <w:rsid w:val="0073112B"/>
    <w:rsid w:val="007312A5"/>
    <w:rsid w:val="00731B06"/>
    <w:rsid w:val="0073204F"/>
    <w:rsid w:val="00732E80"/>
    <w:rsid w:val="007331F6"/>
    <w:rsid w:val="00733869"/>
    <w:rsid w:val="00733C7A"/>
    <w:rsid w:val="0073410C"/>
    <w:rsid w:val="00734178"/>
    <w:rsid w:val="00734B20"/>
    <w:rsid w:val="00734D16"/>
    <w:rsid w:val="0073542B"/>
    <w:rsid w:val="007354D5"/>
    <w:rsid w:val="00735AA1"/>
    <w:rsid w:val="00736220"/>
    <w:rsid w:val="007370ED"/>
    <w:rsid w:val="00737D60"/>
    <w:rsid w:val="007430A2"/>
    <w:rsid w:val="0074401E"/>
    <w:rsid w:val="00745879"/>
    <w:rsid w:val="00745884"/>
    <w:rsid w:val="00745DD4"/>
    <w:rsid w:val="0074750C"/>
    <w:rsid w:val="00750C23"/>
    <w:rsid w:val="007517CC"/>
    <w:rsid w:val="00751F75"/>
    <w:rsid w:val="0075240E"/>
    <w:rsid w:val="007549A5"/>
    <w:rsid w:val="0075510F"/>
    <w:rsid w:val="00755599"/>
    <w:rsid w:val="00755665"/>
    <w:rsid w:val="00755872"/>
    <w:rsid w:val="00760A9D"/>
    <w:rsid w:val="0076179B"/>
    <w:rsid w:val="00764262"/>
    <w:rsid w:val="00764523"/>
    <w:rsid w:val="00766445"/>
    <w:rsid w:val="00766AC6"/>
    <w:rsid w:val="007673BE"/>
    <w:rsid w:val="00767F4E"/>
    <w:rsid w:val="00770191"/>
    <w:rsid w:val="007713FC"/>
    <w:rsid w:val="007716E2"/>
    <w:rsid w:val="0077201A"/>
    <w:rsid w:val="007727A3"/>
    <w:rsid w:val="007735F4"/>
    <w:rsid w:val="0077399E"/>
    <w:rsid w:val="00774176"/>
    <w:rsid w:val="007745B0"/>
    <w:rsid w:val="00774A74"/>
    <w:rsid w:val="00776FB1"/>
    <w:rsid w:val="00777D3C"/>
    <w:rsid w:val="007804DD"/>
    <w:rsid w:val="00781BD9"/>
    <w:rsid w:val="0078386B"/>
    <w:rsid w:val="00784883"/>
    <w:rsid w:val="00784C59"/>
    <w:rsid w:val="00784E98"/>
    <w:rsid w:val="00785962"/>
    <w:rsid w:val="007864EE"/>
    <w:rsid w:val="00787DD0"/>
    <w:rsid w:val="00787FA4"/>
    <w:rsid w:val="00792A75"/>
    <w:rsid w:val="00795472"/>
    <w:rsid w:val="00796DE7"/>
    <w:rsid w:val="00796E88"/>
    <w:rsid w:val="007973C6"/>
    <w:rsid w:val="007973E4"/>
    <w:rsid w:val="007A0C59"/>
    <w:rsid w:val="007A1306"/>
    <w:rsid w:val="007A1C0C"/>
    <w:rsid w:val="007A2A77"/>
    <w:rsid w:val="007A3E9A"/>
    <w:rsid w:val="007A4D36"/>
    <w:rsid w:val="007A57DF"/>
    <w:rsid w:val="007A5F65"/>
    <w:rsid w:val="007A64E1"/>
    <w:rsid w:val="007A6BF6"/>
    <w:rsid w:val="007A6EF7"/>
    <w:rsid w:val="007A73FD"/>
    <w:rsid w:val="007B05FB"/>
    <w:rsid w:val="007B0A1D"/>
    <w:rsid w:val="007B0BB5"/>
    <w:rsid w:val="007B12FB"/>
    <w:rsid w:val="007B1A13"/>
    <w:rsid w:val="007B1C31"/>
    <w:rsid w:val="007B21BC"/>
    <w:rsid w:val="007B3B74"/>
    <w:rsid w:val="007B4839"/>
    <w:rsid w:val="007B5107"/>
    <w:rsid w:val="007B59BC"/>
    <w:rsid w:val="007B6807"/>
    <w:rsid w:val="007B6AE4"/>
    <w:rsid w:val="007B6B43"/>
    <w:rsid w:val="007C0EF1"/>
    <w:rsid w:val="007C1BF2"/>
    <w:rsid w:val="007C247B"/>
    <w:rsid w:val="007C514D"/>
    <w:rsid w:val="007C60BF"/>
    <w:rsid w:val="007C610F"/>
    <w:rsid w:val="007C741B"/>
    <w:rsid w:val="007C7AB6"/>
    <w:rsid w:val="007D0DF1"/>
    <w:rsid w:val="007D1187"/>
    <w:rsid w:val="007D236E"/>
    <w:rsid w:val="007D23D7"/>
    <w:rsid w:val="007D4A50"/>
    <w:rsid w:val="007D578D"/>
    <w:rsid w:val="007D6B31"/>
    <w:rsid w:val="007D6D40"/>
    <w:rsid w:val="007D6E34"/>
    <w:rsid w:val="007D71DE"/>
    <w:rsid w:val="007D780C"/>
    <w:rsid w:val="007D782E"/>
    <w:rsid w:val="007D7E4B"/>
    <w:rsid w:val="007E0E04"/>
    <w:rsid w:val="007E2726"/>
    <w:rsid w:val="007E331F"/>
    <w:rsid w:val="007E4CAC"/>
    <w:rsid w:val="007E5C92"/>
    <w:rsid w:val="007E5D88"/>
    <w:rsid w:val="007E6B59"/>
    <w:rsid w:val="007E71FD"/>
    <w:rsid w:val="007E76BC"/>
    <w:rsid w:val="007F1F0E"/>
    <w:rsid w:val="007F4231"/>
    <w:rsid w:val="007F4AE2"/>
    <w:rsid w:val="007F4BF7"/>
    <w:rsid w:val="007F516E"/>
    <w:rsid w:val="007F5803"/>
    <w:rsid w:val="008001AD"/>
    <w:rsid w:val="00801CC9"/>
    <w:rsid w:val="00802371"/>
    <w:rsid w:val="008030EE"/>
    <w:rsid w:val="008047B1"/>
    <w:rsid w:val="00804B7D"/>
    <w:rsid w:val="00805888"/>
    <w:rsid w:val="00805B41"/>
    <w:rsid w:val="00805CE6"/>
    <w:rsid w:val="008062A3"/>
    <w:rsid w:val="00807030"/>
    <w:rsid w:val="00807C03"/>
    <w:rsid w:val="008149EB"/>
    <w:rsid w:val="008163E0"/>
    <w:rsid w:val="0081665B"/>
    <w:rsid w:val="008175EC"/>
    <w:rsid w:val="00820341"/>
    <w:rsid w:val="008210BE"/>
    <w:rsid w:val="0082261F"/>
    <w:rsid w:val="008231EA"/>
    <w:rsid w:val="00823750"/>
    <w:rsid w:val="0082468D"/>
    <w:rsid w:val="0082493B"/>
    <w:rsid w:val="0082735F"/>
    <w:rsid w:val="00831138"/>
    <w:rsid w:val="00833157"/>
    <w:rsid w:val="008344F1"/>
    <w:rsid w:val="0083496F"/>
    <w:rsid w:val="00835BA6"/>
    <w:rsid w:val="00836030"/>
    <w:rsid w:val="00837C34"/>
    <w:rsid w:val="00841231"/>
    <w:rsid w:val="008419CB"/>
    <w:rsid w:val="0084237C"/>
    <w:rsid w:val="00844028"/>
    <w:rsid w:val="008445B1"/>
    <w:rsid w:val="0084525E"/>
    <w:rsid w:val="00845BF7"/>
    <w:rsid w:val="00846BC3"/>
    <w:rsid w:val="00850C74"/>
    <w:rsid w:val="00850D4C"/>
    <w:rsid w:val="00850F22"/>
    <w:rsid w:val="00852034"/>
    <w:rsid w:val="00853062"/>
    <w:rsid w:val="008540D8"/>
    <w:rsid w:val="0085481A"/>
    <w:rsid w:val="00855F80"/>
    <w:rsid w:val="0085608B"/>
    <w:rsid w:val="0086010D"/>
    <w:rsid w:val="008602B5"/>
    <w:rsid w:val="00860892"/>
    <w:rsid w:val="00860D13"/>
    <w:rsid w:val="0086183D"/>
    <w:rsid w:val="00862F17"/>
    <w:rsid w:val="008640DC"/>
    <w:rsid w:val="0086583C"/>
    <w:rsid w:val="00867B20"/>
    <w:rsid w:val="00870600"/>
    <w:rsid w:val="00870A29"/>
    <w:rsid w:val="00870C8D"/>
    <w:rsid w:val="008714B2"/>
    <w:rsid w:val="00871CB7"/>
    <w:rsid w:val="00873665"/>
    <w:rsid w:val="00873750"/>
    <w:rsid w:val="008756BA"/>
    <w:rsid w:val="00875F41"/>
    <w:rsid w:val="00876317"/>
    <w:rsid w:val="00876C3D"/>
    <w:rsid w:val="00877564"/>
    <w:rsid w:val="00881EEB"/>
    <w:rsid w:val="008827EE"/>
    <w:rsid w:val="00882DED"/>
    <w:rsid w:val="00884AF9"/>
    <w:rsid w:val="00884CA8"/>
    <w:rsid w:val="00885B9E"/>
    <w:rsid w:val="00887B51"/>
    <w:rsid w:val="00887E5E"/>
    <w:rsid w:val="00887F90"/>
    <w:rsid w:val="00890170"/>
    <w:rsid w:val="00890E5C"/>
    <w:rsid w:val="0089126F"/>
    <w:rsid w:val="00891D95"/>
    <w:rsid w:val="00891FC9"/>
    <w:rsid w:val="00892C67"/>
    <w:rsid w:val="00892F67"/>
    <w:rsid w:val="00892F68"/>
    <w:rsid w:val="00892FDF"/>
    <w:rsid w:val="00894F5D"/>
    <w:rsid w:val="00895387"/>
    <w:rsid w:val="0089538F"/>
    <w:rsid w:val="00895C43"/>
    <w:rsid w:val="0089649F"/>
    <w:rsid w:val="008A0BCE"/>
    <w:rsid w:val="008A1187"/>
    <w:rsid w:val="008A2546"/>
    <w:rsid w:val="008A26BC"/>
    <w:rsid w:val="008A3DEE"/>
    <w:rsid w:val="008A4B1C"/>
    <w:rsid w:val="008A4EB8"/>
    <w:rsid w:val="008A5D99"/>
    <w:rsid w:val="008A6E16"/>
    <w:rsid w:val="008A6F7B"/>
    <w:rsid w:val="008A77CB"/>
    <w:rsid w:val="008A7972"/>
    <w:rsid w:val="008A7CA8"/>
    <w:rsid w:val="008A7D9E"/>
    <w:rsid w:val="008B05F9"/>
    <w:rsid w:val="008B2034"/>
    <w:rsid w:val="008B258F"/>
    <w:rsid w:val="008B3282"/>
    <w:rsid w:val="008B427C"/>
    <w:rsid w:val="008B4B0A"/>
    <w:rsid w:val="008B5146"/>
    <w:rsid w:val="008B53D6"/>
    <w:rsid w:val="008B69CA"/>
    <w:rsid w:val="008C0924"/>
    <w:rsid w:val="008C0C9F"/>
    <w:rsid w:val="008C253A"/>
    <w:rsid w:val="008C2AB1"/>
    <w:rsid w:val="008C31FD"/>
    <w:rsid w:val="008C34B6"/>
    <w:rsid w:val="008C4234"/>
    <w:rsid w:val="008C4C70"/>
    <w:rsid w:val="008C5271"/>
    <w:rsid w:val="008C6C92"/>
    <w:rsid w:val="008C705C"/>
    <w:rsid w:val="008C7DD0"/>
    <w:rsid w:val="008D0824"/>
    <w:rsid w:val="008D1F45"/>
    <w:rsid w:val="008D2ACA"/>
    <w:rsid w:val="008D3B69"/>
    <w:rsid w:val="008D5A87"/>
    <w:rsid w:val="008D5FA2"/>
    <w:rsid w:val="008D706B"/>
    <w:rsid w:val="008D7C69"/>
    <w:rsid w:val="008E001C"/>
    <w:rsid w:val="008E0D97"/>
    <w:rsid w:val="008E2C3A"/>
    <w:rsid w:val="008E37DB"/>
    <w:rsid w:val="008E420D"/>
    <w:rsid w:val="008E4C16"/>
    <w:rsid w:val="008E6C25"/>
    <w:rsid w:val="008E7A20"/>
    <w:rsid w:val="008F0B10"/>
    <w:rsid w:val="008F15D7"/>
    <w:rsid w:val="008F1787"/>
    <w:rsid w:val="008F2524"/>
    <w:rsid w:val="008F5B08"/>
    <w:rsid w:val="008F5B55"/>
    <w:rsid w:val="008F6083"/>
    <w:rsid w:val="008F6A3A"/>
    <w:rsid w:val="009003C9"/>
    <w:rsid w:val="009013C2"/>
    <w:rsid w:val="009021BF"/>
    <w:rsid w:val="00902515"/>
    <w:rsid w:val="009025BD"/>
    <w:rsid w:val="00902A2D"/>
    <w:rsid w:val="0090334E"/>
    <w:rsid w:val="0090365E"/>
    <w:rsid w:val="00903CE3"/>
    <w:rsid w:val="00903E45"/>
    <w:rsid w:val="0090409A"/>
    <w:rsid w:val="0090475F"/>
    <w:rsid w:val="00905239"/>
    <w:rsid w:val="009067E8"/>
    <w:rsid w:val="00907C8D"/>
    <w:rsid w:val="009112E9"/>
    <w:rsid w:val="00911BDA"/>
    <w:rsid w:val="00912232"/>
    <w:rsid w:val="009137BB"/>
    <w:rsid w:val="00917217"/>
    <w:rsid w:val="009214A4"/>
    <w:rsid w:val="00922142"/>
    <w:rsid w:val="00924DA8"/>
    <w:rsid w:val="0092503D"/>
    <w:rsid w:val="00925BB4"/>
    <w:rsid w:val="00925F55"/>
    <w:rsid w:val="00926AD5"/>
    <w:rsid w:val="00927D45"/>
    <w:rsid w:val="00930391"/>
    <w:rsid w:val="00931341"/>
    <w:rsid w:val="00931929"/>
    <w:rsid w:val="0093204B"/>
    <w:rsid w:val="00932F13"/>
    <w:rsid w:val="00933275"/>
    <w:rsid w:val="0093349E"/>
    <w:rsid w:val="00933C8B"/>
    <w:rsid w:val="00934096"/>
    <w:rsid w:val="00934323"/>
    <w:rsid w:val="0093495C"/>
    <w:rsid w:val="00937820"/>
    <w:rsid w:val="009422B4"/>
    <w:rsid w:val="00942FD2"/>
    <w:rsid w:val="009437CA"/>
    <w:rsid w:val="009458EC"/>
    <w:rsid w:val="00945B33"/>
    <w:rsid w:val="00945C5A"/>
    <w:rsid w:val="00946C74"/>
    <w:rsid w:val="00947990"/>
    <w:rsid w:val="00947D8F"/>
    <w:rsid w:val="00951D97"/>
    <w:rsid w:val="0095238E"/>
    <w:rsid w:val="00953D7C"/>
    <w:rsid w:val="00953F5D"/>
    <w:rsid w:val="00955AE6"/>
    <w:rsid w:val="00955D88"/>
    <w:rsid w:val="009606BF"/>
    <w:rsid w:val="00961FD3"/>
    <w:rsid w:val="009633E1"/>
    <w:rsid w:val="00965229"/>
    <w:rsid w:val="00966A71"/>
    <w:rsid w:val="00966DC3"/>
    <w:rsid w:val="00971E1E"/>
    <w:rsid w:val="00972A34"/>
    <w:rsid w:val="009741E6"/>
    <w:rsid w:val="009759A6"/>
    <w:rsid w:val="009774EF"/>
    <w:rsid w:val="009779DD"/>
    <w:rsid w:val="00977C7F"/>
    <w:rsid w:val="0098046F"/>
    <w:rsid w:val="00980748"/>
    <w:rsid w:val="0098116C"/>
    <w:rsid w:val="00981C58"/>
    <w:rsid w:val="00984BCC"/>
    <w:rsid w:val="009854CD"/>
    <w:rsid w:val="00986069"/>
    <w:rsid w:val="0098752E"/>
    <w:rsid w:val="009907E3"/>
    <w:rsid w:val="00990E38"/>
    <w:rsid w:val="00991A41"/>
    <w:rsid w:val="00992AC2"/>
    <w:rsid w:val="009935C4"/>
    <w:rsid w:val="00993A8E"/>
    <w:rsid w:val="009948EC"/>
    <w:rsid w:val="00994A15"/>
    <w:rsid w:val="00996DF6"/>
    <w:rsid w:val="00997BAE"/>
    <w:rsid w:val="00997D95"/>
    <w:rsid w:val="009A1900"/>
    <w:rsid w:val="009A1B23"/>
    <w:rsid w:val="009A1DCA"/>
    <w:rsid w:val="009A4F20"/>
    <w:rsid w:val="009A5182"/>
    <w:rsid w:val="009A633E"/>
    <w:rsid w:val="009A792D"/>
    <w:rsid w:val="009B0866"/>
    <w:rsid w:val="009B0D32"/>
    <w:rsid w:val="009B1AF0"/>
    <w:rsid w:val="009B26FE"/>
    <w:rsid w:val="009B2D18"/>
    <w:rsid w:val="009B3E03"/>
    <w:rsid w:val="009B464F"/>
    <w:rsid w:val="009B6206"/>
    <w:rsid w:val="009B771B"/>
    <w:rsid w:val="009C2216"/>
    <w:rsid w:val="009C2AB3"/>
    <w:rsid w:val="009C3DD4"/>
    <w:rsid w:val="009C478A"/>
    <w:rsid w:val="009C4A44"/>
    <w:rsid w:val="009C6230"/>
    <w:rsid w:val="009C648D"/>
    <w:rsid w:val="009C7313"/>
    <w:rsid w:val="009D244B"/>
    <w:rsid w:val="009D447A"/>
    <w:rsid w:val="009D46B9"/>
    <w:rsid w:val="009D4755"/>
    <w:rsid w:val="009D4F81"/>
    <w:rsid w:val="009D5C46"/>
    <w:rsid w:val="009D5CC8"/>
    <w:rsid w:val="009D6C36"/>
    <w:rsid w:val="009D7437"/>
    <w:rsid w:val="009E01E0"/>
    <w:rsid w:val="009E1464"/>
    <w:rsid w:val="009E2184"/>
    <w:rsid w:val="009E2416"/>
    <w:rsid w:val="009E32B3"/>
    <w:rsid w:val="009E4536"/>
    <w:rsid w:val="009E45F6"/>
    <w:rsid w:val="009E7E76"/>
    <w:rsid w:val="009F0142"/>
    <w:rsid w:val="009F0AB8"/>
    <w:rsid w:val="009F17BB"/>
    <w:rsid w:val="009F2F5C"/>
    <w:rsid w:val="009F3301"/>
    <w:rsid w:val="009F4B83"/>
    <w:rsid w:val="009F5DE7"/>
    <w:rsid w:val="009F6AEF"/>
    <w:rsid w:val="009F7939"/>
    <w:rsid w:val="009F7C6D"/>
    <w:rsid w:val="00A0004B"/>
    <w:rsid w:val="00A00259"/>
    <w:rsid w:val="00A0053E"/>
    <w:rsid w:val="00A016BD"/>
    <w:rsid w:val="00A07601"/>
    <w:rsid w:val="00A10475"/>
    <w:rsid w:val="00A10516"/>
    <w:rsid w:val="00A106D8"/>
    <w:rsid w:val="00A130F9"/>
    <w:rsid w:val="00A1362D"/>
    <w:rsid w:val="00A14850"/>
    <w:rsid w:val="00A14D41"/>
    <w:rsid w:val="00A1514F"/>
    <w:rsid w:val="00A155D4"/>
    <w:rsid w:val="00A158A7"/>
    <w:rsid w:val="00A15D14"/>
    <w:rsid w:val="00A163A0"/>
    <w:rsid w:val="00A1668E"/>
    <w:rsid w:val="00A16EB4"/>
    <w:rsid w:val="00A176E0"/>
    <w:rsid w:val="00A206A2"/>
    <w:rsid w:val="00A231C9"/>
    <w:rsid w:val="00A242BF"/>
    <w:rsid w:val="00A243F8"/>
    <w:rsid w:val="00A2451E"/>
    <w:rsid w:val="00A24A55"/>
    <w:rsid w:val="00A24FC9"/>
    <w:rsid w:val="00A25760"/>
    <w:rsid w:val="00A26139"/>
    <w:rsid w:val="00A26594"/>
    <w:rsid w:val="00A26AC1"/>
    <w:rsid w:val="00A27C81"/>
    <w:rsid w:val="00A32B9A"/>
    <w:rsid w:val="00A33086"/>
    <w:rsid w:val="00A33670"/>
    <w:rsid w:val="00A338B4"/>
    <w:rsid w:val="00A33F47"/>
    <w:rsid w:val="00A36315"/>
    <w:rsid w:val="00A37A15"/>
    <w:rsid w:val="00A40508"/>
    <w:rsid w:val="00A4059B"/>
    <w:rsid w:val="00A40FCB"/>
    <w:rsid w:val="00A4172F"/>
    <w:rsid w:val="00A42479"/>
    <w:rsid w:val="00A42F84"/>
    <w:rsid w:val="00A435DB"/>
    <w:rsid w:val="00A43622"/>
    <w:rsid w:val="00A44D86"/>
    <w:rsid w:val="00A44E99"/>
    <w:rsid w:val="00A45DC0"/>
    <w:rsid w:val="00A46E08"/>
    <w:rsid w:val="00A50604"/>
    <w:rsid w:val="00A50B09"/>
    <w:rsid w:val="00A50E9C"/>
    <w:rsid w:val="00A51EA4"/>
    <w:rsid w:val="00A52B35"/>
    <w:rsid w:val="00A53309"/>
    <w:rsid w:val="00A53869"/>
    <w:rsid w:val="00A54340"/>
    <w:rsid w:val="00A552C5"/>
    <w:rsid w:val="00A5575D"/>
    <w:rsid w:val="00A5666A"/>
    <w:rsid w:val="00A57B9C"/>
    <w:rsid w:val="00A61281"/>
    <w:rsid w:val="00A61DB0"/>
    <w:rsid w:val="00A61F97"/>
    <w:rsid w:val="00A62B7D"/>
    <w:rsid w:val="00A634D4"/>
    <w:rsid w:val="00A63EFF"/>
    <w:rsid w:val="00A660C5"/>
    <w:rsid w:val="00A6642E"/>
    <w:rsid w:val="00A66ED1"/>
    <w:rsid w:val="00A66EF8"/>
    <w:rsid w:val="00A676C2"/>
    <w:rsid w:val="00A67B49"/>
    <w:rsid w:val="00A700D9"/>
    <w:rsid w:val="00A70E1F"/>
    <w:rsid w:val="00A7146E"/>
    <w:rsid w:val="00A722D4"/>
    <w:rsid w:val="00A723CF"/>
    <w:rsid w:val="00A73122"/>
    <w:rsid w:val="00A73367"/>
    <w:rsid w:val="00A736E3"/>
    <w:rsid w:val="00A74443"/>
    <w:rsid w:val="00A7668B"/>
    <w:rsid w:val="00A811F5"/>
    <w:rsid w:val="00A81444"/>
    <w:rsid w:val="00A81E3E"/>
    <w:rsid w:val="00A8231A"/>
    <w:rsid w:val="00A82608"/>
    <w:rsid w:val="00A846BE"/>
    <w:rsid w:val="00A84BB6"/>
    <w:rsid w:val="00A8733F"/>
    <w:rsid w:val="00A90132"/>
    <w:rsid w:val="00A91685"/>
    <w:rsid w:val="00A917D4"/>
    <w:rsid w:val="00A92CE0"/>
    <w:rsid w:val="00A9302F"/>
    <w:rsid w:val="00A93601"/>
    <w:rsid w:val="00A93D68"/>
    <w:rsid w:val="00A94C73"/>
    <w:rsid w:val="00A95103"/>
    <w:rsid w:val="00A954C3"/>
    <w:rsid w:val="00A96BA8"/>
    <w:rsid w:val="00A9761C"/>
    <w:rsid w:val="00A97FC1"/>
    <w:rsid w:val="00AA0D10"/>
    <w:rsid w:val="00AA19B3"/>
    <w:rsid w:val="00AA2527"/>
    <w:rsid w:val="00AA34ED"/>
    <w:rsid w:val="00AA3FD2"/>
    <w:rsid w:val="00AA40B7"/>
    <w:rsid w:val="00AA5668"/>
    <w:rsid w:val="00AA56F6"/>
    <w:rsid w:val="00AA5CDE"/>
    <w:rsid w:val="00AB0BAD"/>
    <w:rsid w:val="00AB176A"/>
    <w:rsid w:val="00AB1C9E"/>
    <w:rsid w:val="00AB2854"/>
    <w:rsid w:val="00AB35C9"/>
    <w:rsid w:val="00AB4001"/>
    <w:rsid w:val="00AB5077"/>
    <w:rsid w:val="00AB5A3C"/>
    <w:rsid w:val="00AB5B25"/>
    <w:rsid w:val="00AB72FA"/>
    <w:rsid w:val="00AB7DF7"/>
    <w:rsid w:val="00AC0E74"/>
    <w:rsid w:val="00AC18EC"/>
    <w:rsid w:val="00AC2AD4"/>
    <w:rsid w:val="00AC4360"/>
    <w:rsid w:val="00AC5D0E"/>
    <w:rsid w:val="00AC6CC6"/>
    <w:rsid w:val="00AC740B"/>
    <w:rsid w:val="00AC7E37"/>
    <w:rsid w:val="00AD2566"/>
    <w:rsid w:val="00AD2F01"/>
    <w:rsid w:val="00AD3597"/>
    <w:rsid w:val="00AD491A"/>
    <w:rsid w:val="00AD4999"/>
    <w:rsid w:val="00AD5B83"/>
    <w:rsid w:val="00AD5D98"/>
    <w:rsid w:val="00AD6537"/>
    <w:rsid w:val="00AD68D4"/>
    <w:rsid w:val="00AD6F02"/>
    <w:rsid w:val="00AD762B"/>
    <w:rsid w:val="00AD7E31"/>
    <w:rsid w:val="00AE0521"/>
    <w:rsid w:val="00AE186E"/>
    <w:rsid w:val="00AE1C63"/>
    <w:rsid w:val="00AE1CA4"/>
    <w:rsid w:val="00AE341F"/>
    <w:rsid w:val="00AE40E4"/>
    <w:rsid w:val="00AE41E0"/>
    <w:rsid w:val="00AE4348"/>
    <w:rsid w:val="00AE497E"/>
    <w:rsid w:val="00AE63E5"/>
    <w:rsid w:val="00AE6782"/>
    <w:rsid w:val="00AE70EC"/>
    <w:rsid w:val="00AE771F"/>
    <w:rsid w:val="00AE7A83"/>
    <w:rsid w:val="00AE7C58"/>
    <w:rsid w:val="00AF15FE"/>
    <w:rsid w:val="00AF22C3"/>
    <w:rsid w:val="00AF3292"/>
    <w:rsid w:val="00AF3404"/>
    <w:rsid w:val="00AF3F4C"/>
    <w:rsid w:val="00AF4840"/>
    <w:rsid w:val="00AF5AAE"/>
    <w:rsid w:val="00AF6014"/>
    <w:rsid w:val="00AF7727"/>
    <w:rsid w:val="00AF7EAE"/>
    <w:rsid w:val="00B00704"/>
    <w:rsid w:val="00B01396"/>
    <w:rsid w:val="00B0186C"/>
    <w:rsid w:val="00B02510"/>
    <w:rsid w:val="00B02730"/>
    <w:rsid w:val="00B0342F"/>
    <w:rsid w:val="00B05FB2"/>
    <w:rsid w:val="00B07332"/>
    <w:rsid w:val="00B07969"/>
    <w:rsid w:val="00B07FBD"/>
    <w:rsid w:val="00B1017F"/>
    <w:rsid w:val="00B1093B"/>
    <w:rsid w:val="00B10A54"/>
    <w:rsid w:val="00B10C85"/>
    <w:rsid w:val="00B11653"/>
    <w:rsid w:val="00B125BA"/>
    <w:rsid w:val="00B1420A"/>
    <w:rsid w:val="00B14769"/>
    <w:rsid w:val="00B147A3"/>
    <w:rsid w:val="00B147DD"/>
    <w:rsid w:val="00B14856"/>
    <w:rsid w:val="00B20957"/>
    <w:rsid w:val="00B215BE"/>
    <w:rsid w:val="00B21D8C"/>
    <w:rsid w:val="00B2373B"/>
    <w:rsid w:val="00B238B7"/>
    <w:rsid w:val="00B23EF0"/>
    <w:rsid w:val="00B25F7E"/>
    <w:rsid w:val="00B26604"/>
    <w:rsid w:val="00B27B0A"/>
    <w:rsid w:val="00B27B8C"/>
    <w:rsid w:val="00B31225"/>
    <w:rsid w:val="00B31FFE"/>
    <w:rsid w:val="00B324CA"/>
    <w:rsid w:val="00B3261B"/>
    <w:rsid w:val="00B32FF6"/>
    <w:rsid w:val="00B33600"/>
    <w:rsid w:val="00B33C10"/>
    <w:rsid w:val="00B36BF1"/>
    <w:rsid w:val="00B40AB5"/>
    <w:rsid w:val="00B41F78"/>
    <w:rsid w:val="00B43151"/>
    <w:rsid w:val="00B44D49"/>
    <w:rsid w:val="00B45BA4"/>
    <w:rsid w:val="00B46156"/>
    <w:rsid w:val="00B47687"/>
    <w:rsid w:val="00B50089"/>
    <w:rsid w:val="00B51218"/>
    <w:rsid w:val="00B52B05"/>
    <w:rsid w:val="00B54B4D"/>
    <w:rsid w:val="00B550C9"/>
    <w:rsid w:val="00B60166"/>
    <w:rsid w:val="00B605FF"/>
    <w:rsid w:val="00B610E7"/>
    <w:rsid w:val="00B6158E"/>
    <w:rsid w:val="00B62D6E"/>
    <w:rsid w:val="00B643D8"/>
    <w:rsid w:val="00B64809"/>
    <w:rsid w:val="00B64B40"/>
    <w:rsid w:val="00B66A0C"/>
    <w:rsid w:val="00B67501"/>
    <w:rsid w:val="00B67828"/>
    <w:rsid w:val="00B67DD7"/>
    <w:rsid w:val="00B709E2"/>
    <w:rsid w:val="00B71553"/>
    <w:rsid w:val="00B7289F"/>
    <w:rsid w:val="00B73A1F"/>
    <w:rsid w:val="00B74804"/>
    <w:rsid w:val="00B74BB8"/>
    <w:rsid w:val="00B75F03"/>
    <w:rsid w:val="00B75F0B"/>
    <w:rsid w:val="00B76955"/>
    <w:rsid w:val="00B77221"/>
    <w:rsid w:val="00B77859"/>
    <w:rsid w:val="00B808B7"/>
    <w:rsid w:val="00B80BBE"/>
    <w:rsid w:val="00B81BDA"/>
    <w:rsid w:val="00B81FF0"/>
    <w:rsid w:val="00B82832"/>
    <w:rsid w:val="00B82866"/>
    <w:rsid w:val="00B8314F"/>
    <w:rsid w:val="00B84116"/>
    <w:rsid w:val="00B84519"/>
    <w:rsid w:val="00B87475"/>
    <w:rsid w:val="00B90BB1"/>
    <w:rsid w:val="00B92145"/>
    <w:rsid w:val="00B92890"/>
    <w:rsid w:val="00B935D5"/>
    <w:rsid w:val="00B95396"/>
    <w:rsid w:val="00B95B39"/>
    <w:rsid w:val="00BA054F"/>
    <w:rsid w:val="00BA08CA"/>
    <w:rsid w:val="00BA1C75"/>
    <w:rsid w:val="00BA2EA5"/>
    <w:rsid w:val="00BA377F"/>
    <w:rsid w:val="00BA3E1A"/>
    <w:rsid w:val="00BA6216"/>
    <w:rsid w:val="00BA660E"/>
    <w:rsid w:val="00BA75E6"/>
    <w:rsid w:val="00BB019F"/>
    <w:rsid w:val="00BB0786"/>
    <w:rsid w:val="00BB0FDF"/>
    <w:rsid w:val="00BB22EE"/>
    <w:rsid w:val="00BB2AF0"/>
    <w:rsid w:val="00BB458C"/>
    <w:rsid w:val="00BB655B"/>
    <w:rsid w:val="00BB6EA7"/>
    <w:rsid w:val="00BB6FA6"/>
    <w:rsid w:val="00BB73FF"/>
    <w:rsid w:val="00BB7817"/>
    <w:rsid w:val="00BC00A0"/>
    <w:rsid w:val="00BC0933"/>
    <w:rsid w:val="00BC1853"/>
    <w:rsid w:val="00BC23E3"/>
    <w:rsid w:val="00BC2743"/>
    <w:rsid w:val="00BC2B1D"/>
    <w:rsid w:val="00BC5853"/>
    <w:rsid w:val="00BC5C6D"/>
    <w:rsid w:val="00BC6116"/>
    <w:rsid w:val="00BC764D"/>
    <w:rsid w:val="00BD031F"/>
    <w:rsid w:val="00BD0480"/>
    <w:rsid w:val="00BD201F"/>
    <w:rsid w:val="00BD2CE3"/>
    <w:rsid w:val="00BD76FE"/>
    <w:rsid w:val="00BD7DAA"/>
    <w:rsid w:val="00BE04BF"/>
    <w:rsid w:val="00BE055D"/>
    <w:rsid w:val="00BE2429"/>
    <w:rsid w:val="00BE4263"/>
    <w:rsid w:val="00BE543A"/>
    <w:rsid w:val="00BE6563"/>
    <w:rsid w:val="00BE69DC"/>
    <w:rsid w:val="00BE6E7F"/>
    <w:rsid w:val="00BE77D8"/>
    <w:rsid w:val="00BE78BA"/>
    <w:rsid w:val="00BF1BDD"/>
    <w:rsid w:val="00BF36EB"/>
    <w:rsid w:val="00BF397A"/>
    <w:rsid w:val="00BF4B48"/>
    <w:rsid w:val="00BF525D"/>
    <w:rsid w:val="00BF586C"/>
    <w:rsid w:val="00BF6938"/>
    <w:rsid w:val="00BF7ACC"/>
    <w:rsid w:val="00C0417C"/>
    <w:rsid w:val="00C043AD"/>
    <w:rsid w:val="00C04A8C"/>
    <w:rsid w:val="00C05288"/>
    <w:rsid w:val="00C064CF"/>
    <w:rsid w:val="00C07386"/>
    <w:rsid w:val="00C07871"/>
    <w:rsid w:val="00C10C59"/>
    <w:rsid w:val="00C116C7"/>
    <w:rsid w:val="00C116D6"/>
    <w:rsid w:val="00C146CF"/>
    <w:rsid w:val="00C14718"/>
    <w:rsid w:val="00C14C33"/>
    <w:rsid w:val="00C14EF2"/>
    <w:rsid w:val="00C17B61"/>
    <w:rsid w:val="00C20641"/>
    <w:rsid w:val="00C2122D"/>
    <w:rsid w:val="00C21CDE"/>
    <w:rsid w:val="00C23065"/>
    <w:rsid w:val="00C2380C"/>
    <w:rsid w:val="00C26241"/>
    <w:rsid w:val="00C269A2"/>
    <w:rsid w:val="00C3305D"/>
    <w:rsid w:val="00C35DFF"/>
    <w:rsid w:val="00C40FB5"/>
    <w:rsid w:val="00C42228"/>
    <w:rsid w:val="00C435B4"/>
    <w:rsid w:val="00C453B0"/>
    <w:rsid w:val="00C46FA1"/>
    <w:rsid w:val="00C47942"/>
    <w:rsid w:val="00C5136C"/>
    <w:rsid w:val="00C51A4B"/>
    <w:rsid w:val="00C53398"/>
    <w:rsid w:val="00C55CA5"/>
    <w:rsid w:val="00C574E4"/>
    <w:rsid w:val="00C60012"/>
    <w:rsid w:val="00C607B4"/>
    <w:rsid w:val="00C6103F"/>
    <w:rsid w:val="00C61460"/>
    <w:rsid w:val="00C66124"/>
    <w:rsid w:val="00C66816"/>
    <w:rsid w:val="00C669B6"/>
    <w:rsid w:val="00C67F37"/>
    <w:rsid w:val="00C7029A"/>
    <w:rsid w:val="00C70F9C"/>
    <w:rsid w:val="00C72748"/>
    <w:rsid w:val="00C73BAE"/>
    <w:rsid w:val="00C759C3"/>
    <w:rsid w:val="00C75B1A"/>
    <w:rsid w:val="00C77F66"/>
    <w:rsid w:val="00C83E2B"/>
    <w:rsid w:val="00C84873"/>
    <w:rsid w:val="00C849EB"/>
    <w:rsid w:val="00C85DF1"/>
    <w:rsid w:val="00C91196"/>
    <w:rsid w:val="00C92313"/>
    <w:rsid w:val="00C925D0"/>
    <w:rsid w:val="00C92F09"/>
    <w:rsid w:val="00C9381E"/>
    <w:rsid w:val="00C9450F"/>
    <w:rsid w:val="00C94903"/>
    <w:rsid w:val="00C94D0A"/>
    <w:rsid w:val="00C950E9"/>
    <w:rsid w:val="00C95CAE"/>
    <w:rsid w:val="00C96F55"/>
    <w:rsid w:val="00CA0060"/>
    <w:rsid w:val="00CA088D"/>
    <w:rsid w:val="00CA2244"/>
    <w:rsid w:val="00CA6128"/>
    <w:rsid w:val="00CB0299"/>
    <w:rsid w:val="00CB0C83"/>
    <w:rsid w:val="00CB18E2"/>
    <w:rsid w:val="00CB25F6"/>
    <w:rsid w:val="00CB30DF"/>
    <w:rsid w:val="00CB5115"/>
    <w:rsid w:val="00CB59BD"/>
    <w:rsid w:val="00CB6306"/>
    <w:rsid w:val="00CB6B3E"/>
    <w:rsid w:val="00CC145A"/>
    <w:rsid w:val="00CC1E61"/>
    <w:rsid w:val="00CC239F"/>
    <w:rsid w:val="00CC44EF"/>
    <w:rsid w:val="00CC47B6"/>
    <w:rsid w:val="00CC4FF5"/>
    <w:rsid w:val="00CC5FDB"/>
    <w:rsid w:val="00CC6B7E"/>
    <w:rsid w:val="00CD1058"/>
    <w:rsid w:val="00CD10FA"/>
    <w:rsid w:val="00CD26A6"/>
    <w:rsid w:val="00CD3CE4"/>
    <w:rsid w:val="00CD43BE"/>
    <w:rsid w:val="00CD500B"/>
    <w:rsid w:val="00CD52A1"/>
    <w:rsid w:val="00CD5D74"/>
    <w:rsid w:val="00CD63AE"/>
    <w:rsid w:val="00CD7CE6"/>
    <w:rsid w:val="00CE05AE"/>
    <w:rsid w:val="00CE0ABE"/>
    <w:rsid w:val="00CE2680"/>
    <w:rsid w:val="00CE2751"/>
    <w:rsid w:val="00CE2F5F"/>
    <w:rsid w:val="00CE474D"/>
    <w:rsid w:val="00CE5468"/>
    <w:rsid w:val="00CE57F0"/>
    <w:rsid w:val="00CE6346"/>
    <w:rsid w:val="00CE65F1"/>
    <w:rsid w:val="00CE67CE"/>
    <w:rsid w:val="00CE6AC6"/>
    <w:rsid w:val="00CF09CB"/>
    <w:rsid w:val="00CF0D9F"/>
    <w:rsid w:val="00CF2C5A"/>
    <w:rsid w:val="00CF3E5C"/>
    <w:rsid w:val="00CF46D6"/>
    <w:rsid w:val="00CF50BF"/>
    <w:rsid w:val="00CF57DF"/>
    <w:rsid w:val="00D00533"/>
    <w:rsid w:val="00D011A2"/>
    <w:rsid w:val="00D013D6"/>
    <w:rsid w:val="00D023AA"/>
    <w:rsid w:val="00D027FA"/>
    <w:rsid w:val="00D02F5B"/>
    <w:rsid w:val="00D03AC5"/>
    <w:rsid w:val="00D03F28"/>
    <w:rsid w:val="00D051D1"/>
    <w:rsid w:val="00D05B1D"/>
    <w:rsid w:val="00D07935"/>
    <w:rsid w:val="00D101B0"/>
    <w:rsid w:val="00D11B89"/>
    <w:rsid w:val="00D133AE"/>
    <w:rsid w:val="00D13B19"/>
    <w:rsid w:val="00D13F2E"/>
    <w:rsid w:val="00D15F11"/>
    <w:rsid w:val="00D167C3"/>
    <w:rsid w:val="00D16C09"/>
    <w:rsid w:val="00D17439"/>
    <w:rsid w:val="00D206F5"/>
    <w:rsid w:val="00D2110E"/>
    <w:rsid w:val="00D21632"/>
    <w:rsid w:val="00D223C4"/>
    <w:rsid w:val="00D22AE4"/>
    <w:rsid w:val="00D24A35"/>
    <w:rsid w:val="00D24B6C"/>
    <w:rsid w:val="00D271EB"/>
    <w:rsid w:val="00D31348"/>
    <w:rsid w:val="00D31448"/>
    <w:rsid w:val="00D329C5"/>
    <w:rsid w:val="00D32B39"/>
    <w:rsid w:val="00D33BDB"/>
    <w:rsid w:val="00D34634"/>
    <w:rsid w:val="00D348EE"/>
    <w:rsid w:val="00D34F62"/>
    <w:rsid w:val="00D353CF"/>
    <w:rsid w:val="00D35BA7"/>
    <w:rsid w:val="00D37709"/>
    <w:rsid w:val="00D41245"/>
    <w:rsid w:val="00D4137C"/>
    <w:rsid w:val="00D41700"/>
    <w:rsid w:val="00D41893"/>
    <w:rsid w:val="00D42F4F"/>
    <w:rsid w:val="00D45EF6"/>
    <w:rsid w:val="00D46DAB"/>
    <w:rsid w:val="00D50485"/>
    <w:rsid w:val="00D510E7"/>
    <w:rsid w:val="00D51E13"/>
    <w:rsid w:val="00D525EC"/>
    <w:rsid w:val="00D535AF"/>
    <w:rsid w:val="00D53A31"/>
    <w:rsid w:val="00D5597B"/>
    <w:rsid w:val="00D55C92"/>
    <w:rsid w:val="00D56B06"/>
    <w:rsid w:val="00D5733D"/>
    <w:rsid w:val="00D575FC"/>
    <w:rsid w:val="00D6157D"/>
    <w:rsid w:val="00D638CA"/>
    <w:rsid w:val="00D65F94"/>
    <w:rsid w:val="00D66988"/>
    <w:rsid w:val="00D66E63"/>
    <w:rsid w:val="00D67F84"/>
    <w:rsid w:val="00D704C0"/>
    <w:rsid w:val="00D70784"/>
    <w:rsid w:val="00D714C7"/>
    <w:rsid w:val="00D7264F"/>
    <w:rsid w:val="00D731DD"/>
    <w:rsid w:val="00D73D26"/>
    <w:rsid w:val="00D742CE"/>
    <w:rsid w:val="00D743DA"/>
    <w:rsid w:val="00D74E48"/>
    <w:rsid w:val="00D77504"/>
    <w:rsid w:val="00D77CC7"/>
    <w:rsid w:val="00D80A5D"/>
    <w:rsid w:val="00D81C1A"/>
    <w:rsid w:val="00D82592"/>
    <w:rsid w:val="00D83F50"/>
    <w:rsid w:val="00D84863"/>
    <w:rsid w:val="00D851E2"/>
    <w:rsid w:val="00D860FF"/>
    <w:rsid w:val="00D869A6"/>
    <w:rsid w:val="00D877DB"/>
    <w:rsid w:val="00D9097B"/>
    <w:rsid w:val="00D90EAB"/>
    <w:rsid w:val="00D90F78"/>
    <w:rsid w:val="00D91A49"/>
    <w:rsid w:val="00D93BCB"/>
    <w:rsid w:val="00D95647"/>
    <w:rsid w:val="00D96362"/>
    <w:rsid w:val="00D96784"/>
    <w:rsid w:val="00D97280"/>
    <w:rsid w:val="00D977DE"/>
    <w:rsid w:val="00D97A18"/>
    <w:rsid w:val="00D97EC1"/>
    <w:rsid w:val="00DA035C"/>
    <w:rsid w:val="00DA106D"/>
    <w:rsid w:val="00DA18AF"/>
    <w:rsid w:val="00DA18BA"/>
    <w:rsid w:val="00DA3171"/>
    <w:rsid w:val="00DA354E"/>
    <w:rsid w:val="00DA3C32"/>
    <w:rsid w:val="00DA3DE2"/>
    <w:rsid w:val="00DA6CDA"/>
    <w:rsid w:val="00DA7130"/>
    <w:rsid w:val="00DA75BB"/>
    <w:rsid w:val="00DA7EFB"/>
    <w:rsid w:val="00DB22E1"/>
    <w:rsid w:val="00DB2470"/>
    <w:rsid w:val="00DB2B34"/>
    <w:rsid w:val="00DB2CBE"/>
    <w:rsid w:val="00DB6923"/>
    <w:rsid w:val="00DB69CA"/>
    <w:rsid w:val="00DC0AC1"/>
    <w:rsid w:val="00DC0DF2"/>
    <w:rsid w:val="00DC1E24"/>
    <w:rsid w:val="00DC1FC1"/>
    <w:rsid w:val="00DC34AE"/>
    <w:rsid w:val="00DC4F37"/>
    <w:rsid w:val="00DC5DE7"/>
    <w:rsid w:val="00DC6CC8"/>
    <w:rsid w:val="00DC725B"/>
    <w:rsid w:val="00DC72A4"/>
    <w:rsid w:val="00DC7A31"/>
    <w:rsid w:val="00DD2B37"/>
    <w:rsid w:val="00DD3106"/>
    <w:rsid w:val="00DD3891"/>
    <w:rsid w:val="00DD4208"/>
    <w:rsid w:val="00DD482B"/>
    <w:rsid w:val="00DD7FBA"/>
    <w:rsid w:val="00DE1B0B"/>
    <w:rsid w:val="00DE30C7"/>
    <w:rsid w:val="00DE331C"/>
    <w:rsid w:val="00DE35C6"/>
    <w:rsid w:val="00DE4025"/>
    <w:rsid w:val="00DE61F2"/>
    <w:rsid w:val="00DF1C9B"/>
    <w:rsid w:val="00DF2562"/>
    <w:rsid w:val="00DF26F9"/>
    <w:rsid w:val="00DF29F7"/>
    <w:rsid w:val="00DF3341"/>
    <w:rsid w:val="00DF478A"/>
    <w:rsid w:val="00DF6DF3"/>
    <w:rsid w:val="00E024D2"/>
    <w:rsid w:val="00E03AD4"/>
    <w:rsid w:val="00E04423"/>
    <w:rsid w:val="00E04670"/>
    <w:rsid w:val="00E04C74"/>
    <w:rsid w:val="00E05035"/>
    <w:rsid w:val="00E0639C"/>
    <w:rsid w:val="00E0653A"/>
    <w:rsid w:val="00E06907"/>
    <w:rsid w:val="00E0794E"/>
    <w:rsid w:val="00E127D4"/>
    <w:rsid w:val="00E134E1"/>
    <w:rsid w:val="00E13C49"/>
    <w:rsid w:val="00E143A1"/>
    <w:rsid w:val="00E145C5"/>
    <w:rsid w:val="00E15EBF"/>
    <w:rsid w:val="00E162FB"/>
    <w:rsid w:val="00E1660E"/>
    <w:rsid w:val="00E16A19"/>
    <w:rsid w:val="00E210AE"/>
    <w:rsid w:val="00E21644"/>
    <w:rsid w:val="00E22573"/>
    <w:rsid w:val="00E2514D"/>
    <w:rsid w:val="00E25B76"/>
    <w:rsid w:val="00E27252"/>
    <w:rsid w:val="00E30F11"/>
    <w:rsid w:val="00E32121"/>
    <w:rsid w:val="00E365F9"/>
    <w:rsid w:val="00E37BDF"/>
    <w:rsid w:val="00E4084B"/>
    <w:rsid w:val="00E4096E"/>
    <w:rsid w:val="00E40AB6"/>
    <w:rsid w:val="00E411B7"/>
    <w:rsid w:val="00E43A36"/>
    <w:rsid w:val="00E44816"/>
    <w:rsid w:val="00E46278"/>
    <w:rsid w:val="00E52C12"/>
    <w:rsid w:val="00E53F38"/>
    <w:rsid w:val="00E541EE"/>
    <w:rsid w:val="00E54919"/>
    <w:rsid w:val="00E54A94"/>
    <w:rsid w:val="00E553BD"/>
    <w:rsid w:val="00E563B4"/>
    <w:rsid w:val="00E56828"/>
    <w:rsid w:val="00E5742F"/>
    <w:rsid w:val="00E602FD"/>
    <w:rsid w:val="00E6040F"/>
    <w:rsid w:val="00E60D1A"/>
    <w:rsid w:val="00E633E5"/>
    <w:rsid w:val="00E636F5"/>
    <w:rsid w:val="00E641D7"/>
    <w:rsid w:val="00E64213"/>
    <w:rsid w:val="00E67BB4"/>
    <w:rsid w:val="00E67E43"/>
    <w:rsid w:val="00E70225"/>
    <w:rsid w:val="00E704AB"/>
    <w:rsid w:val="00E727B7"/>
    <w:rsid w:val="00E738C5"/>
    <w:rsid w:val="00E750DE"/>
    <w:rsid w:val="00E75204"/>
    <w:rsid w:val="00E76D47"/>
    <w:rsid w:val="00E801EF"/>
    <w:rsid w:val="00E80562"/>
    <w:rsid w:val="00E80A70"/>
    <w:rsid w:val="00E822C7"/>
    <w:rsid w:val="00E823D4"/>
    <w:rsid w:val="00E850EA"/>
    <w:rsid w:val="00E85D2C"/>
    <w:rsid w:val="00E86621"/>
    <w:rsid w:val="00E86E79"/>
    <w:rsid w:val="00E870F0"/>
    <w:rsid w:val="00E90AF5"/>
    <w:rsid w:val="00E919BE"/>
    <w:rsid w:val="00E91F55"/>
    <w:rsid w:val="00E9272F"/>
    <w:rsid w:val="00E932F0"/>
    <w:rsid w:val="00E9424B"/>
    <w:rsid w:val="00E946C0"/>
    <w:rsid w:val="00E94E18"/>
    <w:rsid w:val="00E96301"/>
    <w:rsid w:val="00E96E08"/>
    <w:rsid w:val="00E97539"/>
    <w:rsid w:val="00E977E4"/>
    <w:rsid w:val="00EA0909"/>
    <w:rsid w:val="00EA17A1"/>
    <w:rsid w:val="00EA2406"/>
    <w:rsid w:val="00EA4601"/>
    <w:rsid w:val="00EA4648"/>
    <w:rsid w:val="00EA4712"/>
    <w:rsid w:val="00EA4B3B"/>
    <w:rsid w:val="00EA61F5"/>
    <w:rsid w:val="00EA777A"/>
    <w:rsid w:val="00EB0184"/>
    <w:rsid w:val="00EB01E5"/>
    <w:rsid w:val="00EB08DC"/>
    <w:rsid w:val="00EB0B37"/>
    <w:rsid w:val="00EB1483"/>
    <w:rsid w:val="00EB1837"/>
    <w:rsid w:val="00EB1971"/>
    <w:rsid w:val="00EB2FBD"/>
    <w:rsid w:val="00EB4E1B"/>
    <w:rsid w:val="00EB6FDC"/>
    <w:rsid w:val="00EB726C"/>
    <w:rsid w:val="00EB74C9"/>
    <w:rsid w:val="00EB7F49"/>
    <w:rsid w:val="00EC14E5"/>
    <w:rsid w:val="00EC258A"/>
    <w:rsid w:val="00EC27B6"/>
    <w:rsid w:val="00EC27C2"/>
    <w:rsid w:val="00EC2EDB"/>
    <w:rsid w:val="00EC4216"/>
    <w:rsid w:val="00EC5472"/>
    <w:rsid w:val="00EC6B9B"/>
    <w:rsid w:val="00EC7027"/>
    <w:rsid w:val="00EC7098"/>
    <w:rsid w:val="00EC75C7"/>
    <w:rsid w:val="00ED0777"/>
    <w:rsid w:val="00ED0C6D"/>
    <w:rsid w:val="00ED0CD3"/>
    <w:rsid w:val="00ED21F1"/>
    <w:rsid w:val="00ED4E4C"/>
    <w:rsid w:val="00ED6BD7"/>
    <w:rsid w:val="00ED7379"/>
    <w:rsid w:val="00EE5585"/>
    <w:rsid w:val="00EE7416"/>
    <w:rsid w:val="00EF034F"/>
    <w:rsid w:val="00EF0FA6"/>
    <w:rsid w:val="00EF338A"/>
    <w:rsid w:val="00EF3569"/>
    <w:rsid w:val="00EF4A28"/>
    <w:rsid w:val="00EF50A7"/>
    <w:rsid w:val="00EF5B8B"/>
    <w:rsid w:val="00EF5E9A"/>
    <w:rsid w:val="00EF5EF1"/>
    <w:rsid w:val="00EF6527"/>
    <w:rsid w:val="00F025CE"/>
    <w:rsid w:val="00F047CE"/>
    <w:rsid w:val="00F04E8F"/>
    <w:rsid w:val="00F07ABB"/>
    <w:rsid w:val="00F109D2"/>
    <w:rsid w:val="00F11C0C"/>
    <w:rsid w:val="00F1234A"/>
    <w:rsid w:val="00F14C03"/>
    <w:rsid w:val="00F1521F"/>
    <w:rsid w:val="00F15531"/>
    <w:rsid w:val="00F15741"/>
    <w:rsid w:val="00F16190"/>
    <w:rsid w:val="00F21532"/>
    <w:rsid w:val="00F215C4"/>
    <w:rsid w:val="00F24127"/>
    <w:rsid w:val="00F265B9"/>
    <w:rsid w:val="00F26622"/>
    <w:rsid w:val="00F26CCE"/>
    <w:rsid w:val="00F27827"/>
    <w:rsid w:val="00F306B6"/>
    <w:rsid w:val="00F30EEF"/>
    <w:rsid w:val="00F311D8"/>
    <w:rsid w:val="00F31998"/>
    <w:rsid w:val="00F33541"/>
    <w:rsid w:val="00F350DE"/>
    <w:rsid w:val="00F36A5F"/>
    <w:rsid w:val="00F403B0"/>
    <w:rsid w:val="00F413CF"/>
    <w:rsid w:val="00F4308E"/>
    <w:rsid w:val="00F442BC"/>
    <w:rsid w:val="00F474B1"/>
    <w:rsid w:val="00F5026F"/>
    <w:rsid w:val="00F50865"/>
    <w:rsid w:val="00F51D8E"/>
    <w:rsid w:val="00F53DCF"/>
    <w:rsid w:val="00F54764"/>
    <w:rsid w:val="00F55BCC"/>
    <w:rsid w:val="00F56813"/>
    <w:rsid w:val="00F56A8A"/>
    <w:rsid w:val="00F57D22"/>
    <w:rsid w:val="00F57F75"/>
    <w:rsid w:val="00F60881"/>
    <w:rsid w:val="00F62895"/>
    <w:rsid w:val="00F64B21"/>
    <w:rsid w:val="00F662BB"/>
    <w:rsid w:val="00F677BD"/>
    <w:rsid w:val="00F703E8"/>
    <w:rsid w:val="00F711B2"/>
    <w:rsid w:val="00F7324B"/>
    <w:rsid w:val="00F76DDB"/>
    <w:rsid w:val="00F80240"/>
    <w:rsid w:val="00F80E0B"/>
    <w:rsid w:val="00F81D16"/>
    <w:rsid w:val="00F82E01"/>
    <w:rsid w:val="00F834C2"/>
    <w:rsid w:val="00F83B7E"/>
    <w:rsid w:val="00F86CCA"/>
    <w:rsid w:val="00F86D7D"/>
    <w:rsid w:val="00F8782E"/>
    <w:rsid w:val="00F87979"/>
    <w:rsid w:val="00F87A01"/>
    <w:rsid w:val="00F90AEE"/>
    <w:rsid w:val="00F90C87"/>
    <w:rsid w:val="00F90C8A"/>
    <w:rsid w:val="00F910B2"/>
    <w:rsid w:val="00F91196"/>
    <w:rsid w:val="00F91C5E"/>
    <w:rsid w:val="00F92945"/>
    <w:rsid w:val="00F93F0C"/>
    <w:rsid w:val="00F9400D"/>
    <w:rsid w:val="00F9405D"/>
    <w:rsid w:val="00F962FC"/>
    <w:rsid w:val="00FA19A9"/>
    <w:rsid w:val="00FA36E9"/>
    <w:rsid w:val="00FA5D75"/>
    <w:rsid w:val="00FA6E57"/>
    <w:rsid w:val="00FB0E35"/>
    <w:rsid w:val="00FB1D69"/>
    <w:rsid w:val="00FB3013"/>
    <w:rsid w:val="00FB347F"/>
    <w:rsid w:val="00FB3754"/>
    <w:rsid w:val="00FB379D"/>
    <w:rsid w:val="00FB6A76"/>
    <w:rsid w:val="00FB6EB5"/>
    <w:rsid w:val="00FC0AC9"/>
    <w:rsid w:val="00FC1223"/>
    <w:rsid w:val="00FC1D36"/>
    <w:rsid w:val="00FC2145"/>
    <w:rsid w:val="00FC25FD"/>
    <w:rsid w:val="00FC2615"/>
    <w:rsid w:val="00FC3313"/>
    <w:rsid w:val="00FC36DD"/>
    <w:rsid w:val="00FC49A9"/>
    <w:rsid w:val="00FC4BFB"/>
    <w:rsid w:val="00FC4E37"/>
    <w:rsid w:val="00FC7A47"/>
    <w:rsid w:val="00FD0111"/>
    <w:rsid w:val="00FD094C"/>
    <w:rsid w:val="00FD0C9C"/>
    <w:rsid w:val="00FD1627"/>
    <w:rsid w:val="00FD4555"/>
    <w:rsid w:val="00FD4B21"/>
    <w:rsid w:val="00FD52B5"/>
    <w:rsid w:val="00FE0AF8"/>
    <w:rsid w:val="00FE1C9F"/>
    <w:rsid w:val="00FE45A7"/>
    <w:rsid w:val="00FE490D"/>
    <w:rsid w:val="00FE6396"/>
    <w:rsid w:val="00FE7CA4"/>
    <w:rsid w:val="00FF000E"/>
    <w:rsid w:val="00FF01EA"/>
    <w:rsid w:val="00FF15EE"/>
    <w:rsid w:val="00FF26BC"/>
    <w:rsid w:val="00FF342F"/>
    <w:rsid w:val="00FF43FD"/>
    <w:rsid w:val="00FF4587"/>
    <w:rsid w:val="00FF48EC"/>
    <w:rsid w:val="00FF5ED6"/>
    <w:rsid w:val="00FF5FD4"/>
    <w:rsid w:val="00FF63C1"/>
    <w:rsid w:val="00FF6EF9"/>
    <w:rsid w:val="00FF710F"/>
    <w:rsid w:val="00FF73EA"/>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6"/>
    <w:pPr>
      <w:spacing w:after="160" w:line="259" w:lineRule="auto"/>
    </w:pPr>
    <w:rPr>
      <w:rFonts w:asciiTheme="minorHAnsi" w:eastAsiaTheme="minorHAnsi" w:hAnsiTheme="minorHAnsi" w:cstheme="minorBidi"/>
      <w:sz w:val="22"/>
      <w:szCs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7608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676089"/>
    <w:pPr>
      <w:keepNext/>
      <w:numPr>
        <w:ilvl w:val="1"/>
        <w:numId w:val="1"/>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676089"/>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676089"/>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676089"/>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676089"/>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76089"/>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76089"/>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67608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4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116"/>
  </w:style>
  <w:style w:type="paragraph" w:styleId="Header">
    <w:name w:val="header"/>
    <w:basedOn w:val="Normal"/>
    <w:autoRedefine/>
    <w:rsid w:val="00D535AF"/>
    <w:pPr>
      <w:tabs>
        <w:tab w:val="center" w:pos="4680"/>
        <w:tab w:val="right" w:pos="9360"/>
      </w:tabs>
      <w:jc w:val="center"/>
    </w:pPr>
    <w:rPr>
      <w:rFonts w:ascii="Times New Roman" w:hAnsi="Times New Roman" w:cs="Times New Roman"/>
      <w:sz w:val="28"/>
      <w:szCs w:val="28"/>
    </w:rPr>
  </w:style>
  <w:style w:type="paragraph" w:styleId="Footer">
    <w:name w:val="footer"/>
    <w:basedOn w:val="Normal"/>
    <w:link w:val="FooterChar"/>
    <w:rsid w:val="00676089"/>
    <w:pPr>
      <w:tabs>
        <w:tab w:val="center" w:pos="4320"/>
        <w:tab w:val="right" w:pos="8640"/>
      </w:tabs>
    </w:pPr>
  </w:style>
  <w:style w:type="character" w:styleId="Hyperlink">
    <w:name w:val="Hyperlink"/>
    <w:rsid w:val="00676089"/>
    <w:rPr>
      <w:color w:val="0000FF"/>
      <w:u w:val="single"/>
    </w:rPr>
  </w:style>
  <w:style w:type="paragraph" w:styleId="TOC1">
    <w:name w:val="toc 1"/>
    <w:basedOn w:val="Normal"/>
    <w:next w:val="Normal"/>
    <w:rsid w:val="00676089"/>
    <w:pPr>
      <w:tabs>
        <w:tab w:val="left" w:pos="360"/>
        <w:tab w:val="right" w:leader="dot" w:pos="9360"/>
      </w:tabs>
      <w:suppressAutoHyphens/>
      <w:ind w:left="360" w:right="720" w:hanging="360"/>
    </w:pPr>
    <w:rPr>
      <w:caps/>
      <w:noProof/>
    </w:rPr>
  </w:style>
  <w:style w:type="character" w:styleId="PageNumber">
    <w:name w:val="page number"/>
    <w:basedOn w:val="DefaultParagraphFont"/>
    <w:rsid w:val="00676089"/>
  </w:style>
  <w:style w:type="paragraph" w:customStyle="1" w:styleId="ParaNum">
    <w:name w:val="ParaNum"/>
    <w:basedOn w:val="Normal"/>
    <w:link w:val="ParaNumChar"/>
    <w:rsid w:val="00676089"/>
    <w:pPr>
      <w:numPr>
        <w:numId w:val="2"/>
      </w:numPr>
      <w:tabs>
        <w:tab w:val="clear" w:pos="1080"/>
        <w:tab w:val="num" w:pos="1440"/>
      </w:tabs>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676089"/>
    <w:pPr>
      <w:spacing w:after="120"/>
    </w:pPr>
  </w:style>
  <w:style w:type="paragraph" w:styleId="TOC2">
    <w:name w:val="toc 2"/>
    <w:basedOn w:val="Normal"/>
    <w:next w:val="Normal"/>
    <w:rsid w:val="00676089"/>
    <w:pPr>
      <w:tabs>
        <w:tab w:val="left" w:pos="720"/>
        <w:tab w:val="right" w:leader="dot" w:pos="9360"/>
      </w:tabs>
      <w:suppressAutoHyphens/>
      <w:ind w:left="720" w:right="720" w:hanging="360"/>
    </w:pPr>
    <w:rPr>
      <w:noProof/>
    </w:rPr>
  </w:style>
  <w:style w:type="paragraph" w:styleId="TOC3">
    <w:name w:val="toc 3"/>
    <w:basedOn w:val="Normal"/>
    <w:next w:val="Normal"/>
    <w:rsid w:val="0067608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760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6089"/>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Appel note de bas de p,FR,Footnote Reference/,Footnote Reference1,Style 12,Style 124,Style 13,Style 17,Style 3,Style 4,Style 6,Style 7,fr,o"/>
    <w:rsid w:val="00676089"/>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numPr>
        <w:numId w:val="3"/>
      </w:numPr>
      <w:tabs>
        <w:tab w:val="left" w:pos="1440"/>
      </w:tabs>
      <w:spacing w:after="240"/>
      <w:jc w:val="both"/>
    </w:pPr>
    <w:rPr>
      <w:snapToGrid w:val="0"/>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spacing w:after="220"/>
      <w:ind w:left="0" w:firstLine="0"/>
    </w:pPr>
    <w:rPr>
      <w:bCs/>
      <w:snapToGrid w:val="0"/>
      <w:szCs w:val="24"/>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style>
  <w:style w:type="paragraph" w:styleId="EndnoteText">
    <w:name w:val="endnote text"/>
    <w:basedOn w:val="Normal"/>
    <w:semiHidden/>
    <w:rsid w:val="00676089"/>
    <w:rPr>
      <w:sz w:val="20"/>
    </w:rPr>
  </w:style>
  <w:style w:type="character" w:styleId="EndnoteReference">
    <w:name w:val="endnote reference"/>
    <w:semiHidden/>
    <w:rsid w:val="00676089"/>
    <w:rPr>
      <w:vertAlign w:val="superscript"/>
    </w:rPr>
  </w:style>
  <w:style w:type="paragraph" w:styleId="TOC6">
    <w:name w:val="toc 6"/>
    <w:basedOn w:val="Normal"/>
    <w:next w:val="Normal"/>
    <w:autoRedefine/>
    <w:semiHidden/>
    <w:rsid w:val="006760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60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60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60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6089"/>
    <w:pPr>
      <w:tabs>
        <w:tab w:val="right" w:pos="9360"/>
      </w:tabs>
      <w:suppressAutoHyphens/>
    </w:pPr>
  </w:style>
  <w:style w:type="character" w:customStyle="1" w:styleId="EquationCaption">
    <w:name w:val="_Equation Caption"/>
    <w:rsid w:val="00676089"/>
  </w:style>
  <w:style w:type="paragraph" w:styleId="BlockText">
    <w:name w:val="Block Text"/>
    <w:basedOn w:val="Normal"/>
    <w:rsid w:val="00676089"/>
    <w:pPr>
      <w:spacing w:after="240"/>
      <w:ind w:left="1440" w:right="1440"/>
    </w:pPr>
  </w:style>
  <w:style w:type="paragraph" w:customStyle="1" w:styleId="Paratitle">
    <w:name w:val="Para title"/>
    <w:basedOn w:val="Normal"/>
    <w:rsid w:val="00676089"/>
    <w:pPr>
      <w:tabs>
        <w:tab w:val="center" w:pos="9270"/>
      </w:tabs>
      <w:spacing w:after="240"/>
    </w:pPr>
    <w:rPr>
      <w:spacing w:val="-2"/>
    </w:rPr>
  </w:style>
  <w:style w:type="paragraph" w:customStyle="1" w:styleId="Bullet">
    <w:name w:val="Bullet"/>
    <w:basedOn w:val="Normal"/>
    <w:rsid w:val="00676089"/>
    <w:pPr>
      <w:tabs>
        <w:tab w:val="left" w:pos="2160"/>
      </w:tabs>
      <w:spacing w:after="220"/>
      <w:ind w:left="2160" w:hanging="720"/>
    </w:pPr>
  </w:style>
  <w:style w:type="paragraph" w:customStyle="1" w:styleId="TableFormat">
    <w:name w:val="TableFormat"/>
    <w:basedOn w:val="Bullet"/>
    <w:rsid w:val="00676089"/>
    <w:pPr>
      <w:tabs>
        <w:tab w:val="clear" w:pos="2160"/>
        <w:tab w:val="left" w:pos="5040"/>
      </w:tabs>
      <w:ind w:left="5040" w:hanging="3600"/>
    </w:pPr>
  </w:style>
  <w:style w:type="paragraph" w:customStyle="1" w:styleId="TOCTitle">
    <w:name w:val="TOC Title"/>
    <w:basedOn w:val="Normal"/>
    <w:rsid w:val="006760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6089"/>
    <w:pPr>
      <w:jc w:val="center"/>
    </w:pPr>
    <w:rPr>
      <w:rFonts w:ascii="Times New Roman Bold" w:hAnsi="Times New Roman Bold"/>
      <w:b/>
      <w:bCs/>
      <w:cap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link w:val="Heading2"/>
    <w:rsid w:val="009458EC"/>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val="0"/>
      <w:color w:val="365F91" w:themeColor="accent1" w:themeShade="BF"/>
      <w:sz w:val="28"/>
      <w:szCs w:val="28"/>
      <w:lang w:eastAsia="ja-JP"/>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8445B1"/>
    <w:rPr>
      <w:rFonts w:ascii="Times New Roman Bold" w:hAnsi="Times New Roman Bold"/>
      <w:b/>
      <w:caps/>
      <w:snapToGrid w:val="0"/>
      <w:kern w:val="28"/>
      <w:sz w:val="22"/>
    </w:rPr>
  </w:style>
  <w:style w:type="character" w:styleId="CommentReference">
    <w:name w:val="annotation reference"/>
    <w:basedOn w:val="DefaultParagraphFont"/>
    <w:semiHidden/>
    <w:unhideWhenUsed/>
    <w:rsid w:val="000B59E8"/>
    <w:rPr>
      <w:sz w:val="16"/>
      <w:szCs w:val="16"/>
    </w:rPr>
  </w:style>
  <w:style w:type="paragraph" w:styleId="CommentText">
    <w:name w:val="annotation text"/>
    <w:basedOn w:val="Normal"/>
    <w:link w:val="CommentTextChar"/>
    <w:semiHidden/>
    <w:unhideWhenUsed/>
    <w:rsid w:val="000B59E8"/>
    <w:rPr>
      <w:sz w:val="20"/>
    </w:rPr>
  </w:style>
  <w:style w:type="character" w:customStyle="1" w:styleId="CommentTextChar">
    <w:name w:val="Comment Text Char"/>
    <w:basedOn w:val="DefaultParagraphFont"/>
    <w:link w:val="CommentText"/>
    <w:semiHidden/>
    <w:rsid w:val="000B59E8"/>
    <w:rPr>
      <w:snapToGrid w:val="0"/>
      <w:kern w:val="28"/>
    </w:rPr>
  </w:style>
  <w:style w:type="paragraph" w:styleId="CommentSubject">
    <w:name w:val="annotation subject"/>
    <w:basedOn w:val="CommentText"/>
    <w:next w:val="CommentText"/>
    <w:link w:val="CommentSubjectChar"/>
    <w:semiHidden/>
    <w:unhideWhenUsed/>
    <w:rsid w:val="000B59E8"/>
    <w:rPr>
      <w:b/>
      <w:bCs/>
    </w:rPr>
  </w:style>
  <w:style w:type="character" w:customStyle="1" w:styleId="CommentSubjectChar">
    <w:name w:val="Comment Subject Char"/>
    <w:basedOn w:val="CommentTextChar"/>
    <w:link w:val="CommentSubject"/>
    <w:semiHidden/>
    <w:rsid w:val="000B59E8"/>
    <w:rPr>
      <w:b/>
      <w:bCs/>
      <w:snapToGrid w:val="0"/>
      <w:kern w:val="28"/>
    </w:rPr>
  </w:style>
  <w:style w:type="paragraph" w:styleId="Revision">
    <w:name w:val="Revision"/>
    <w:hidden/>
    <w:uiPriority w:val="99"/>
    <w:semiHidden/>
    <w:rsid w:val="008C0C9F"/>
    <w:rPr>
      <w:snapToGrid w:val="0"/>
      <w:kern w:val="28"/>
      <w:sz w:val="22"/>
    </w:rPr>
  </w:style>
  <w:style w:type="character" w:customStyle="1" w:styleId="FooterChar">
    <w:name w:val="Footer Char"/>
    <w:basedOn w:val="DefaultParagraphFont"/>
    <w:link w:val="Footer"/>
    <w:rsid w:val="004D7B0C"/>
    <w:rPr>
      <w:snapToGrid w:val="0"/>
      <w:kern w:val="28"/>
      <w:sz w:val="22"/>
    </w:rPr>
  </w:style>
  <w:style w:type="paragraph" w:styleId="NoSpacing">
    <w:name w:val="No Spacing"/>
    <w:uiPriority w:val="1"/>
    <w:qFormat/>
    <w:rsid w:val="00A722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78D3-93CA-4BCE-95FB-B4EB7CFB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2018-04-24T20:19:17Z</dcterms:created>
  <dcterms:modified xsi:type="dcterms:W3CDTF">2018-04-24T20:19:17Z</dcterms:modified>
</cp:coreProperties>
</file>