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5426F120"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4FD28CC" w14:textId="77777777">
      <w:pPr>
        <w:pStyle w:val="StyleBoldCentered"/>
      </w:pPr>
      <w:r>
        <w:t>F</w:t>
      </w:r>
      <w:r>
        <w:rPr>
          <w:caps w:val="0"/>
        </w:rPr>
        <w:t>ederal Communications Commission</w:t>
      </w:r>
    </w:p>
    <w:p w:rsidR="004C2EE3" w:rsidP="00096D8C" w14:paraId="2F130196" w14:textId="77777777">
      <w:pPr>
        <w:pStyle w:val="StyleBoldCentered"/>
      </w:pPr>
      <w:r>
        <w:rPr>
          <w:caps w:val="0"/>
        </w:rPr>
        <w:t>Washington, D.C. 20554</w:t>
      </w:r>
    </w:p>
    <w:p w:rsidR="004C2EE3" w:rsidP="0070224F" w14:paraId="0730AB7E" w14:textId="77777777"/>
    <w:p w:rsidR="004C2EE3" w:rsidP="0070224F" w14:paraId="712FA5A3"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24B43236"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4BF24624"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2879AA85" w14:textId="77777777">
            <w:pPr>
              <w:widowControl w:val="0"/>
              <w:tabs>
                <w:tab w:val="center" w:pos="4680"/>
              </w:tabs>
              <w:suppressAutoHyphens/>
              <w:rPr>
                <w:rStyle w:val="DefaultParagraphFont"/>
                <w:snapToGrid w:val="0"/>
                <w:spacing w:val="-2"/>
                <w:kern w:val="28"/>
                <w:sz w:val="22"/>
                <w:lang w:val="en-US" w:eastAsia="en-US" w:bidi="ar-SA"/>
              </w:rPr>
            </w:pPr>
          </w:p>
          <w:p w:rsidR="004C2EE3" w:rsidP="007115F7" w14:paraId="5E8F892E"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Ravi’s Import Warehouse, Inc.,</w:t>
            </w:r>
          </w:p>
          <w:p w:rsidR="007A26DA" w:rsidRPr="007115F7" w:rsidP="007115F7" w14:paraId="438E93E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Dallas, Texas</w:t>
            </w:r>
          </w:p>
        </w:tc>
        <w:tc>
          <w:tcPr>
            <w:tcW w:w="630" w:type="dxa"/>
          </w:tcPr>
          <w:p w:rsidR="004C2EE3" w14:paraId="4FCC2DB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67021BB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6EF418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3B2D64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7A26DA" w14:paraId="6ED2442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138D12B1" w14:textId="77777777">
            <w:pPr>
              <w:widowControl w:val="0"/>
              <w:tabs>
                <w:tab w:val="center" w:pos="4680"/>
              </w:tabs>
              <w:suppressAutoHyphens/>
              <w:rPr>
                <w:rStyle w:val="DefaultParagraphFont"/>
                <w:snapToGrid w:val="0"/>
                <w:spacing w:val="-2"/>
                <w:kern w:val="28"/>
                <w:sz w:val="22"/>
                <w:lang w:val="en-US" w:eastAsia="en-US" w:bidi="ar-SA"/>
              </w:rPr>
            </w:pPr>
          </w:p>
          <w:p w:rsidR="004C2EE3" w14:paraId="2612BC49"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EB-FIELDSCR-17-00024142</w:t>
            </w:r>
          </w:p>
          <w:p w:rsidR="007A26DA" w14:paraId="37CE07E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NAL/Acct No.: 201732500001</w:t>
            </w:r>
          </w:p>
          <w:p w:rsidR="007A26DA" w14:paraId="7611D20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FRN: 0026514281</w:t>
            </w:r>
          </w:p>
        </w:tc>
      </w:tr>
    </w:tbl>
    <w:p w:rsidR="004C2EE3" w:rsidP="0070224F" w14:paraId="2FF71444" w14:textId="77777777"/>
    <w:p w:rsidR="00841AB1" w:rsidP="00F021FA" w14:paraId="34D13598" w14:textId="77777777">
      <w:pPr>
        <w:pStyle w:val="StyleBoldCentered"/>
      </w:pPr>
      <w:r>
        <w:t>Forfeiture order</w:t>
      </w:r>
    </w:p>
    <w:p w:rsidR="004C2EE3" w14:paraId="5901C73B" w14:textId="77777777">
      <w:pPr>
        <w:tabs>
          <w:tab w:val="left" w:pos="-720"/>
        </w:tabs>
        <w:suppressAutoHyphens/>
        <w:spacing w:line="227" w:lineRule="auto"/>
        <w:rPr>
          <w:spacing w:val="-2"/>
        </w:rPr>
      </w:pPr>
    </w:p>
    <w:p w:rsidR="004C2EE3" w:rsidP="00133F79" w14:paraId="3445196C" w14:textId="145D9469">
      <w:pPr>
        <w:tabs>
          <w:tab w:val="left" w:pos="720"/>
          <w:tab w:val="right" w:pos="9360"/>
        </w:tabs>
        <w:suppressAutoHyphens/>
        <w:spacing w:line="227" w:lineRule="auto"/>
        <w:rPr>
          <w:spacing w:val="-2"/>
        </w:rPr>
      </w:pPr>
      <w:r>
        <w:rPr>
          <w:b/>
          <w:spacing w:val="-2"/>
        </w:rPr>
        <w:t xml:space="preserve">Adopted:  </w:t>
      </w:r>
      <w:r w:rsidR="00CB7791">
        <w:rPr>
          <w:b/>
          <w:spacing w:val="-2"/>
        </w:rPr>
        <w:t>April 25,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B7791">
        <w:rPr>
          <w:b/>
          <w:spacing w:val="-2"/>
        </w:rPr>
        <w:t>April 26, 2018</w:t>
      </w:r>
    </w:p>
    <w:p w:rsidR="00822CE0" w14:paraId="59ED08CB" w14:textId="77777777"/>
    <w:p w:rsidR="004C2EE3" w14:paraId="7577354D" w14:textId="77777777">
      <w:pPr>
        <w:rPr>
          <w:spacing w:val="-2"/>
        </w:rPr>
      </w:pPr>
      <w:r>
        <w:t xml:space="preserve">By </w:t>
      </w:r>
      <w:r w:rsidR="004E4A22">
        <w:t>the</w:t>
      </w:r>
      <w:r w:rsidR="002A2D2E">
        <w:t xml:space="preserve"> </w:t>
      </w:r>
      <w:r w:rsidR="007A26DA">
        <w:rPr>
          <w:spacing w:val="-2"/>
        </w:rPr>
        <w:t>Regional Director, Region Two</w:t>
      </w:r>
      <w:r>
        <w:rPr>
          <w:spacing w:val="-2"/>
        </w:rPr>
        <w:t>:</w:t>
      </w:r>
    </w:p>
    <w:p w:rsidR="00412FC5" w:rsidP="00412FC5" w14:paraId="7944B7D7" w14:textId="77777777"/>
    <w:p w:rsidR="002C00E8" w:rsidP="002C00E8" w14:paraId="5C4DB076" w14:textId="77777777">
      <w:pPr>
        <w:pStyle w:val="Heading1"/>
      </w:pPr>
      <w:r>
        <w:t>introduction</w:t>
      </w:r>
    </w:p>
    <w:p w:rsidR="007A26DA" w:rsidP="00D7362E" w14:paraId="2B77745D" w14:textId="13EAE4EE">
      <w:pPr>
        <w:pStyle w:val="ParaNum"/>
      </w:pPr>
      <w:r>
        <w:t>We impose a penalty of $22,000 against Ravi’s Import Warehouse, Inc.</w:t>
      </w:r>
      <w:r w:rsidR="00656941">
        <w:t>,</w:t>
      </w:r>
      <w:r>
        <w:t xml:space="preserve"> (Ravi’s) for operating a cellular phone jammer (jammer or signal jammer) in its commercial establishment in Dallas, Texas, in willful violation of Sections 301, 302</w:t>
      </w:r>
      <w:r w:rsidR="00E06CBD">
        <w:t>a</w:t>
      </w:r>
      <w:r>
        <w:t>(b), and 333 of the Communications Act of 1934, as amended (Act),</w:t>
      </w:r>
      <w:r>
        <w:rPr>
          <w:rStyle w:val="FootnoteReference"/>
        </w:rPr>
        <w:footnoteReference w:id="3"/>
      </w:r>
      <w:r>
        <w:t xml:space="preserve"> and Sections 2.805(a) and 15.1(c) of the Commission’s rules.</w:t>
      </w:r>
      <w:r>
        <w:rPr>
          <w:rStyle w:val="FootnoteReference"/>
        </w:rPr>
        <w:footnoteReference w:id="4"/>
      </w:r>
      <w:r>
        <w:t xml:space="preserve">  </w:t>
      </w:r>
      <w:r w:rsidR="006306A6">
        <w:t xml:space="preserve">The Enforcement Bureau (Bureau) previously </w:t>
      </w:r>
      <w:r w:rsidR="00E3421B">
        <w:t>proposed a $22,000 forfeiture against Ravi’s for its use of a signal jammer.</w:t>
      </w:r>
      <w:r>
        <w:rPr>
          <w:rStyle w:val="FootnoteReference"/>
        </w:rPr>
        <w:footnoteReference w:id="5"/>
      </w:r>
      <w:r w:rsidR="00F4211A">
        <w:t xml:space="preserve">  In response to the </w:t>
      </w:r>
      <w:r w:rsidRPr="00E3421B" w:rsidR="00F4211A">
        <w:rPr>
          <w:i/>
        </w:rPr>
        <w:t>NAL</w:t>
      </w:r>
      <w:r w:rsidR="00F4211A">
        <w:t xml:space="preserve">, Ravi’s asserts that the Bureau </w:t>
      </w:r>
      <w:r w:rsidR="00DB6D9C">
        <w:t xml:space="preserve">incorrectly applied </w:t>
      </w:r>
      <w:r w:rsidR="00F86D65">
        <w:t xml:space="preserve">relevant portions of the Act </w:t>
      </w:r>
      <w:r w:rsidR="00F4211A">
        <w:t xml:space="preserve">and proposed a forfeiture that was inconsistent with precedent.  </w:t>
      </w:r>
      <w:r>
        <w:t xml:space="preserve">After reviewing </w:t>
      </w:r>
      <w:r w:rsidR="00F86D65">
        <w:t xml:space="preserve">Ravi’s response to the </w:t>
      </w:r>
      <w:r w:rsidRPr="00F86D65" w:rsidR="00F86D65">
        <w:rPr>
          <w:i/>
        </w:rPr>
        <w:t>NAL</w:t>
      </w:r>
      <w:r w:rsidR="00F86D65">
        <w:t xml:space="preserve">, </w:t>
      </w:r>
      <w:r w:rsidR="00F4211A">
        <w:t xml:space="preserve">we disagree and </w:t>
      </w:r>
      <w:r>
        <w:t>find no reason to cancel, withdraw, or reduce the proposed p</w:t>
      </w:r>
      <w:r w:rsidR="00F4211A">
        <w:t xml:space="preserve">enalty.  We </w:t>
      </w:r>
      <w:r>
        <w:t>therefore assess the $22,000 forfeiture the Bureau previously proposed.</w:t>
      </w:r>
      <w:r w:rsidR="00F4211A">
        <w:t xml:space="preserve"> </w:t>
      </w:r>
    </w:p>
    <w:p w:rsidR="002714A8" w:rsidP="002714A8" w14:paraId="20B7D0EE" w14:textId="77777777">
      <w:pPr>
        <w:pStyle w:val="Heading1"/>
      </w:pPr>
      <w:r>
        <w:t>background</w:t>
      </w:r>
    </w:p>
    <w:p w:rsidR="002714A8" w:rsidP="00D7362E" w14:paraId="46D6F654" w14:textId="79C07216">
      <w:pPr>
        <w:pStyle w:val="ParaNum"/>
      </w:pPr>
      <w:r>
        <w:t xml:space="preserve">On July 26, 2017, the Bureau issued the </w:t>
      </w:r>
      <w:r>
        <w:rPr>
          <w:i/>
        </w:rPr>
        <w:t>NAL</w:t>
      </w:r>
      <w:r>
        <w:t xml:space="preserve"> proposing a $22,000 forfeiture against Ravi’s for its apparent willful violation of Sections 301, 302</w:t>
      </w:r>
      <w:r w:rsidR="00E06CBD">
        <w:t>a</w:t>
      </w:r>
      <w:r>
        <w:t xml:space="preserve">(b), and 333 of the Act and Section 2.805(a) and 15.1(c) of the Commission’s rules </w:t>
      </w:r>
      <w:r w:rsidR="00F86D65">
        <w:t xml:space="preserve">stemming from its operation of </w:t>
      </w:r>
      <w:r>
        <w:t>a signal jammer.</w:t>
      </w:r>
      <w:r>
        <w:rPr>
          <w:rStyle w:val="FootnoteReference"/>
        </w:rPr>
        <w:footnoteReference w:id="6"/>
      </w:r>
      <w:r>
        <w:t xml:space="preserve">  As discussed in the </w:t>
      </w:r>
      <w:r>
        <w:rPr>
          <w:i/>
        </w:rPr>
        <w:t>NAL</w:t>
      </w:r>
      <w:r>
        <w:t xml:space="preserve">, on </w:t>
      </w:r>
      <w:r w:rsidR="00FC60D6">
        <w:t xml:space="preserve">April 10, 2017, an agent from the </w:t>
      </w:r>
      <w:r w:rsidR="00F4211A">
        <w:t>Bureau’s</w:t>
      </w:r>
      <w:r w:rsidR="00FC60D6">
        <w:t xml:space="preserve"> Dallas Field Office (Dallas Office) </w:t>
      </w:r>
      <w:r>
        <w:t xml:space="preserve">responded to </w:t>
      </w:r>
      <w:r w:rsidR="00FC60D6">
        <w:t>a complaint from an AT&amp;T representative</w:t>
      </w:r>
      <w:r>
        <w:t xml:space="preserve"> asserting </w:t>
      </w:r>
      <w:r w:rsidR="00FC60D6">
        <w:t>that an AT&amp;T base station was receiving interference</w:t>
      </w:r>
      <w:r w:rsidR="00F4211A">
        <w:t xml:space="preserve"> from what appeared to be a signal jammer</w:t>
      </w:r>
      <w:r w:rsidR="00FC60D6">
        <w:t>.</w:t>
      </w:r>
      <w:r>
        <w:rPr>
          <w:rStyle w:val="FootnoteReference"/>
        </w:rPr>
        <w:footnoteReference w:id="7"/>
      </w:r>
      <w:r w:rsidR="00FC60D6">
        <w:t xml:space="preserve"> </w:t>
      </w:r>
      <w:r w:rsidR="001A1BB4">
        <w:t xml:space="preserve"> </w:t>
      </w:r>
      <w:r w:rsidR="00FC60D6">
        <w:t xml:space="preserve">The AT&amp;T representative advised the agent that the characteristics of the interference were typical of a signal jammer. </w:t>
      </w:r>
      <w:r>
        <w:t xml:space="preserve"> </w:t>
      </w:r>
      <w:r w:rsidR="00FC60D6">
        <w:t xml:space="preserve">While the agent was </w:t>
      </w:r>
      <w:r w:rsidR="003A194A">
        <w:t>en route</w:t>
      </w:r>
      <w:r w:rsidR="00FC60D6">
        <w:t xml:space="preserve"> to the general location of the </w:t>
      </w:r>
      <w:r w:rsidR="005C7716">
        <w:t>suspected</w:t>
      </w:r>
      <w:r w:rsidR="00FC60D6">
        <w:t xml:space="preserve"> signal jammer, the AT&amp;T representative </w:t>
      </w:r>
      <w:r w:rsidR="00CB23E9">
        <w:t xml:space="preserve">separately, and using his own equipment, </w:t>
      </w:r>
      <w:r w:rsidR="00FC60D6">
        <w:t xml:space="preserve">determined that the jammer was likely located within Ravi’s commercial establishment.  When the agent arrived on the scene, the AT&amp;T representative </w:t>
      </w:r>
      <w:r w:rsidR="00CB23E9">
        <w:t xml:space="preserve">was already present and </w:t>
      </w:r>
      <w:r w:rsidR="00FC60D6">
        <w:t xml:space="preserve">stated that </w:t>
      </w:r>
      <w:r w:rsidR="00CB23E9">
        <w:t xml:space="preserve">shortly after </w:t>
      </w:r>
      <w:r w:rsidR="00FC60D6">
        <w:t>Ravi’s security personnel noticed the AT&amp;T representative’s presence</w:t>
      </w:r>
      <w:r w:rsidR="00CB23E9">
        <w:t>,</w:t>
      </w:r>
      <w:r w:rsidR="005C7716">
        <w:t xml:space="preserve"> </w:t>
      </w:r>
      <w:r w:rsidR="00FC60D6">
        <w:t xml:space="preserve">the jammer ceased operating.  In the presence of the AT&amp;T representative, the agent spoke with Anita Bhatia, who stated that she was </w:t>
      </w:r>
      <w:r w:rsidR="00FC60D6">
        <w:t>the owner of Ravi’s.</w:t>
      </w:r>
      <w:r>
        <w:rPr>
          <w:rStyle w:val="FootnoteReference"/>
        </w:rPr>
        <w:footnoteReference w:id="8"/>
      </w:r>
      <w:r w:rsidR="00FC60D6">
        <w:t xml:space="preserve"> </w:t>
      </w:r>
      <w:r w:rsidR="001A1BB4">
        <w:t xml:space="preserve"> </w:t>
      </w:r>
      <w:r w:rsidR="00FC60D6">
        <w:t xml:space="preserve">Ms. Bhatia admitted to </w:t>
      </w:r>
      <w:r>
        <w:t xml:space="preserve">the agent that Ravi’s used </w:t>
      </w:r>
      <w:r w:rsidR="00FC60D6">
        <w:t xml:space="preserve">a signal jammer as a means of preventing </w:t>
      </w:r>
      <w:r w:rsidR="000F44BA">
        <w:t xml:space="preserve">its </w:t>
      </w:r>
      <w:r w:rsidR="00FC60D6">
        <w:t>employees from using mobile phones while at work.</w:t>
      </w:r>
      <w:r>
        <w:rPr>
          <w:rStyle w:val="FootnoteReference"/>
        </w:rPr>
        <w:footnoteReference w:id="9"/>
      </w:r>
      <w:r w:rsidR="001C1B0F">
        <w:t xml:space="preserve"> </w:t>
      </w:r>
      <w:r w:rsidR="00FC60D6">
        <w:t xml:space="preserve"> The agent informed Ms. Bhatia of the public safety issues that could be caused by Ravi’s use of a cell jammer. </w:t>
      </w:r>
      <w:r w:rsidR="000F44BA">
        <w:t xml:space="preserve"> </w:t>
      </w:r>
      <w:r w:rsidR="00FC60D6">
        <w:t xml:space="preserve">Ms. Bhatia acknowledged that, in February 2017, the AT&amp;T representative had warned her adult son against the operation of a signal jammer.  Ms. Bhatia further stated that she disposed of the jammer shortly before the agent’s arrival. </w:t>
      </w:r>
      <w:r w:rsidR="001A1BB4">
        <w:t xml:space="preserve"> </w:t>
      </w:r>
      <w:r w:rsidR="00FC60D6">
        <w:t xml:space="preserve">Ms. Bhatia refused to voluntarily </w:t>
      </w:r>
      <w:r w:rsidR="00C61B7C">
        <w:t xml:space="preserve">retrieve and </w:t>
      </w:r>
      <w:r w:rsidR="00FC60D6">
        <w:t>surrender the device to the agent</w:t>
      </w:r>
      <w:r w:rsidR="00C61B7C">
        <w:t>,</w:t>
      </w:r>
      <w:r w:rsidR="00FC60D6">
        <w:t xml:space="preserve"> and</w:t>
      </w:r>
      <w:r w:rsidR="00C61B7C">
        <w:t xml:space="preserve"> she</w:t>
      </w:r>
      <w:r w:rsidR="00FC60D6">
        <w:t xml:space="preserve"> </w:t>
      </w:r>
      <w:r w:rsidR="00C61B7C">
        <w:t xml:space="preserve">also </w:t>
      </w:r>
      <w:r w:rsidR="00FC60D6">
        <w:t xml:space="preserve">refused to </w:t>
      </w:r>
      <w:r w:rsidR="00C61B7C">
        <w:t xml:space="preserve">identify </w:t>
      </w:r>
      <w:r w:rsidR="00FC60D6">
        <w:t>the specific dumpster in which she disposed of the device.</w:t>
      </w:r>
      <w:r>
        <w:rPr>
          <w:rStyle w:val="FootnoteReference"/>
        </w:rPr>
        <w:footnoteReference w:id="10"/>
      </w:r>
      <w:r w:rsidR="00FC60D6">
        <w:t xml:space="preserve">  Instead, Ms. Bhatia offered to sell the signal jammer to the agent.</w:t>
      </w:r>
      <w:r>
        <w:rPr>
          <w:rStyle w:val="FootnoteReference"/>
        </w:rPr>
        <w:footnoteReference w:id="11"/>
      </w:r>
      <w:r w:rsidR="00FC60D6">
        <w:t xml:space="preserve"> </w:t>
      </w:r>
      <w:r w:rsidR="001A1BB4">
        <w:t xml:space="preserve"> </w:t>
      </w:r>
      <w:r w:rsidR="00FC60D6">
        <w:t xml:space="preserve">The agent declined the offer and issued a Notice of Unlicensed Radio Operation informing Ravi’s that the operation of a signal jammer </w:t>
      </w:r>
      <w:r w:rsidR="000F44BA">
        <w:t xml:space="preserve">is </w:t>
      </w:r>
      <w:r w:rsidR="00FC60D6">
        <w:t>illegal</w:t>
      </w:r>
      <w:r w:rsidR="001A1BB4">
        <w:t>.</w:t>
      </w:r>
      <w:r>
        <w:rPr>
          <w:rStyle w:val="FootnoteReference"/>
        </w:rPr>
        <w:footnoteReference w:id="12"/>
      </w:r>
      <w:r w:rsidR="001A1BB4">
        <w:t xml:space="preserve"> </w:t>
      </w:r>
      <w:r w:rsidR="00FC60D6">
        <w:t xml:space="preserve"> The following day, the agent contacted the AT&amp;T representative, who confirmed that AT&amp;T was no longer receiving interference from equipment operated at Ravi’s commercial establishment.</w:t>
      </w:r>
      <w:r>
        <w:rPr>
          <w:rStyle w:val="FootnoteReference"/>
        </w:rPr>
        <w:footnoteReference w:id="13"/>
      </w:r>
      <w:r>
        <w:t xml:space="preserve"> </w:t>
      </w:r>
    </w:p>
    <w:p w:rsidR="002429E4" w:rsidP="00D7362E" w14:paraId="3FB4D360" w14:textId="51AB7475">
      <w:pPr>
        <w:pStyle w:val="ParaNum"/>
      </w:pPr>
      <w:r>
        <w:t xml:space="preserve">On August 21, 2017, Ravi’s submitted a </w:t>
      </w:r>
      <w:r w:rsidR="008E1E8F">
        <w:t xml:space="preserve">brief </w:t>
      </w:r>
      <w:r>
        <w:t xml:space="preserve">response to the </w:t>
      </w:r>
      <w:r>
        <w:rPr>
          <w:i/>
        </w:rPr>
        <w:t>NAL</w:t>
      </w:r>
      <w:r>
        <w:t>.</w:t>
      </w:r>
      <w:r>
        <w:rPr>
          <w:rStyle w:val="FootnoteReference"/>
        </w:rPr>
        <w:footnoteReference w:id="14"/>
      </w:r>
      <w:r>
        <w:t xml:space="preserve">  In the NAL Response, Ravi’s </w:t>
      </w:r>
      <w:r w:rsidR="005F5ED9">
        <w:t>affirms the core facts establishing that it violated Sections 301</w:t>
      </w:r>
      <w:r w:rsidR="008E1E8F">
        <w:t>, 302</w:t>
      </w:r>
      <w:r w:rsidR="00950F2A">
        <w:t>a</w:t>
      </w:r>
      <w:r w:rsidR="008E1E8F">
        <w:t>(b),</w:t>
      </w:r>
      <w:r w:rsidR="005F5ED9">
        <w:t xml:space="preserve"> and 333 of the Act</w:t>
      </w:r>
      <w:r w:rsidR="008E1E8F">
        <w:t xml:space="preserve"> and Sections 2.805(a) and 15.1(c) of the Commission’s rules</w:t>
      </w:r>
      <w:r w:rsidR="000F44BA">
        <w:t xml:space="preserve"> but</w:t>
      </w:r>
      <w:r w:rsidR="005F5ED9">
        <w:t xml:space="preserve"> </w:t>
      </w:r>
      <w:r>
        <w:t xml:space="preserve">argues that the Bureau misapplied relevant law and Commission precedents in proposing a $22,000 monetary forfeiture against Ravi’s.  </w:t>
      </w:r>
      <w:r w:rsidR="008E1E8F">
        <w:t>Specifically, Ravi’s argues that, (i) while Ms. Bhatia used a jammer and discarded it in a dumpster, that the FCC agent did not ask her to retrieve it</w:t>
      </w:r>
      <w:r w:rsidR="009530F1">
        <w:t>;</w:t>
      </w:r>
      <w:r w:rsidR="008C2743">
        <w:t xml:space="preserve"> and</w:t>
      </w:r>
      <w:r w:rsidR="008E1E8F">
        <w:t xml:space="preserve"> (ii) that the Bureau erred in applying Section 503(b)(2)(D) of the Act</w:t>
      </w:r>
      <w:r w:rsidR="008C2743">
        <w:t xml:space="preserve"> and otherwise misapplied the law in determining the proposed forfeiture amount</w:t>
      </w:r>
      <w:r w:rsidR="008E1E8F">
        <w:t xml:space="preserve">.  </w:t>
      </w:r>
      <w:r w:rsidR="00CC2991">
        <w:t>For the reasons set forth below, we find that Ravi’s has not provided an adequate basis for reducing or canceling the forfeiture proposed in the NAL.</w:t>
      </w:r>
      <w:r w:rsidR="008C607D">
        <w:t xml:space="preserve"> </w:t>
      </w:r>
    </w:p>
    <w:p w:rsidR="002714A8" w:rsidP="002714A8" w14:paraId="171DE212" w14:textId="77777777">
      <w:pPr>
        <w:pStyle w:val="Heading1"/>
      </w:pPr>
      <w:r>
        <w:t>discussion</w:t>
      </w:r>
    </w:p>
    <w:p w:rsidR="007C7C2D" w:rsidP="007C7C2D" w14:paraId="707677FF" w14:textId="142349AF">
      <w:pPr>
        <w:pStyle w:val="ParaNum"/>
      </w:pPr>
      <w:r w:rsidRPr="00344C0B">
        <w:t xml:space="preserve">The </w:t>
      </w:r>
      <w:r>
        <w:t>Bureau</w:t>
      </w:r>
      <w:r w:rsidRPr="00344C0B">
        <w:t xml:space="preserve"> proposed a forfeiture in this case in accordance with Section 503(b) of the </w:t>
      </w:r>
      <w:r>
        <w:t>Act</w:t>
      </w:r>
      <w:r w:rsidRPr="00344C0B">
        <w:t>,</w:t>
      </w:r>
      <w:r>
        <w:rPr>
          <w:rStyle w:val="FootnoteReference"/>
        </w:rPr>
        <w:footnoteReference w:id="15"/>
      </w:r>
      <w:r w:rsidRPr="0007571D">
        <w:t xml:space="preserve"> Section 1.80 of the </w:t>
      </w:r>
      <w:r>
        <w:t>Commission’s r</w:t>
      </w:r>
      <w:r w:rsidRPr="0007571D">
        <w:t>ules,</w:t>
      </w:r>
      <w:r>
        <w:rPr>
          <w:vertAlign w:val="superscript"/>
        </w:rPr>
        <w:footnoteReference w:id="16"/>
      </w:r>
      <w:r w:rsidRPr="0007571D">
        <w:t xml:space="preserve"> and the Commissi</w:t>
      </w:r>
      <w:r w:rsidRPr="00344C0B">
        <w:t xml:space="preserve">on’s </w:t>
      </w:r>
      <w:r w:rsidRPr="007C7C2D">
        <w:rPr>
          <w:i/>
        </w:rPr>
        <w:t xml:space="preserve">Forfeiture Policy </w:t>
      </w:r>
      <w:r w:rsidRPr="007C7C2D">
        <w:rPr>
          <w:rFonts w:eastAsia="MS Mincho"/>
          <w:i/>
          <w:szCs w:val="22"/>
        </w:rPr>
        <w:t>Statement</w:t>
      </w:r>
      <w:r w:rsidRPr="00344C0B">
        <w:t>.</w:t>
      </w:r>
      <w:r>
        <w:rPr>
          <w:rStyle w:val="FootnoteReference"/>
          <w:szCs w:val="22"/>
        </w:rPr>
        <w:footnoteReference w:id="17"/>
      </w:r>
      <w:r w:rsidRPr="0007571D">
        <w:t xml:space="preserve">  </w:t>
      </w:r>
      <w:r w:rsidRPr="00344C0B">
        <w:t>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8"/>
      </w:r>
      <w:r w:rsidRPr="0007571D">
        <w:t xml:space="preserve">  </w:t>
      </w:r>
      <w:r w:rsidR="00BD5D0F">
        <w:rPr>
          <w:szCs w:val="22"/>
        </w:rPr>
        <w:t>W</w:t>
      </w:r>
      <w:r w:rsidRPr="007C7C2D">
        <w:rPr>
          <w:szCs w:val="22"/>
        </w:rPr>
        <w:t xml:space="preserve">e have fully considered </w:t>
      </w:r>
      <w:r>
        <w:rPr>
          <w:szCs w:val="22"/>
        </w:rPr>
        <w:t xml:space="preserve">Ravi’s </w:t>
      </w:r>
      <w:r w:rsidRPr="007C7C2D">
        <w:rPr>
          <w:szCs w:val="22"/>
        </w:rPr>
        <w:t xml:space="preserve">response to the </w:t>
      </w:r>
      <w:r w:rsidRPr="007C7C2D">
        <w:rPr>
          <w:i/>
          <w:szCs w:val="22"/>
        </w:rPr>
        <w:t>NAL</w:t>
      </w:r>
      <w:r>
        <w:rPr>
          <w:szCs w:val="22"/>
        </w:rPr>
        <w:t xml:space="preserve">, </w:t>
      </w:r>
      <w:r w:rsidRPr="007C7C2D">
        <w:rPr>
          <w:szCs w:val="22"/>
        </w:rPr>
        <w:t>which includes a variety of legal</w:t>
      </w:r>
      <w:r w:rsidR="0037359B">
        <w:rPr>
          <w:szCs w:val="22"/>
        </w:rPr>
        <w:t xml:space="preserve"> arguments</w:t>
      </w:r>
      <w:r w:rsidRPr="007C7C2D">
        <w:rPr>
          <w:szCs w:val="22"/>
        </w:rPr>
        <w:t xml:space="preserve">, but we find none of them persuasive.  </w:t>
      </w:r>
      <w:r w:rsidR="00AD3051">
        <w:rPr>
          <w:szCs w:val="22"/>
        </w:rPr>
        <w:t xml:space="preserve">The Bureau </w:t>
      </w:r>
      <w:r w:rsidRPr="007C7C2D">
        <w:rPr>
          <w:szCs w:val="22"/>
        </w:rPr>
        <w:t>therefore affirm</w:t>
      </w:r>
      <w:r w:rsidR="00BC30A0">
        <w:rPr>
          <w:szCs w:val="22"/>
        </w:rPr>
        <w:t>s</w:t>
      </w:r>
      <w:r w:rsidRPr="007C7C2D">
        <w:rPr>
          <w:szCs w:val="22"/>
        </w:rPr>
        <w:t xml:space="preserve"> the $</w:t>
      </w:r>
      <w:r>
        <w:rPr>
          <w:szCs w:val="22"/>
        </w:rPr>
        <w:t>22,000</w:t>
      </w:r>
      <w:r w:rsidRPr="007C7C2D">
        <w:rPr>
          <w:szCs w:val="22"/>
        </w:rPr>
        <w:t xml:space="preserve"> forfeiture proposed in the </w:t>
      </w:r>
      <w:r w:rsidRPr="007C7C2D">
        <w:rPr>
          <w:i/>
          <w:szCs w:val="22"/>
        </w:rPr>
        <w:t>NAL.</w:t>
      </w:r>
    </w:p>
    <w:p w:rsidR="000F44BA" w:rsidP="005F5ED9" w14:paraId="0BE658F7" w14:textId="0400929F">
      <w:pPr>
        <w:pStyle w:val="ParaNum"/>
        <w:widowControl/>
      </w:pPr>
      <w:r>
        <w:t>In the NAL Response, Ravi’s admits</w:t>
      </w:r>
      <w:r w:rsidR="00180FE4">
        <w:t xml:space="preserve"> </w:t>
      </w:r>
      <w:r w:rsidR="008E1E8F">
        <w:t>to the core “</w:t>
      </w:r>
      <w:r w:rsidR="00180FE4">
        <w:t xml:space="preserve">operative facts” </w:t>
      </w:r>
      <w:r w:rsidR="008E1E8F">
        <w:t xml:space="preserve">set forth </w:t>
      </w:r>
      <w:r w:rsidR="00180FE4">
        <w:t xml:space="preserve">in </w:t>
      </w:r>
      <w:r w:rsidR="008E1E8F">
        <w:t xml:space="preserve">the </w:t>
      </w:r>
      <w:r w:rsidRPr="00CB23E9" w:rsidR="00180FE4">
        <w:rPr>
          <w:i/>
        </w:rPr>
        <w:t>NAL</w:t>
      </w:r>
      <w:r w:rsidR="006834C0">
        <w:t>—</w:t>
      </w:r>
      <w:r w:rsidR="00336CB7">
        <w:t>that</w:t>
      </w:r>
      <w:r w:rsidR="006834C0">
        <w:t xml:space="preserve"> </w:t>
      </w:r>
      <w:r w:rsidR="00180FE4">
        <w:t xml:space="preserve">Ravi’s </w:t>
      </w:r>
      <w:r w:rsidR="006834C0">
        <w:t xml:space="preserve">operated </w:t>
      </w:r>
      <w:r w:rsidR="00180FE4">
        <w:t>a signal jammer on April 10, 2017</w:t>
      </w:r>
      <w:r w:rsidR="00E475B6">
        <w:t>,</w:t>
      </w:r>
      <w:r w:rsidR="00180FE4">
        <w:t xml:space="preserve"> and that Ravi’s previously </w:t>
      </w:r>
      <w:r>
        <w:t>received a warning from AT&amp;T in February 2017.</w:t>
      </w:r>
      <w:r>
        <w:rPr>
          <w:rStyle w:val="FootnoteReference"/>
        </w:rPr>
        <w:footnoteReference w:id="19"/>
      </w:r>
      <w:r>
        <w:t xml:space="preserve">  </w:t>
      </w:r>
      <w:r w:rsidR="00BD5D0F">
        <w:t xml:space="preserve">As a result, Ravi’s conceded the central facts </w:t>
      </w:r>
      <w:r w:rsidR="00180FE4">
        <w:t xml:space="preserve">to support a conclusion that </w:t>
      </w:r>
      <w:r w:rsidR="00BD5D0F">
        <w:t>Ravi’s violated Section</w:t>
      </w:r>
      <w:r w:rsidR="006834C0">
        <w:t>s</w:t>
      </w:r>
      <w:r w:rsidR="00BD5D0F">
        <w:t xml:space="preserve"> 301 </w:t>
      </w:r>
      <w:r w:rsidR="006834C0">
        <w:t>and 302</w:t>
      </w:r>
      <w:r w:rsidR="00950F2A">
        <w:t>a</w:t>
      </w:r>
      <w:r w:rsidR="006834C0">
        <w:t xml:space="preserve">(b) </w:t>
      </w:r>
      <w:r w:rsidR="00BD5D0F">
        <w:t xml:space="preserve">of the Act </w:t>
      </w:r>
      <w:r w:rsidR="00CB23E9">
        <w:t xml:space="preserve">and Sections 2.805(a) and 15.1(c) of the Commission’s rules </w:t>
      </w:r>
      <w:r w:rsidR="00BD5D0F">
        <w:t>by operating a radiofrequency device without authority from the Commission and Section 333 of the Act by willfully causing interference to AT&amp;T</w:t>
      </w:r>
      <w:r w:rsidR="0058706A">
        <w:t>.</w:t>
      </w:r>
      <w:r>
        <w:rPr>
          <w:rStyle w:val="FootnoteReference"/>
        </w:rPr>
        <w:footnoteReference w:id="20"/>
      </w:r>
      <w:r w:rsidR="00180FE4">
        <w:t xml:space="preserve"> </w:t>
      </w:r>
      <w:r w:rsidR="00950F2A">
        <w:t xml:space="preserve"> </w:t>
      </w:r>
      <w:r w:rsidR="003B691C">
        <w:t>Thus, we affirm our apparent finding</w:t>
      </w:r>
      <w:r w:rsidR="006834C0">
        <w:t>s of liability.</w:t>
      </w:r>
      <w:r w:rsidR="003B691C">
        <w:t xml:space="preserve">  </w:t>
      </w:r>
      <w:r w:rsidR="00F42427">
        <w:t xml:space="preserve"> </w:t>
      </w:r>
      <w:r w:rsidR="00BD5D0F">
        <w:t xml:space="preserve">  </w:t>
      </w:r>
    </w:p>
    <w:p w:rsidR="0037359B" w:rsidP="003B691C" w14:paraId="1EEFC1CA" w14:textId="4EF193AE">
      <w:pPr>
        <w:pStyle w:val="ParaNum"/>
        <w:widowControl/>
      </w:pPr>
      <w:r>
        <w:t>In</w:t>
      </w:r>
      <w:r w:rsidR="00F86D65">
        <w:t xml:space="preserve"> t</w:t>
      </w:r>
      <w:r w:rsidR="005F5ED9">
        <w:t>he NAL Response</w:t>
      </w:r>
      <w:r>
        <w:t>, however, Ravi’s</w:t>
      </w:r>
      <w:r w:rsidR="005F5ED9">
        <w:t xml:space="preserve"> </w:t>
      </w:r>
      <w:r w:rsidR="00F86D65">
        <w:t xml:space="preserve">disputes </w:t>
      </w:r>
      <w:r>
        <w:t xml:space="preserve">narrow </w:t>
      </w:r>
      <w:r w:rsidR="00CC2991">
        <w:t xml:space="preserve">portions of the </w:t>
      </w:r>
      <w:r w:rsidRPr="005F5ED9" w:rsidR="00CC2991">
        <w:rPr>
          <w:i/>
        </w:rPr>
        <w:t>NAL</w:t>
      </w:r>
      <w:r w:rsidR="00CC2991">
        <w:t>’s description of the April 10, 2017,</w:t>
      </w:r>
      <w:r>
        <w:rPr>
          <w:rStyle w:val="FootnoteReference"/>
        </w:rPr>
        <w:footnoteReference w:id="21"/>
      </w:r>
      <w:r w:rsidR="00CC2991">
        <w:t xml:space="preserve"> conversation between Ms. Bhatia and t</w:t>
      </w:r>
      <w:r w:rsidR="00992C96">
        <w:t>he agent from the Dallas Office</w:t>
      </w:r>
      <w:r w:rsidR="003B691C">
        <w:t xml:space="preserve">.  </w:t>
      </w:r>
      <w:r>
        <w:t>Ravi’s disputes whether the FCC Agent asked her to retrieve the signal jammer from the trash and she declined or whether she told the agent that the agent could retrieve it.  Specifically, in the Bhatia Affidavit, Ms. Bhatia states</w:t>
      </w:r>
      <w:r w:rsidR="003B691C">
        <w:t xml:space="preserve"> that she “told [the FCC agent] that [she] had thrown the jammer in the dumpster and that they were welcome to retrieve it.  They declined to do so.”</w:t>
      </w:r>
      <w:r>
        <w:rPr>
          <w:rStyle w:val="FootnoteReference"/>
        </w:rPr>
        <w:footnoteReference w:id="22"/>
      </w:r>
      <w:r w:rsidR="003B691C">
        <w:t xml:space="preserve">  </w:t>
      </w:r>
      <w:r w:rsidR="00A92FCD">
        <w:t xml:space="preserve">Even if we were to accept the version of events recounted in the Bhatia Affidavit, </w:t>
      </w:r>
      <w:r w:rsidR="00992C96">
        <w:t>the dispute</w:t>
      </w:r>
      <w:r w:rsidR="00F86D65">
        <w:t>d</w:t>
      </w:r>
      <w:r w:rsidR="00992C96">
        <w:t xml:space="preserve"> portion of the conversation between Ms. Bhatia and the agent </w:t>
      </w:r>
      <w:r w:rsidR="00A92FCD">
        <w:t>is irrelevant to our finding of liability, especially in light of Ravi’s admissions in the NAL Response.</w:t>
      </w:r>
      <w:r>
        <w:rPr>
          <w:rStyle w:val="FootnoteReference"/>
        </w:rPr>
        <w:footnoteReference w:id="23"/>
      </w:r>
      <w:r w:rsidR="00A92FCD">
        <w:t xml:space="preserve">  Rather, the only logical purpose of the Bhatia Affidavit would be to argue against </w:t>
      </w:r>
      <w:r w:rsidR="00F86D65">
        <w:t xml:space="preserve">the $5,000 upward adjustment proposed in the </w:t>
      </w:r>
      <w:r w:rsidRPr="003B691C" w:rsidR="00F86D65">
        <w:rPr>
          <w:i/>
        </w:rPr>
        <w:t>NAL</w:t>
      </w:r>
      <w:r w:rsidR="003B691C">
        <w:rPr>
          <w:i/>
        </w:rPr>
        <w:t xml:space="preserve"> </w:t>
      </w:r>
      <w:r w:rsidR="003B691C">
        <w:t>for egregious behavior</w:t>
      </w:r>
      <w:r w:rsidR="00F86D65">
        <w:t>.</w:t>
      </w:r>
      <w:r w:rsidR="00C73A7D">
        <w:t xml:space="preserve"> </w:t>
      </w:r>
      <w:r w:rsidR="00F86D65">
        <w:t xml:space="preserve"> </w:t>
      </w:r>
      <w:r w:rsidR="00A92FCD">
        <w:t xml:space="preserve">Although Ravi’s does not make such an affirmative argument in the NAL Response, even if it had done so, </w:t>
      </w:r>
      <w:r w:rsidR="00992C96">
        <w:t xml:space="preserve">we would not find it persuasive.  </w:t>
      </w:r>
      <w:r w:rsidR="005F5ED9">
        <w:t xml:space="preserve">While Ravi’s </w:t>
      </w:r>
      <w:r w:rsidR="00992C96">
        <w:t xml:space="preserve">disputes the characterization in the </w:t>
      </w:r>
      <w:r w:rsidRPr="003B691C" w:rsidR="00992C96">
        <w:rPr>
          <w:i/>
        </w:rPr>
        <w:t>NAL</w:t>
      </w:r>
      <w:r w:rsidR="00992C96">
        <w:t xml:space="preserve"> that Ms. Bhatia refused to voluntarily surrender the jamming device to the agent</w:t>
      </w:r>
      <w:r w:rsidR="005F5ED9">
        <w:t>,</w:t>
      </w:r>
      <w:r>
        <w:rPr>
          <w:rStyle w:val="FootnoteReference"/>
        </w:rPr>
        <w:footnoteReference w:id="24"/>
      </w:r>
      <w:r w:rsidR="00992C96">
        <w:t xml:space="preserve"> the NAL Response </w:t>
      </w:r>
      <w:r w:rsidR="000247C3">
        <w:t xml:space="preserve">does not deny </w:t>
      </w:r>
      <w:r w:rsidR="00992C96">
        <w:t xml:space="preserve">the </w:t>
      </w:r>
      <w:r w:rsidR="00F86D65">
        <w:t xml:space="preserve">Bureau’s </w:t>
      </w:r>
      <w:r w:rsidR="00992C96">
        <w:t>assertion that Ms. Bhatia offered to sell the signal jammer to the agent.</w:t>
      </w:r>
      <w:r>
        <w:rPr>
          <w:rStyle w:val="FootnoteReference"/>
        </w:rPr>
        <w:footnoteReference w:id="25"/>
      </w:r>
      <w:r w:rsidR="00992C96">
        <w:t xml:space="preserve">  Because the </w:t>
      </w:r>
      <w:r w:rsidRPr="003B691C" w:rsidR="00992C96">
        <w:rPr>
          <w:i/>
        </w:rPr>
        <w:t xml:space="preserve">NAL </w:t>
      </w:r>
      <w:r w:rsidR="00F86D65">
        <w:t xml:space="preserve">based </w:t>
      </w:r>
      <w:r w:rsidR="00992C96">
        <w:t xml:space="preserve">the $5,000 upward adjustment on the egregiousness of Ms. Bhatia’s attempt to sell the jamming device to the agent, we need not address the </w:t>
      </w:r>
      <w:r w:rsidR="005F5ED9">
        <w:t>factual question raised in the NAL Response</w:t>
      </w:r>
      <w:r w:rsidR="008C2743">
        <w:t xml:space="preserve"> of who told whom that they could retrieve the jammer from the trash</w:t>
      </w:r>
      <w:r w:rsidR="005F5ED9">
        <w:t>.</w:t>
      </w:r>
      <w:r>
        <w:rPr>
          <w:rStyle w:val="FootnoteReference"/>
        </w:rPr>
        <w:footnoteReference w:id="26"/>
      </w:r>
      <w:r w:rsidR="00992C96">
        <w:t xml:space="preserve">  </w:t>
      </w:r>
    </w:p>
    <w:p w:rsidR="00D7362E" w:rsidP="006F10E9" w14:paraId="6EEA35DA" w14:textId="399F9062">
      <w:pPr>
        <w:pStyle w:val="ParaNum"/>
        <w:widowControl/>
      </w:pPr>
      <w:r>
        <w:t xml:space="preserve">The remainder of the NAL Response asserts that the Bureau </w:t>
      </w:r>
      <w:r w:rsidR="00CC2991">
        <w:t xml:space="preserve">misapplied applicable law in calculating the </w:t>
      </w:r>
      <w:r w:rsidRPr="007C7C2D" w:rsidR="00CC2991">
        <w:rPr>
          <w:i/>
        </w:rPr>
        <w:t>NAL</w:t>
      </w:r>
      <w:r w:rsidR="00CC2991">
        <w:t>’s proposed forfeiture of $22,000.</w:t>
      </w:r>
      <w:r>
        <w:rPr>
          <w:rStyle w:val="FootnoteReference"/>
        </w:rPr>
        <w:footnoteReference w:id="27"/>
      </w:r>
      <w:r>
        <w:t xml:space="preserve">  </w:t>
      </w:r>
      <w:r w:rsidR="008C2743">
        <w:t xml:space="preserve">Ravi’s asserts that the </w:t>
      </w:r>
      <w:r w:rsidR="008C2743">
        <w:rPr>
          <w:i/>
        </w:rPr>
        <w:t>NAL</w:t>
      </w:r>
      <w:r w:rsidR="008C2743">
        <w:t>’s use of Section 503(b)(2)(D) of the Act “is misplaced.”</w:t>
      </w:r>
      <w:r>
        <w:rPr>
          <w:rStyle w:val="FootnoteReference"/>
        </w:rPr>
        <w:footnoteReference w:id="28"/>
      </w:r>
      <w:r w:rsidR="008C2743">
        <w:t xml:space="preserve">  To the contrary, this is the applicable statutory section to apply when the Commission proposes or assesses a forfeiture against an entity that is not a broadcast licensee or a common carrier.</w:t>
      </w:r>
      <w:r>
        <w:rPr>
          <w:rStyle w:val="FootnoteReference"/>
        </w:rPr>
        <w:footnoteReference w:id="29"/>
      </w:r>
      <w:r w:rsidR="008C2743">
        <w:t xml:space="preserve">  </w:t>
      </w:r>
      <w:r w:rsidR="00570263">
        <w:t xml:space="preserve">And </w:t>
      </w:r>
      <w:r w:rsidR="0037359B">
        <w:t xml:space="preserve">the monetary forfeiture proposed in the </w:t>
      </w:r>
      <w:r w:rsidR="0037359B">
        <w:rPr>
          <w:i/>
        </w:rPr>
        <w:t>NAL</w:t>
      </w:r>
      <w:r w:rsidR="0037359B">
        <w:t xml:space="preserve"> is consistent with the Commission’s precedents for enforce</w:t>
      </w:r>
      <w:r>
        <w:t>ment actions involv</w:t>
      </w:r>
      <w:r w:rsidR="0037359B">
        <w:t>ing signal jammers.</w:t>
      </w:r>
      <w:r>
        <w:rPr>
          <w:rStyle w:val="FootnoteReference"/>
        </w:rPr>
        <w:footnoteReference w:id="30"/>
      </w:r>
      <w:r w:rsidR="0037359B">
        <w:t xml:space="preserve">  We therefore reject Ravi’s argument for a reduction of the monetary forfeiture.  </w:t>
      </w:r>
    </w:p>
    <w:p w:rsidR="00EE6199" w:rsidRPr="008C607D" w:rsidP="00D7362E" w14:paraId="2A20D360" w14:textId="56C2DC4A">
      <w:pPr>
        <w:pStyle w:val="ParaNum"/>
      </w:pPr>
      <w:r>
        <w:t xml:space="preserve">After considering the relevant statutory factors and the Commission’s </w:t>
      </w:r>
      <w:r w:rsidRPr="00D7362E">
        <w:rPr>
          <w:i/>
          <w:iCs/>
        </w:rPr>
        <w:t>Forfeiture Policy Statement</w:t>
      </w:r>
      <w:r>
        <w:t xml:space="preserve">, we find that Ravi’s is liable for a total forfeiture of $22,000.  As explained in the </w:t>
      </w:r>
      <w:r w:rsidRPr="00D7362E">
        <w:rPr>
          <w:i/>
        </w:rPr>
        <w:t>NAL</w:t>
      </w:r>
      <w:r>
        <w:t>, this amount represents the sum of (a) the $10,000 base forfeiture for operating a radio without the Commission’s authorization, in violation of Section</w:t>
      </w:r>
      <w:r w:rsidR="00CB23E9">
        <w:t>s</w:t>
      </w:r>
      <w:r>
        <w:t xml:space="preserve"> 301</w:t>
      </w:r>
      <w:r w:rsidR="00CB23E9">
        <w:t xml:space="preserve"> and 302</w:t>
      </w:r>
      <w:r w:rsidR="00950F2A">
        <w:t>a</w:t>
      </w:r>
      <w:r w:rsidR="00CB23E9">
        <w:t>(b)</w:t>
      </w:r>
      <w:r>
        <w:t xml:space="preserve"> of the Act</w:t>
      </w:r>
      <w:r w:rsidR="00CB23E9">
        <w:t xml:space="preserve"> and Sections 2.805(a) and 15.1(c) of the Commission’s rules</w:t>
      </w:r>
      <w:r>
        <w:t xml:space="preserve">, (b) the $7,000 base forfeiture for causing harmful interference, in violation of Section 333 of the Act, and (c) an upward adjustment of $5,000 </w:t>
      </w:r>
      <w:r w:rsidR="00D7362E">
        <w:t xml:space="preserve">to address the egregiousness of Ravi’s attempt </w:t>
      </w:r>
      <w:r w:rsidRPr="00D7362E">
        <w:rPr>
          <w:rFonts w:ascii="TimesNewRoman" w:hAnsi="TimesNewRoman" w:cs="TimesNewRoman"/>
          <w:snapToGrid/>
          <w:kern w:val="0"/>
          <w:szCs w:val="22"/>
        </w:rPr>
        <w:t>to</w:t>
      </w:r>
      <w:r w:rsidRPr="00D7362E" w:rsidR="00D7362E">
        <w:rPr>
          <w:rFonts w:ascii="TimesNewRoman" w:hAnsi="TimesNewRoman" w:cs="TimesNewRoman"/>
          <w:snapToGrid/>
          <w:kern w:val="0"/>
          <w:szCs w:val="22"/>
        </w:rPr>
        <w:t xml:space="preserve"> </w:t>
      </w:r>
      <w:r w:rsidRPr="00D7362E">
        <w:rPr>
          <w:rFonts w:ascii="TimesNewRoman" w:hAnsi="TimesNewRoman" w:cs="TimesNewRoman"/>
          <w:snapToGrid/>
          <w:kern w:val="0"/>
          <w:szCs w:val="22"/>
        </w:rPr>
        <w:t>generate revenue from the Commission’s efforts to resolve an interference complaint (with potential</w:t>
      </w:r>
      <w:r w:rsidRPr="00D7362E" w:rsidR="00D7362E">
        <w:rPr>
          <w:rFonts w:ascii="TimesNewRoman" w:hAnsi="TimesNewRoman" w:cs="TimesNewRoman"/>
          <w:snapToGrid/>
          <w:kern w:val="0"/>
          <w:szCs w:val="22"/>
        </w:rPr>
        <w:t xml:space="preserve"> </w:t>
      </w:r>
      <w:r w:rsidRPr="00D7362E">
        <w:rPr>
          <w:rFonts w:ascii="TimesNewRoman" w:hAnsi="TimesNewRoman" w:cs="TimesNewRoman"/>
          <w:snapToGrid/>
          <w:kern w:val="0"/>
          <w:szCs w:val="22"/>
        </w:rPr>
        <w:t>public safety ramifications)</w:t>
      </w:r>
      <w:r>
        <w:t>.</w:t>
      </w:r>
    </w:p>
    <w:p w:rsidR="002714A8" w:rsidP="002714A8" w14:paraId="4859C1FF" w14:textId="77777777">
      <w:pPr>
        <w:pStyle w:val="Heading1"/>
      </w:pPr>
      <w:r>
        <w:t>Conclusion</w:t>
      </w:r>
    </w:p>
    <w:p w:rsidR="002714A8" w:rsidP="00D7362E" w14:paraId="36742F5A" w14:textId="0C89EF3C">
      <w:pPr>
        <w:pStyle w:val="ParaNum"/>
      </w:pPr>
      <w:r>
        <w:t>Based on the record before us, and in light of the applicable statutory factors, we conclude that Ravi’s willfully violated Section</w:t>
      </w:r>
      <w:r w:rsidR="00503224">
        <w:t>s</w:t>
      </w:r>
      <w:r>
        <w:t xml:space="preserve"> 301</w:t>
      </w:r>
      <w:r w:rsidR="00CB23E9">
        <w:t>, 302</w:t>
      </w:r>
      <w:r w:rsidR="00950F2A">
        <w:t>a</w:t>
      </w:r>
      <w:r w:rsidR="00CB23E9">
        <w:t>(b)</w:t>
      </w:r>
      <w:r w:rsidR="00503224">
        <w:t xml:space="preserve"> and 333</w:t>
      </w:r>
      <w:r>
        <w:t xml:space="preserve"> of the Act </w:t>
      </w:r>
      <w:r w:rsidR="00CB23E9">
        <w:t xml:space="preserve">and Sections 2.805(a) and 15.1(c) of the Commission’s rules </w:t>
      </w:r>
      <w:r>
        <w:t xml:space="preserve">by operating a signal jammer from its commercial establishment in Dallas, Texas.  We decline to cancel or reduce the $22,000 forfeiture proposed in the </w:t>
      </w:r>
      <w:r>
        <w:rPr>
          <w:i/>
        </w:rPr>
        <w:t>NAL.</w:t>
      </w:r>
    </w:p>
    <w:p w:rsidR="002714A8" w:rsidP="002714A8" w14:paraId="22494FC3" w14:textId="77777777">
      <w:pPr>
        <w:pStyle w:val="Heading1"/>
      </w:pPr>
      <w:r>
        <w:t>Ordering clauses</w:t>
      </w:r>
    </w:p>
    <w:p w:rsidR="002429E4" w:rsidP="005F5ED9" w14:paraId="7185AAED" w14:textId="77777777">
      <w:pPr>
        <w:pStyle w:val="ParaNum"/>
        <w:widowControl/>
      </w:pPr>
      <w:r>
        <w:t xml:space="preserve">Accordingly, </w:t>
      </w:r>
      <w:r>
        <w:rPr>
          <w:b/>
        </w:rPr>
        <w:t>IT IS ORDERED</w:t>
      </w:r>
      <w:r>
        <w:t xml:space="preserve"> that, pursuant to Section 503(b) of the Act,</w:t>
      </w:r>
      <w:r>
        <w:rPr>
          <w:rStyle w:val="FootnoteReference"/>
        </w:rPr>
        <w:footnoteReference w:id="31"/>
      </w:r>
      <w:r>
        <w:t xml:space="preserve"> and Section 1.80 of the Rules,</w:t>
      </w:r>
      <w:r>
        <w:rPr>
          <w:rStyle w:val="FootnoteReference"/>
        </w:rPr>
        <w:footnoteReference w:id="32"/>
      </w:r>
      <w:r>
        <w:t xml:space="preserve"> Ravi’s Import Warehouse, Inc., </w:t>
      </w:r>
      <w:r>
        <w:rPr>
          <w:b/>
        </w:rPr>
        <w:t>IS LIABLE FOR A MONETARY FORFEITURE</w:t>
      </w:r>
      <w:r>
        <w:t xml:space="preserve"> in the amount of Twenty-Two Thousand Dollars ($22,000) for willfully violating Section</w:t>
      </w:r>
      <w:r w:rsidR="00952D4F">
        <w:t>s</w:t>
      </w:r>
      <w:r>
        <w:t xml:space="preserve"> 301</w:t>
      </w:r>
      <w:r w:rsidR="00952D4F">
        <w:t>, 302</w:t>
      </w:r>
      <w:r w:rsidR="00E06CBD">
        <w:t>a</w:t>
      </w:r>
      <w:r w:rsidR="00952D4F">
        <w:t>(b), and 333</w:t>
      </w:r>
      <w:r>
        <w:t xml:space="preserve"> of the Act</w:t>
      </w:r>
      <w:r w:rsidR="00952D4F">
        <w:t>,</w:t>
      </w:r>
      <w:r>
        <w:rPr>
          <w:rStyle w:val="FootnoteReference"/>
        </w:rPr>
        <w:footnoteReference w:id="33"/>
      </w:r>
      <w:r w:rsidR="00952D4F">
        <w:t xml:space="preserve"> and Sections 2.805(a) and 15.1(c) of the Commission’s rules.</w:t>
      </w:r>
      <w:r>
        <w:rPr>
          <w:rStyle w:val="FootnoteReference"/>
        </w:rPr>
        <w:footnoteReference w:id="34"/>
      </w:r>
    </w:p>
    <w:p w:rsidR="002429E4" w:rsidP="00D7362E" w14:paraId="2FFB440E" w14:textId="77777777">
      <w:pPr>
        <w:pStyle w:val="ParaNum"/>
      </w:pPr>
      <w:r>
        <w:t>Payment of the forfeiture shall be made in the manner provided for in Section 1.80 of the Rules within thirty (30) calendar days after the release of this Forfeiture Order.</w:t>
      </w:r>
      <w:r>
        <w:rPr>
          <w:rStyle w:val="FootnoteReference"/>
        </w:rPr>
        <w:footnoteReference w:id="35"/>
      </w:r>
      <w:r>
        <w:t xml:space="preserve">  If the forfeiture is not paid within the period specified, the case may be referred to the U.S. Department of Justice for enforcement of the forfeiture pursuant to Section 504(a) of the Act.</w:t>
      </w:r>
      <w:r>
        <w:rPr>
          <w:rStyle w:val="FootnoteReference"/>
        </w:rPr>
        <w:footnoteReference w:id="36"/>
      </w:r>
    </w:p>
    <w:p w:rsidR="002429E4" w:rsidP="006F10E9" w14:paraId="556E8D99" w14:textId="77777777">
      <w:pPr>
        <w:pStyle w:val="ParaNum"/>
        <w:widowControl/>
      </w:pPr>
      <w:r>
        <w:t xml:space="preserve">Payment of the forfeiture must be made by check or similar instrument, wire transfer, or credit card, and must include the NAL/Account Number and FRN referenced above.  Ravi’s shall send electronic notification of payment to Matthew L. Gibson at </w:t>
      </w:r>
      <w:r>
        <w:fldChar w:fldCharType="begin"/>
      </w:r>
      <w:r>
        <w:instrText xml:space="preserve"> HYPERLINK "mailto:matthew.gibson@fcc.gov" </w:instrText>
      </w:r>
      <w:r>
        <w:fldChar w:fldCharType="separate"/>
      </w:r>
      <w:r w:rsidRPr="00127073" w:rsidR="004949B7">
        <w:rPr>
          <w:rStyle w:val="Hyperlink"/>
        </w:rPr>
        <w:t>matthew.gibson@fcc.gov</w:t>
      </w:r>
      <w:r>
        <w:fldChar w:fldCharType="end"/>
      </w:r>
      <w:r w:rsidR="004949B7">
        <w:t xml:space="preserve">, with a copy to </w:t>
      </w:r>
      <w:r>
        <w:fldChar w:fldCharType="begin"/>
      </w:r>
      <w:r>
        <w:instrText xml:space="preserve"> HYPERLINK "mailto:field@fcc.gov" </w:instrText>
      </w:r>
      <w:r>
        <w:fldChar w:fldCharType="separate"/>
      </w:r>
      <w:r w:rsidRPr="00127073" w:rsidR="004949B7">
        <w:rPr>
          <w:rStyle w:val="Hyperlink"/>
        </w:rPr>
        <w:t>field@fcc.gov</w:t>
      </w:r>
      <w:r>
        <w:fldChar w:fldCharType="end"/>
      </w:r>
      <w:r w:rsidR="004949B7">
        <w:t xml:space="preserve">, </w:t>
      </w:r>
      <w:r>
        <w:t>on the date said payment is made.  Regardless of the form of payment, a completed FCC Form 159 (Remittance Advice) must be submitted.</w:t>
      </w:r>
      <w:r>
        <w:rPr>
          <w:rStyle w:val="FootnoteReference"/>
        </w:rPr>
        <w:footnoteReference w:id="37"/>
      </w:r>
      <w:r>
        <w:t xml:space="preserve">  When completing Form 159, enter the Account Number in block number 23A (call sign/other ID) and enter the letters “FORF” in block number 24A (payment type code).  Below are additional instructions that should be followed based on the form of payment selected: </w:t>
      </w:r>
    </w:p>
    <w:p w:rsidR="002429E4" w:rsidP="002429E4" w14:paraId="0D3B0F7C" w14:textId="77777777">
      <w:pPr>
        <w:pStyle w:val="ParaNum"/>
        <w:widowControl/>
        <w:numPr>
          <w:ilvl w:val="0"/>
          <w:numId w:val="7"/>
        </w:numPr>
      </w:pPr>
      <w: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SL-MO-C2-GL, 1005 Convention Plaza, St. Luis, MO 63101.</w:t>
      </w:r>
    </w:p>
    <w:p w:rsidR="002429E4" w:rsidP="002429E4" w14:paraId="2DCDC6EA" w14:textId="77777777">
      <w:pPr>
        <w:pStyle w:val="ParaNum"/>
        <w:numPr>
          <w:ilvl w:val="0"/>
          <w:numId w:val="7"/>
        </w:numPr>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2429E4" w:rsidP="002429E4" w14:paraId="4A54C1B2" w14:textId="77777777">
      <w:pPr>
        <w:pStyle w:val="ParaNum"/>
        <w:widowControl/>
        <w:numPr>
          <w:ilvl w:val="0"/>
          <w:numId w:val="7"/>
        </w:numPr>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2429E4" w:rsidP="00D7362E" w14:paraId="30979678" w14:textId="77777777">
      <w:pPr>
        <w:pStyle w:val="ParaNum"/>
      </w:pPr>
      <w:r>
        <w:t>Any request for making full payment over time under an installment plan should be sent to: Chief Financial Officer – Financial Operations, Federal Communications Commission, 445 12</w:t>
      </w:r>
      <w:r w:rsidRPr="00F36958">
        <w:rPr>
          <w:vertAlign w:val="superscript"/>
        </w:rPr>
        <w:t>th</w:t>
      </w:r>
      <w:r>
        <w:t xml:space="preserve"> Street, S.W., Room 1-A625, Washington, DC 20554.</w:t>
      </w:r>
      <w:r>
        <w:rPr>
          <w:rStyle w:val="FootnoteReference"/>
        </w:rPr>
        <w:footnoteReference w:id="38"/>
      </w:r>
      <w:r>
        <w:t xml:space="preserve">  Questions regarding payment procedures should be directed to the Financial Operations Group Help Desk by telephone, 1-877-480-3201, or by e-mail, </w:t>
      </w:r>
      <w:r>
        <w:fldChar w:fldCharType="begin"/>
      </w:r>
      <w:r>
        <w:instrText xml:space="preserve"> HYPERLINK "mailto:ARINQUIRES@fcc.gov" </w:instrText>
      </w:r>
      <w:r>
        <w:fldChar w:fldCharType="separate"/>
      </w:r>
      <w:r w:rsidRPr="002C3D20">
        <w:rPr>
          <w:rStyle w:val="Hyperlink"/>
        </w:rPr>
        <w:t>ARINQUIRES@fcc.gov</w:t>
      </w:r>
      <w:r>
        <w:fldChar w:fldCharType="end"/>
      </w:r>
      <w:r>
        <w:t xml:space="preserve">. </w:t>
      </w:r>
    </w:p>
    <w:p w:rsidR="002714A8" w:rsidP="000F03A0" w14:paraId="4274340A" w14:textId="77777777">
      <w:pPr>
        <w:pStyle w:val="ParaNum"/>
        <w:keepNext/>
      </w:pPr>
      <w:r w:rsidRPr="00961C18">
        <w:rPr>
          <w:b/>
        </w:rPr>
        <w:t>IT IS FURTHER ORDERED</w:t>
      </w:r>
      <w:r>
        <w:t xml:space="preserve"> that a copy of this Forfeiture Order shall be sent by first class mail and certified mail, return receipt requested to Ravi’s Import Warehouse, Inc., </w:t>
      </w:r>
      <w:r w:rsidRPr="00DE763D" w:rsidR="00DE763D">
        <w:t>Attn: Anita Bhatia, 11029 Harry Hines Boulevard, Dallas, Texas 75229</w:t>
      </w:r>
      <w:r>
        <w:t>, with a copy to Allen Landerman, Esq., Allen Landerman, P.C., 16801 Addison Road, Suite 125, Addison, Texas 75001.</w:t>
      </w:r>
    </w:p>
    <w:p w:rsidR="002429E4" w:rsidP="002429E4" w14:paraId="7EFD312E" w14:textId="77777777">
      <w:pPr>
        <w:keepNext/>
      </w:pPr>
      <w:r>
        <w:tab/>
      </w:r>
      <w:r>
        <w:tab/>
      </w:r>
      <w:r>
        <w:tab/>
      </w:r>
      <w:r>
        <w:tab/>
      </w:r>
      <w:r>
        <w:tab/>
      </w:r>
      <w:r>
        <w:tab/>
        <w:t>FEDERAL COMMUNICATIONS COMMISSION</w:t>
      </w:r>
    </w:p>
    <w:p w:rsidR="002429E4" w:rsidP="002429E4" w14:paraId="5254B1D6" w14:textId="77777777">
      <w:pPr>
        <w:keepNext/>
      </w:pPr>
    </w:p>
    <w:p w:rsidR="002429E4" w:rsidP="002429E4" w14:paraId="16374FF6" w14:textId="77777777">
      <w:pPr>
        <w:keepNext/>
      </w:pPr>
    </w:p>
    <w:p w:rsidR="002429E4" w:rsidP="002429E4" w14:paraId="63035573" w14:textId="77777777">
      <w:pPr>
        <w:keepNext/>
      </w:pPr>
    </w:p>
    <w:p w:rsidR="002429E4" w:rsidP="002429E4" w14:paraId="11F208C1" w14:textId="77777777">
      <w:pPr>
        <w:keepNext/>
      </w:pPr>
    </w:p>
    <w:p w:rsidR="002429E4" w:rsidP="002429E4" w14:paraId="0D467DC7" w14:textId="77777777">
      <w:pPr>
        <w:keepNext/>
      </w:pPr>
      <w:r>
        <w:tab/>
      </w:r>
      <w:r>
        <w:tab/>
      </w:r>
      <w:r>
        <w:tab/>
      </w:r>
      <w:r>
        <w:tab/>
      </w:r>
      <w:r>
        <w:tab/>
      </w:r>
      <w:r>
        <w:tab/>
      </w:r>
      <w:r w:rsidR="005C7716">
        <w:t>Ronald Ramage</w:t>
      </w:r>
    </w:p>
    <w:p w:rsidR="002429E4" w:rsidP="0017296B" w14:paraId="6453EE78" w14:textId="77777777">
      <w:r>
        <w:tab/>
      </w:r>
      <w:r>
        <w:tab/>
      </w:r>
      <w:r>
        <w:tab/>
      </w:r>
      <w:r>
        <w:tab/>
      </w:r>
      <w:r>
        <w:tab/>
      </w:r>
      <w:r>
        <w:tab/>
      </w:r>
      <w:r w:rsidR="005C7716">
        <w:t>Regional Director</w:t>
      </w:r>
    </w:p>
    <w:p w:rsidR="005C7716" w:rsidP="0017296B" w14:paraId="02F04DC2" w14:textId="77777777">
      <w:r>
        <w:tab/>
      </w:r>
      <w:r>
        <w:tab/>
      </w:r>
      <w:r>
        <w:tab/>
      </w:r>
      <w:r>
        <w:tab/>
      </w:r>
      <w:r>
        <w:tab/>
      </w:r>
      <w:r>
        <w:tab/>
        <w:t xml:space="preserve">Region Two </w:t>
      </w:r>
    </w:p>
    <w:p w:rsidR="005C7716" w:rsidP="0017296B" w14:paraId="57E3CEFC" w14:textId="77777777">
      <w:r>
        <w:tab/>
      </w:r>
      <w:r>
        <w:tab/>
      </w:r>
      <w:r>
        <w:tab/>
      </w:r>
      <w:r>
        <w:tab/>
      </w:r>
      <w:r>
        <w:tab/>
      </w:r>
      <w:r>
        <w:tab/>
        <w:t>Enforcement Bureau</w:t>
      </w:r>
    </w:p>
    <w:p w:rsidR="002429E4" w:rsidRPr="002714A8" w:rsidP="002429E4" w14:paraId="59888CA3" w14:textId="77777777">
      <w:pPr>
        <w:pStyle w:val="ParaNum"/>
        <w:numPr>
          <w:ilvl w:val="0"/>
          <w:numId w:val="0"/>
        </w:numPr>
        <w:ind w:firstLine="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D097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54E2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7E4C0A" w14:textId="77777777">
    <w:pPr>
      <w:pStyle w:val="Footer"/>
      <w:framePr w:wrap="around" w:vAnchor="text" w:hAnchor="margin" w:xAlign="center" w:y="1"/>
    </w:pPr>
    <w:r>
      <w:fldChar w:fldCharType="begin"/>
    </w:r>
    <w:r>
      <w:instrText xml:space="preserve">PAGE  </w:instrText>
    </w:r>
    <w:r>
      <w:fldChar w:fldCharType="separate"/>
    </w:r>
    <w:r w:rsidR="00D13518">
      <w:rPr>
        <w:noProof/>
      </w:rPr>
      <w:t>2</w:t>
    </w:r>
    <w:r>
      <w:fldChar w:fldCharType="end"/>
    </w:r>
  </w:p>
  <w:p w:rsidR="00D25FB5" w14:paraId="4338255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799A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76D9" w14:paraId="6DE121CF" w14:textId="77777777">
      <w:r>
        <w:separator/>
      </w:r>
    </w:p>
  </w:footnote>
  <w:footnote w:type="continuationSeparator" w:id="1">
    <w:p w:rsidR="00E676D9" w:rsidP="00C721AC" w14:paraId="194085E6" w14:textId="77777777">
      <w:pPr>
        <w:spacing w:before="120"/>
        <w:rPr>
          <w:sz w:val="20"/>
        </w:rPr>
      </w:pPr>
      <w:r>
        <w:rPr>
          <w:sz w:val="20"/>
        </w:rPr>
        <w:t xml:space="preserve">(Continued from previous page)  </w:t>
      </w:r>
      <w:r>
        <w:rPr>
          <w:sz w:val="20"/>
        </w:rPr>
        <w:separator/>
      </w:r>
    </w:p>
  </w:footnote>
  <w:footnote w:type="continuationNotice" w:id="2">
    <w:p w:rsidR="00E676D9" w:rsidP="00C721AC" w14:paraId="2F90EC5E" w14:textId="77777777">
      <w:pPr>
        <w:jc w:val="right"/>
        <w:rPr>
          <w:sz w:val="20"/>
        </w:rPr>
      </w:pPr>
      <w:r>
        <w:rPr>
          <w:sz w:val="20"/>
        </w:rPr>
        <w:t>(continued….)</w:t>
      </w:r>
    </w:p>
  </w:footnote>
  <w:footnote w:id="3">
    <w:p w:rsidR="002714A8" w14:paraId="72F3F258" w14:textId="77777777">
      <w:pPr>
        <w:pStyle w:val="FootnoteText"/>
      </w:pPr>
      <w:r>
        <w:rPr>
          <w:rStyle w:val="FootnoteReference"/>
        </w:rPr>
        <w:footnoteRef/>
      </w:r>
      <w:r>
        <w:t xml:space="preserve"> </w:t>
      </w:r>
      <w:r w:rsidR="00D739A6">
        <w:t>47 U.S.C. §</w:t>
      </w:r>
      <w:r w:rsidR="00FA260E">
        <w:t>§</w:t>
      </w:r>
      <w:r w:rsidR="00D739A6">
        <w:t xml:space="preserve"> 301</w:t>
      </w:r>
      <w:r w:rsidR="00FA260E">
        <w:t>, 302a(b), 333</w:t>
      </w:r>
      <w:r w:rsidR="00F81470">
        <w:t>.</w:t>
      </w:r>
      <w:r w:rsidR="00FA260E">
        <w:t xml:space="preserve"> </w:t>
      </w:r>
    </w:p>
  </w:footnote>
  <w:footnote w:id="4">
    <w:p w:rsidR="002714A8" w14:paraId="13A50665" w14:textId="77777777">
      <w:pPr>
        <w:pStyle w:val="FootnoteText"/>
      </w:pPr>
      <w:r>
        <w:rPr>
          <w:rStyle w:val="FootnoteReference"/>
        </w:rPr>
        <w:footnoteRef/>
      </w:r>
      <w:r>
        <w:t xml:space="preserve"> </w:t>
      </w:r>
      <w:r w:rsidR="00F4211A">
        <w:t xml:space="preserve">47 CFR §§ 2.805(a), 15.1(c). </w:t>
      </w:r>
    </w:p>
  </w:footnote>
  <w:footnote w:id="5">
    <w:p w:rsidR="00F4211A" w14:paraId="3CF2FDE0" w14:textId="77777777">
      <w:pPr>
        <w:pStyle w:val="FootnoteText"/>
      </w:pPr>
      <w:r>
        <w:rPr>
          <w:rStyle w:val="FootnoteReference"/>
        </w:rPr>
        <w:footnoteRef/>
      </w:r>
      <w:r>
        <w:t xml:space="preserve"> </w:t>
      </w:r>
      <w:r w:rsidRPr="00F4211A">
        <w:rPr>
          <w:i/>
        </w:rPr>
        <w:t>Ravi’s Import Warehouse, Inc., Dallas Texas</w:t>
      </w:r>
      <w:r>
        <w:t>, Notice of Appar</w:t>
      </w:r>
      <w:r w:rsidR="008D5D13">
        <w:t>ent Liability for Forfeiture, 32</w:t>
      </w:r>
      <w:r>
        <w:t xml:space="preserve"> FCC Rcd </w:t>
      </w:r>
      <w:r w:rsidR="008D5D13">
        <w:t>5606</w:t>
      </w:r>
      <w:r>
        <w:t xml:space="preserve"> (EB 2017)</w:t>
      </w:r>
      <w:r w:rsidR="00E3421B">
        <w:t xml:space="preserve"> (</w:t>
      </w:r>
      <w:r w:rsidR="00E3421B">
        <w:rPr>
          <w:i/>
        </w:rPr>
        <w:t>NAL</w:t>
      </w:r>
      <w:r w:rsidR="00E3421B">
        <w:t>)</w:t>
      </w:r>
      <w:r>
        <w:t>.</w:t>
      </w:r>
    </w:p>
  </w:footnote>
  <w:footnote w:id="6">
    <w:p w:rsidR="00F86D65" w14:paraId="51024228" w14:textId="77777777">
      <w:pPr>
        <w:pStyle w:val="FootnoteText"/>
      </w:pPr>
      <w:r>
        <w:rPr>
          <w:rStyle w:val="FootnoteReference"/>
        </w:rPr>
        <w:footnoteRef/>
      </w:r>
      <w:r>
        <w:t xml:space="preserve"> The </w:t>
      </w:r>
      <w:r w:rsidRPr="00817E00">
        <w:rPr>
          <w:i/>
        </w:rPr>
        <w:t>NAL</w:t>
      </w:r>
      <w:r>
        <w:t xml:space="preserve"> includes a more complete discussion of the facts and history of this case and is incorporated in its entirety herein by</w:t>
      </w:r>
      <w:r w:rsidR="008E1E8F">
        <w:t xml:space="preserve"> this</w:t>
      </w:r>
      <w:r>
        <w:t xml:space="preserve"> reference.</w:t>
      </w:r>
    </w:p>
  </w:footnote>
  <w:footnote w:id="7">
    <w:p w:rsidR="00817E00" w:rsidRPr="00817E00" w:rsidP="00817E00" w14:paraId="5EB0D2D1" w14:textId="77777777">
      <w:pPr>
        <w:pStyle w:val="FootnoteText"/>
      </w:pPr>
      <w:r>
        <w:rPr>
          <w:rStyle w:val="FootnoteReference"/>
        </w:rPr>
        <w:footnoteRef/>
      </w:r>
      <w:r>
        <w:t xml:space="preserve"> </w:t>
      </w:r>
      <w:r w:rsidRPr="00817E00">
        <w:rPr>
          <w:i/>
        </w:rPr>
        <w:t>See NAL</w:t>
      </w:r>
      <w:r w:rsidR="008D5D13">
        <w:t>, 32</w:t>
      </w:r>
      <w:r w:rsidR="00F12AEC">
        <w:t xml:space="preserve"> FCC Rcd at 5607, para. 3</w:t>
      </w:r>
      <w:r>
        <w:t>.</w:t>
      </w:r>
    </w:p>
  </w:footnote>
  <w:footnote w:id="8">
    <w:p w:rsidR="001C1B0F" w:rsidRPr="001C1B0F" w14:paraId="40949768" w14:textId="7F2E4B85">
      <w:pPr>
        <w:pStyle w:val="FootnoteText"/>
      </w:pPr>
      <w:r>
        <w:rPr>
          <w:rStyle w:val="FootnoteReference"/>
        </w:rPr>
        <w:footnoteRef/>
      </w:r>
      <w:r>
        <w:t xml:space="preserve"> </w:t>
      </w:r>
      <w:r w:rsidR="00656941">
        <w:rPr>
          <w:i/>
        </w:rPr>
        <w:t xml:space="preserve">NAL, </w:t>
      </w:r>
      <w:r w:rsidR="00656941">
        <w:t>32 FCC Rcd at 5607, para. 3.</w:t>
      </w:r>
      <w:r>
        <w:t xml:space="preserve"> </w:t>
      </w:r>
    </w:p>
  </w:footnote>
  <w:footnote w:id="9">
    <w:p w:rsidR="001C1B0F" w:rsidRPr="001C1B0F" w14:paraId="1F8157CF" w14:textId="4165A9D4">
      <w:pPr>
        <w:pStyle w:val="FootnoteText"/>
      </w:pPr>
      <w:r>
        <w:rPr>
          <w:rStyle w:val="FootnoteReference"/>
        </w:rPr>
        <w:footnoteRef/>
      </w:r>
      <w:r>
        <w:t xml:space="preserve"> </w:t>
      </w:r>
      <w:r w:rsidR="00656941">
        <w:rPr>
          <w:i/>
        </w:rPr>
        <w:t>Id.</w:t>
      </w:r>
    </w:p>
  </w:footnote>
  <w:footnote w:id="10">
    <w:p w:rsidR="00817E00" w:rsidRPr="009E533C" w14:paraId="401270AC" w14:textId="77777777">
      <w:pPr>
        <w:pStyle w:val="FootnoteText"/>
      </w:pPr>
      <w:r>
        <w:rPr>
          <w:rStyle w:val="FootnoteReference"/>
        </w:rPr>
        <w:footnoteRef/>
      </w:r>
      <w:r>
        <w:t xml:space="preserve"> </w:t>
      </w:r>
      <w:r w:rsidR="009E533C">
        <w:rPr>
          <w:i/>
        </w:rPr>
        <w:t>Id.</w:t>
      </w:r>
    </w:p>
  </w:footnote>
  <w:footnote w:id="11">
    <w:p w:rsidR="009E533C" w14:paraId="1E795379" w14:textId="77777777">
      <w:pPr>
        <w:pStyle w:val="FootnoteText"/>
      </w:pPr>
      <w:r>
        <w:rPr>
          <w:rStyle w:val="FootnoteReference"/>
        </w:rPr>
        <w:footnoteRef/>
      </w:r>
      <w:r>
        <w:t xml:space="preserve"> </w:t>
      </w:r>
      <w:r>
        <w:rPr>
          <w:i/>
        </w:rPr>
        <w:t>Id.</w:t>
      </w:r>
    </w:p>
  </w:footnote>
  <w:footnote w:id="12">
    <w:p w:rsidR="009E533C" w14:paraId="2F840C65" w14:textId="77777777">
      <w:pPr>
        <w:pStyle w:val="FootnoteText"/>
      </w:pPr>
      <w:r>
        <w:rPr>
          <w:rStyle w:val="FootnoteReference"/>
        </w:rPr>
        <w:footnoteRef/>
      </w:r>
      <w:r>
        <w:t xml:space="preserve"> </w:t>
      </w:r>
      <w:r>
        <w:rPr>
          <w:i/>
        </w:rPr>
        <w:t>Id.</w:t>
      </w:r>
    </w:p>
  </w:footnote>
  <w:footnote w:id="13">
    <w:p w:rsidR="009E533C" w14:paraId="77DC4472" w14:textId="77777777">
      <w:pPr>
        <w:pStyle w:val="FootnoteText"/>
      </w:pPr>
      <w:r>
        <w:rPr>
          <w:rStyle w:val="FootnoteReference"/>
        </w:rPr>
        <w:footnoteRef/>
      </w:r>
      <w:r>
        <w:t xml:space="preserve"> </w:t>
      </w:r>
      <w:r>
        <w:rPr>
          <w:i/>
        </w:rPr>
        <w:t>Id.</w:t>
      </w:r>
    </w:p>
  </w:footnote>
  <w:footnote w:id="14">
    <w:p w:rsidR="00F86D65" w:rsidRPr="008E1E8F" w:rsidP="00F86D65" w14:paraId="583ACDBC" w14:textId="28EEC8CC">
      <w:pPr>
        <w:pStyle w:val="FootnoteText"/>
      </w:pPr>
      <w:r>
        <w:rPr>
          <w:rStyle w:val="FootnoteReference"/>
        </w:rPr>
        <w:footnoteRef/>
      </w:r>
      <w:r>
        <w:t xml:space="preserve"> Ravi’s Import Warehouse, Inc., Response to Notice of Apparent Liability for Forfeiture (Aug. 21, 2017) (on file in EB-FIELDSCR-17-00024142) (NAL Response).</w:t>
      </w:r>
      <w:r w:rsidR="008E1E8F">
        <w:t xml:space="preserve">  The NAL Responses is two pages, </w:t>
      </w:r>
      <w:r w:rsidR="008E1E8F">
        <w:rPr>
          <w:i/>
        </w:rPr>
        <w:t>see id.</w:t>
      </w:r>
      <w:r w:rsidR="008E1E8F">
        <w:t>,</w:t>
      </w:r>
      <w:r w:rsidR="00CB23E9">
        <w:t xml:space="preserve"> </w:t>
      </w:r>
      <w:r w:rsidR="0058706A">
        <w:t xml:space="preserve">and is </w:t>
      </w:r>
      <w:r w:rsidR="008E1E8F">
        <w:t xml:space="preserve">accompanied by a one-page notarized affidavit of Anita Bhatia.  </w:t>
      </w:r>
      <w:r w:rsidR="008E1E8F">
        <w:rPr>
          <w:i/>
        </w:rPr>
        <w:t>Id</w:t>
      </w:r>
      <w:r w:rsidR="008E1E8F">
        <w:t>., Affidavit of Anita Bhatia (Bhatia Affidavit).</w:t>
      </w:r>
    </w:p>
  </w:footnote>
  <w:footnote w:id="15">
    <w:p w:rsidR="007C7C2D" w:rsidRPr="00344C0B" w:rsidP="007C7C2D" w14:paraId="62F39D1B" w14:textId="77777777">
      <w:pPr>
        <w:pStyle w:val="FootnoteText"/>
      </w:pPr>
      <w:r w:rsidRPr="00344C0B">
        <w:rPr>
          <w:rStyle w:val="FootnoteReference"/>
        </w:rPr>
        <w:footnoteRef/>
      </w:r>
      <w:r w:rsidRPr="00344C0B">
        <w:t xml:space="preserve"> </w:t>
      </w:r>
      <w:r w:rsidRPr="00344C0B">
        <w:rPr>
          <w:color w:val="000000"/>
        </w:rPr>
        <w:t>47 U.S.C. § 503(b).</w:t>
      </w:r>
    </w:p>
  </w:footnote>
  <w:footnote w:id="16">
    <w:p w:rsidR="007C7C2D" w:rsidRPr="00344C0B" w:rsidP="007C7C2D" w14:paraId="36DEFFA8" w14:textId="77777777">
      <w:pPr>
        <w:pStyle w:val="FootnoteText"/>
      </w:pPr>
      <w:r w:rsidRPr="00344C0B">
        <w:rPr>
          <w:rStyle w:val="FootnoteReference"/>
        </w:rPr>
        <w:footnoteRef/>
      </w:r>
      <w:r w:rsidRPr="00344C0B">
        <w:t xml:space="preserve"> 47 C.F.R. § 1.80.</w:t>
      </w:r>
    </w:p>
  </w:footnote>
  <w:footnote w:id="17">
    <w:p w:rsidR="007C7C2D" w:rsidRPr="00344C0B" w:rsidP="007C7C2D" w14:paraId="2402AA9F"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8">
    <w:p w:rsidR="007C7C2D" w:rsidRPr="00344C0B" w:rsidP="007C7C2D" w14:paraId="15586065" w14:textId="77777777">
      <w:pPr>
        <w:pStyle w:val="FootnoteText"/>
      </w:pPr>
      <w:r w:rsidRPr="00344C0B">
        <w:rPr>
          <w:rStyle w:val="FootnoteReference"/>
        </w:rPr>
        <w:footnoteRef/>
      </w:r>
      <w:r w:rsidRPr="00344C0B">
        <w:t xml:space="preserve"> 47 U.S.C. § 503(b)(2)(E).</w:t>
      </w:r>
    </w:p>
  </w:footnote>
  <w:footnote w:id="19">
    <w:p w:rsidR="00CC2991" w:rsidP="00CC2991" w14:paraId="7A76B2DE" w14:textId="77777777">
      <w:pPr>
        <w:pStyle w:val="FootnoteText"/>
      </w:pPr>
      <w:r>
        <w:rPr>
          <w:rStyle w:val="FootnoteReference"/>
        </w:rPr>
        <w:footnoteRef/>
      </w:r>
      <w:r>
        <w:t xml:space="preserve"> NAL Response at 1.</w:t>
      </w:r>
    </w:p>
  </w:footnote>
  <w:footnote w:id="20">
    <w:p w:rsidR="005F5ED9" w:rsidRPr="006B782E" w14:paraId="36B8E6FC" w14:textId="0ADB3A4C">
      <w:pPr>
        <w:pStyle w:val="FootnoteText"/>
      </w:pPr>
      <w:r>
        <w:rPr>
          <w:rStyle w:val="FootnoteReference"/>
        </w:rPr>
        <w:footnoteRef/>
      </w:r>
      <w:r>
        <w:t xml:space="preserve"> 47 U.S.C. §§ 301, </w:t>
      </w:r>
      <w:r w:rsidR="00950F2A">
        <w:t xml:space="preserve">302a(b), </w:t>
      </w:r>
      <w:r>
        <w:t>333</w:t>
      </w:r>
      <w:r w:rsidR="00950F2A">
        <w:t>; 47 CFR §§ 2.805(a), 15.1(c)</w:t>
      </w:r>
      <w:r>
        <w:t>.</w:t>
      </w:r>
      <w:r w:rsidR="00AC06C7">
        <w:t xml:space="preserve">  As noted in the </w:t>
      </w:r>
      <w:r w:rsidRPr="006B782E" w:rsidR="00AC06C7">
        <w:rPr>
          <w:i/>
        </w:rPr>
        <w:t>NAL</w:t>
      </w:r>
      <w:r w:rsidR="00AC06C7">
        <w:t xml:space="preserve">, because the same underlying facts here resulted in violations of both Section 301 (operation without an instrument of authorization) ($10,000 base forfeiture) and </w:t>
      </w:r>
      <w:r w:rsidR="006B782E">
        <w:t xml:space="preserve">Section </w:t>
      </w:r>
      <w:r w:rsidR="00AC06C7">
        <w:t>302</w:t>
      </w:r>
      <w:r w:rsidR="00E06CBD">
        <w:t>a(b)</w:t>
      </w:r>
      <w:r w:rsidR="00AC06C7">
        <w:t xml:space="preserve"> (use of unauthorized or illegal equipment) ($5,000 base forfeiture), we imposed only one of these two base forfeiture amounts.</w:t>
      </w:r>
      <w:r w:rsidR="006B782E">
        <w:t xml:space="preserve">  </w:t>
      </w:r>
      <w:r w:rsidR="006B782E">
        <w:rPr>
          <w:i/>
        </w:rPr>
        <w:t>NAL</w:t>
      </w:r>
      <w:r w:rsidR="006B782E">
        <w:t xml:space="preserve"> at 32 FCC Rcd 5609, n. 22.</w:t>
      </w:r>
    </w:p>
  </w:footnote>
  <w:footnote w:id="21">
    <w:p w:rsidR="00130487" w:rsidP="00130487" w14:paraId="6E822098" w14:textId="77777777">
      <w:pPr>
        <w:pStyle w:val="FootnoteText"/>
      </w:pPr>
      <w:r>
        <w:rPr>
          <w:rStyle w:val="FootnoteReference"/>
        </w:rPr>
        <w:footnoteRef/>
      </w:r>
      <w:r>
        <w:t xml:space="preserve"> NAL Response at 1.</w:t>
      </w:r>
    </w:p>
  </w:footnote>
  <w:footnote w:id="22">
    <w:p w:rsidR="003B691C" w14:paraId="11295943" w14:textId="77777777">
      <w:pPr>
        <w:pStyle w:val="FootnoteText"/>
      </w:pPr>
      <w:r>
        <w:rPr>
          <w:rStyle w:val="FootnoteReference"/>
        </w:rPr>
        <w:footnoteRef/>
      </w:r>
      <w:r>
        <w:t xml:space="preserve"> NAL Response, Affidavit of Anita Bhatia.</w:t>
      </w:r>
    </w:p>
  </w:footnote>
  <w:footnote w:id="23">
    <w:p w:rsidR="00A92FCD" w14:paraId="6EA5D45D" w14:textId="0A77C80A">
      <w:pPr>
        <w:pStyle w:val="FootnoteText"/>
      </w:pPr>
      <w:r>
        <w:rPr>
          <w:rStyle w:val="FootnoteReference"/>
        </w:rPr>
        <w:footnoteRef/>
      </w:r>
      <w:r>
        <w:t xml:space="preserve"> </w:t>
      </w:r>
      <w:r w:rsidR="00BC30A0">
        <w:t>NAL Response at 1.</w:t>
      </w:r>
    </w:p>
  </w:footnote>
  <w:footnote w:id="24">
    <w:p w:rsidR="005F5ED9" w:rsidP="005F5ED9" w14:paraId="7A52247F" w14:textId="2BB3FCF6">
      <w:pPr>
        <w:pStyle w:val="FootnoteText"/>
      </w:pPr>
      <w:r>
        <w:rPr>
          <w:rStyle w:val="FootnoteReference"/>
        </w:rPr>
        <w:footnoteRef/>
      </w:r>
      <w:r>
        <w:t xml:space="preserve"> </w:t>
      </w:r>
      <w:r w:rsidRPr="00656941" w:rsidR="00656941">
        <w:rPr>
          <w:i/>
        </w:rPr>
        <w:t>Id.</w:t>
      </w:r>
    </w:p>
  </w:footnote>
  <w:footnote w:id="25">
    <w:p w:rsidR="005F5ED9" w:rsidP="005F5ED9" w14:paraId="3C4F0F14" w14:textId="77777777">
      <w:pPr>
        <w:pStyle w:val="FootnoteText"/>
      </w:pPr>
      <w:r>
        <w:rPr>
          <w:rStyle w:val="FootnoteReference"/>
        </w:rPr>
        <w:footnoteRef/>
      </w:r>
      <w:r>
        <w:t xml:space="preserve"> </w:t>
      </w:r>
      <w:r>
        <w:rPr>
          <w:i/>
        </w:rPr>
        <w:t>Compare</w:t>
      </w:r>
      <w:r>
        <w:t xml:space="preserve"> </w:t>
      </w:r>
      <w:r>
        <w:rPr>
          <w:i/>
        </w:rPr>
        <w:t>NAL</w:t>
      </w:r>
      <w:r>
        <w:t xml:space="preserve">, 32 FCC Rcd at 5607, para. 3, </w:t>
      </w:r>
      <w:r w:rsidRPr="00F12AEC">
        <w:rPr>
          <w:i/>
        </w:rPr>
        <w:t>to</w:t>
      </w:r>
      <w:r>
        <w:t xml:space="preserve"> NAL Response at 1.    </w:t>
      </w:r>
    </w:p>
  </w:footnote>
  <w:footnote w:id="26">
    <w:p w:rsidR="000F03A0" w14:paraId="40023E51" w14:textId="77777777">
      <w:pPr>
        <w:pStyle w:val="FootnoteText"/>
      </w:pPr>
      <w:r>
        <w:rPr>
          <w:rStyle w:val="FootnoteReference"/>
        </w:rPr>
        <w:footnoteRef/>
      </w:r>
      <w:r>
        <w:t xml:space="preserve"> </w:t>
      </w:r>
      <w:r>
        <w:rPr>
          <w:i/>
        </w:rPr>
        <w:t>See NAL</w:t>
      </w:r>
      <w:r>
        <w:t>, 32 FCC Rcd at 5609, para. 8.</w:t>
      </w:r>
    </w:p>
  </w:footnote>
  <w:footnote w:id="27">
    <w:p w:rsidR="00CC2991" w:rsidP="00CC2991" w14:paraId="311D9147" w14:textId="77777777">
      <w:pPr>
        <w:pStyle w:val="FootnoteText"/>
      </w:pPr>
      <w:r>
        <w:rPr>
          <w:rStyle w:val="FootnoteReference"/>
        </w:rPr>
        <w:footnoteRef/>
      </w:r>
      <w:r>
        <w:t xml:space="preserve"> NAL Response at 2.</w:t>
      </w:r>
    </w:p>
  </w:footnote>
  <w:footnote w:id="28">
    <w:p w:rsidR="008C2743" w14:paraId="565B2131" w14:textId="3A98D331">
      <w:pPr>
        <w:pStyle w:val="FootnoteText"/>
      </w:pPr>
      <w:r>
        <w:rPr>
          <w:rStyle w:val="FootnoteReference"/>
        </w:rPr>
        <w:footnoteRef/>
      </w:r>
      <w:r>
        <w:t xml:space="preserve"> </w:t>
      </w:r>
      <w:r w:rsidRPr="00656941" w:rsidR="00656941">
        <w:rPr>
          <w:i/>
        </w:rPr>
        <w:t>Id.</w:t>
      </w:r>
    </w:p>
  </w:footnote>
  <w:footnote w:id="29">
    <w:p w:rsidR="008C2743" w:rsidRPr="008C2743" w14:paraId="01152AD3" w14:textId="77777777">
      <w:pPr>
        <w:pStyle w:val="FootnoteText"/>
      </w:pPr>
      <w:r>
        <w:rPr>
          <w:rStyle w:val="FootnoteReference"/>
        </w:rPr>
        <w:footnoteRef/>
      </w:r>
      <w:r>
        <w:t xml:space="preserve"> </w:t>
      </w:r>
      <w:r>
        <w:rPr>
          <w:i/>
        </w:rPr>
        <w:t>See</w:t>
      </w:r>
      <w:r>
        <w:t xml:space="preserve"> 47 U.S.C. 503(b)(2)(D).</w:t>
      </w:r>
    </w:p>
  </w:footnote>
  <w:footnote w:id="30">
    <w:p w:rsidR="00BC30A0" w:rsidRPr="00D7362E" w:rsidP="00BC30A0" w14:paraId="4FAC7E10" w14:textId="77777777">
      <w:pPr>
        <w:pStyle w:val="FootnoteText"/>
      </w:pPr>
      <w:r>
        <w:rPr>
          <w:rStyle w:val="FootnoteReference"/>
        </w:rPr>
        <w:footnoteRef/>
      </w:r>
      <w:r>
        <w:t xml:space="preserve"> </w:t>
      </w:r>
      <w:r w:rsidRPr="00F12AEC">
        <w:rPr>
          <w:i/>
        </w:rPr>
        <w:t>See</w:t>
      </w:r>
      <w:r>
        <w:t xml:space="preserve">, </w:t>
      </w:r>
      <w:r w:rsidRPr="00F12AEC">
        <w:rPr>
          <w:i/>
        </w:rPr>
        <w:t>e.g.</w:t>
      </w:r>
      <w:r>
        <w:t xml:space="preserve">, </w:t>
      </w:r>
      <w:r>
        <w:rPr>
          <w:i/>
        </w:rPr>
        <w:t xml:space="preserve">R&amp;N </w:t>
      </w:r>
      <w:r w:rsidRPr="00B81DA1">
        <w:rPr>
          <w:i/>
        </w:rPr>
        <w:t>Manufacturing, Ltd.</w:t>
      </w:r>
      <w:r w:rsidRPr="00B81DA1">
        <w:t xml:space="preserve">, Notice of Apparent Liability for Forfeiture, 29 FCC Rcd 3332, </w:t>
      </w:r>
      <w:r>
        <w:t>para. 2 (2014)</w:t>
      </w:r>
      <w:r w:rsidRPr="00B81DA1">
        <w:t xml:space="preserve">, </w:t>
      </w:r>
      <w:r w:rsidRPr="006372D8">
        <w:rPr>
          <w:i/>
        </w:rPr>
        <w:t>cancelled by</w:t>
      </w:r>
      <w:r w:rsidRPr="00B81DA1">
        <w:t xml:space="preserve"> Order, 31 FCC Rcd 1897 (EB 2016) (adopting a Consent Decree terminating and resolving the investigation)</w:t>
      </w:r>
      <w:r>
        <w:t xml:space="preserve">; </w:t>
      </w:r>
      <w:r w:rsidRPr="006372D8">
        <w:rPr>
          <w:i/>
        </w:rPr>
        <w:t>The Supply Room, Inc.</w:t>
      </w:r>
      <w:r w:rsidRPr="00B81DA1">
        <w:t>, Notice of Apparent Liability for Forfeiture, 28 FCC Rcd 4981, 85-87, paras. 11-14 (2013),</w:t>
      </w:r>
      <w:r>
        <w:t xml:space="preserve"> </w:t>
      </w:r>
      <w:r w:rsidRPr="006372D8">
        <w:rPr>
          <w:i/>
        </w:rPr>
        <w:t>cancelled by</w:t>
      </w:r>
      <w:r w:rsidRPr="00B81DA1">
        <w:t xml:space="preserve"> Order, 31 FCC Rcd 2082 (EB 2016) (adopting a Consent Decree terminating and resolving the investigation).</w:t>
      </w:r>
      <w:r>
        <w:t xml:space="preserve">  In addition, we note that Ravi’s reliance on </w:t>
      </w:r>
      <w:r w:rsidRPr="009530F1">
        <w:rPr>
          <w:i/>
        </w:rPr>
        <w:t>U.S. v. Baxter</w:t>
      </w:r>
      <w:r>
        <w:t xml:space="preserve">, 841 F. Supp. 2d 378 (D. Me. 2012), is misplaced.  Unlike the present case, </w:t>
      </w:r>
      <w:r>
        <w:rPr>
          <w:i/>
        </w:rPr>
        <w:t>Baxter</w:t>
      </w:r>
      <w:r>
        <w:t xml:space="preserve"> involved violations of the Commission’s Part 97 rules for amateur radio licensees, not the operation of a signal jamming device.  </w:t>
      </w:r>
    </w:p>
  </w:footnote>
  <w:footnote w:id="31">
    <w:p w:rsidR="002429E4" w:rsidP="002429E4" w14:paraId="5B3A2737" w14:textId="77777777">
      <w:pPr>
        <w:pStyle w:val="FootnoteText"/>
      </w:pPr>
      <w:r>
        <w:rPr>
          <w:rStyle w:val="FootnoteReference"/>
        </w:rPr>
        <w:footnoteRef/>
      </w:r>
      <w:r>
        <w:t xml:space="preserve"> 47 U.S.C. § 503(b).</w:t>
      </w:r>
    </w:p>
  </w:footnote>
  <w:footnote w:id="32">
    <w:p w:rsidR="002429E4" w:rsidP="002429E4" w14:paraId="60FF55F6" w14:textId="77777777">
      <w:pPr>
        <w:pStyle w:val="FootnoteText"/>
      </w:pPr>
      <w:r>
        <w:rPr>
          <w:rStyle w:val="FootnoteReference"/>
        </w:rPr>
        <w:footnoteRef/>
      </w:r>
      <w:r>
        <w:t xml:space="preserve"> 47 CFR § 1.80.</w:t>
      </w:r>
    </w:p>
  </w:footnote>
  <w:footnote w:id="33">
    <w:p w:rsidR="002429E4" w:rsidP="002429E4" w14:paraId="3E91B2F5" w14:textId="77777777">
      <w:pPr>
        <w:pStyle w:val="FootnoteText"/>
      </w:pPr>
      <w:r>
        <w:rPr>
          <w:rStyle w:val="FootnoteReference"/>
        </w:rPr>
        <w:footnoteRef/>
      </w:r>
      <w:r w:rsidR="005F5ED9">
        <w:t xml:space="preserve"> 47 U.S.C. § 301, 302</w:t>
      </w:r>
      <w:r w:rsidR="00E06CBD">
        <w:t>a</w:t>
      </w:r>
      <w:r w:rsidR="005F5ED9">
        <w:t>(b), 333.</w:t>
      </w:r>
    </w:p>
  </w:footnote>
  <w:footnote w:id="34">
    <w:p w:rsidR="00952D4F" w14:paraId="768B2CC1" w14:textId="77777777">
      <w:pPr>
        <w:pStyle w:val="FootnoteText"/>
      </w:pPr>
      <w:r>
        <w:rPr>
          <w:rStyle w:val="FootnoteReference"/>
        </w:rPr>
        <w:footnoteRef/>
      </w:r>
      <w:r>
        <w:t xml:space="preserve"> 47 CFR §§ 2.805(a), 15.1(c). </w:t>
      </w:r>
    </w:p>
  </w:footnote>
  <w:footnote w:id="35">
    <w:p w:rsidR="002429E4" w:rsidRPr="00F36958" w:rsidP="002429E4" w14:paraId="5440DA74" w14:textId="77777777">
      <w:pPr>
        <w:pStyle w:val="FootnoteText"/>
      </w:pPr>
      <w:r>
        <w:rPr>
          <w:rStyle w:val="FootnoteReference"/>
        </w:rPr>
        <w:footnoteRef/>
      </w:r>
      <w:r>
        <w:t xml:space="preserve"> </w:t>
      </w:r>
      <w:r>
        <w:rPr>
          <w:i/>
        </w:rPr>
        <w:t>Id.</w:t>
      </w:r>
    </w:p>
  </w:footnote>
  <w:footnote w:id="36">
    <w:p w:rsidR="002429E4" w:rsidP="002429E4" w14:paraId="5709752C" w14:textId="77777777">
      <w:pPr>
        <w:pStyle w:val="FootnoteText"/>
      </w:pPr>
      <w:r>
        <w:rPr>
          <w:rStyle w:val="FootnoteReference"/>
        </w:rPr>
        <w:footnoteRef/>
      </w:r>
      <w:r>
        <w:t xml:space="preserve"> 47 U.S.C. § 504(a).</w:t>
      </w:r>
    </w:p>
  </w:footnote>
  <w:footnote w:id="37">
    <w:p w:rsidR="002429E4" w:rsidP="002429E4" w14:paraId="20E0FB71" w14:textId="77777777">
      <w:pPr>
        <w:pStyle w:val="FootnoteText"/>
      </w:pPr>
      <w:r>
        <w:rPr>
          <w:rStyle w:val="FootnoteReference"/>
        </w:rPr>
        <w:footnoteRef/>
      </w:r>
      <w:r>
        <w:t xml:space="preserve"> An FCC Form 159 and detailed instructions for completing the form may be obtained at </w:t>
      </w:r>
      <w:r>
        <w:fldChar w:fldCharType="begin"/>
      </w:r>
      <w:r>
        <w:instrText xml:space="preserve"> HYPERLINK "http://www.fcc.gov/Forms/Form159/159.pdf" </w:instrText>
      </w:r>
      <w:r>
        <w:fldChar w:fldCharType="separate"/>
      </w:r>
      <w:r w:rsidRPr="002C3D20">
        <w:rPr>
          <w:rStyle w:val="Hyperlink"/>
        </w:rPr>
        <w:t>http://www.fcc.gov/Forms/Form159/159.pdf</w:t>
      </w:r>
      <w:r>
        <w:fldChar w:fldCharType="end"/>
      </w:r>
      <w:r>
        <w:t xml:space="preserve">. </w:t>
      </w:r>
    </w:p>
  </w:footnote>
  <w:footnote w:id="38">
    <w:p w:rsidR="002429E4" w:rsidRPr="0040628E" w:rsidP="002429E4" w14:paraId="721AEB73" w14:textId="77777777">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3518" w14:paraId="323417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2849B3" w14:textId="75651C8E">
    <w:pPr>
      <w:pStyle w:val="Header"/>
      <w:rPr>
        <w:b w:val="0"/>
      </w:rPr>
    </w:pPr>
    <w:r>
      <w:tab/>
      <w:t>Federal Communications Commission</w:t>
    </w:r>
    <w:r>
      <w:tab/>
    </w:r>
    <w:r w:rsidR="00D739A6">
      <w:t xml:space="preserve">DA </w:t>
    </w:r>
    <w:r w:rsidR="007C7C2D">
      <w:t>18</w:t>
    </w:r>
    <w:r w:rsidR="00D739A6">
      <w:t>-</w:t>
    </w:r>
    <w:r w:rsidR="00762DA4">
      <w:t>417</w:t>
    </w:r>
  </w:p>
  <w:p w:rsidR="00D25FB5" w14:paraId="4FA01BD7" w14:textId="78F2406C">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4C58D4D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0DADC1" w14:textId="617498AB">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D739A6">
      <w:rPr>
        <w:spacing w:val="-2"/>
      </w:rPr>
      <w:t xml:space="preserve">DA </w:t>
    </w:r>
    <w:r w:rsidR="007C7C2D">
      <w:rPr>
        <w:spacing w:val="-2"/>
      </w:rPr>
      <w:t>18</w:t>
    </w:r>
    <w:r w:rsidR="00D739A6">
      <w:rPr>
        <w:spacing w:val="-2"/>
      </w:rPr>
      <w:t>-</w:t>
    </w:r>
    <w:r w:rsidR="00762DA4">
      <w:rPr>
        <w:spacing w:val="-2"/>
      </w:rPr>
      <w:t>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0D1DC1"/>
    <w:multiLevelType w:val="hybridMultilevel"/>
    <w:tmpl w:val="49E2D4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 w:numId="9">
    <w:abstractNumId w:val="6"/>
  </w:num>
  <w:num w:numId="10">
    <w:abstractNumId w:val="6"/>
    <w:lvlOverride w:ilvl="0">
      <w:startOverride w:val="1"/>
    </w:lvlOverride>
  </w:num>
  <w:num w:numId="11">
    <w:abstractNumId w:val="6"/>
  </w:num>
  <w:num w:numId="12">
    <w:abstractNumId w:val="6"/>
    <w:lvlOverride w:ilvl="0">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DA"/>
    <w:rsid w:val="0001063C"/>
    <w:rsid w:val="000247C3"/>
    <w:rsid w:val="00036039"/>
    <w:rsid w:val="0003718E"/>
    <w:rsid w:val="00037F90"/>
    <w:rsid w:val="000541C2"/>
    <w:rsid w:val="0007571D"/>
    <w:rsid w:val="0007689F"/>
    <w:rsid w:val="000829C1"/>
    <w:rsid w:val="000875BF"/>
    <w:rsid w:val="000906FE"/>
    <w:rsid w:val="00096D8C"/>
    <w:rsid w:val="00097064"/>
    <w:rsid w:val="000A3F4B"/>
    <w:rsid w:val="000A528D"/>
    <w:rsid w:val="000B2145"/>
    <w:rsid w:val="000B2758"/>
    <w:rsid w:val="000C0B65"/>
    <w:rsid w:val="000E05FE"/>
    <w:rsid w:val="000E3D42"/>
    <w:rsid w:val="000F03A0"/>
    <w:rsid w:val="000F104E"/>
    <w:rsid w:val="000F44BA"/>
    <w:rsid w:val="00122BD5"/>
    <w:rsid w:val="00127073"/>
    <w:rsid w:val="00130487"/>
    <w:rsid w:val="00133F79"/>
    <w:rsid w:val="0017296B"/>
    <w:rsid w:val="00180FE4"/>
    <w:rsid w:val="00194A66"/>
    <w:rsid w:val="001A1BB4"/>
    <w:rsid w:val="001B7D20"/>
    <w:rsid w:val="001C1B0F"/>
    <w:rsid w:val="001D6BCF"/>
    <w:rsid w:val="001E01CA"/>
    <w:rsid w:val="001F2CB4"/>
    <w:rsid w:val="002429E4"/>
    <w:rsid w:val="0024348F"/>
    <w:rsid w:val="002714A8"/>
    <w:rsid w:val="00275CF5"/>
    <w:rsid w:val="0028301F"/>
    <w:rsid w:val="00285017"/>
    <w:rsid w:val="002A2D2E"/>
    <w:rsid w:val="002C00E8"/>
    <w:rsid w:val="002C3D20"/>
    <w:rsid w:val="002D5DC8"/>
    <w:rsid w:val="00306993"/>
    <w:rsid w:val="00336CB7"/>
    <w:rsid w:val="00343749"/>
    <w:rsid w:val="00344C0B"/>
    <w:rsid w:val="0035643A"/>
    <w:rsid w:val="003660ED"/>
    <w:rsid w:val="003669FD"/>
    <w:rsid w:val="00366BC2"/>
    <w:rsid w:val="0037359B"/>
    <w:rsid w:val="0038068C"/>
    <w:rsid w:val="003A194A"/>
    <w:rsid w:val="003B0550"/>
    <w:rsid w:val="003B691C"/>
    <w:rsid w:val="003B694F"/>
    <w:rsid w:val="003C3355"/>
    <w:rsid w:val="003D37E4"/>
    <w:rsid w:val="003F171C"/>
    <w:rsid w:val="0040628E"/>
    <w:rsid w:val="00412FC5"/>
    <w:rsid w:val="00414585"/>
    <w:rsid w:val="00422276"/>
    <w:rsid w:val="004242F1"/>
    <w:rsid w:val="00445A00"/>
    <w:rsid w:val="00451B0F"/>
    <w:rsid w:val="004949B7"/>
    <w:rsid w:val="004A7412"/>
    <w:rsid w:val="004C2EE3"/>
    <w:rsid w:val="004E4A22"/>
    <w:rsid w:val="004F2ED5"/>
    <w:rsid w:val="00501066"/>
    <w:rsid w:val="00503224"/>
    <w:rsid w:val="00511968"/>
    <w:rsid w:val="0052708D"/>
    <w:rsid w:val="005353EB"/>
    <w:rsid w:val="0054072B"/>
    <w:rsid w:val="00550E40"/>
    <w:rsid w:val="0055614C"/>
    <w:rsid w:val="0056089A"/>
    <w:rsid w:val="00570263"/>
    <w:rsid w:val="00582306"/>
    <w:rsid w:val="0058706A"/>
    <w:rsid w:val="005A4D04"/>
    <w:rsid w:val="005A5474"/>
    <w:rsid w:val="005C01EB"/>
    <w:rsid w:val="005C0269"/>
    <w:rsid w:val="005C7716"/>
    <w:rsid w:val="005D6936"/>
    <w:rsid w:val="005E14C2"/>
    <w:rsid w:val="005F5ED9"/>
    <w:rsid w:val="00600324"/>
    <w:rsid w:val="006076E3"/>
    <w:rsid w:val="00607BA5"/>
    <w:rsid w:val="0061180A"/>
    <w:rsid w:val="00626EB6"/>
    <w:rsid w:val="006306A6"/>
    <w:rsid w:val="00635CFD"/>
    <w:rsid w:val="006372D8"/>
    <w:rsid w:val="00650872"/>
    <w:rsid w:val="00655D03"/>
    <w:rsid w:val="00656941"/>
    <w:rsid w:val="00683388"/>
    <w:rsid w:val="006834C0"/>
    <w:rsid w:val="00683F84"/>
    <w:rsid w:val="006A6A81"/>
    <w:rsid w:val="006B782E"/>
    <w:rsid w:val="006F10E9"/>
    <w:rsid w:val="006F1A1F"/>
    <w:rsid w:val="006F7393"/>
    <w:rsid w:val="0070224F"/>
    <w:rsid w:val="007115F7"/>
    <w:rsid w:val="00744530"/>
    <w:rsid w:val="00750625"/>
    <w:rsid w:val="00762DA4"/>
    <w:rsid w:val="00785689"/>
    <w:rsid w:val="0079754B"/>
    <w:rsid w:val="007A1E6D"/>
    <w:rsid w:val="007A26DA"/>
    <w:rsid w:val="007B0EB2"/>
    <w:rsid w:val="007C03DA"/>
    <w:rsid w:val="007C7C2D"/>
    <w:rsid w:val="00810B6F"/>
    <w:rsid w:val="00817E00"/>
    <w:rsid w:val="00822CE0"/>
    <w:rsid w:val="008242AD"/>
    <w:rsid w:val="00827062"/>
    <w:rsid w:val="00841AB1"/>
    <w:rsid w:val="00842EF6"/>
    <w:rsid w:val="00851D2D"/>
    <w:rsid w:val="0087140C"/>
    <w:rsid w:val="0088445E"/>
    <w:rsid w:val="0089237F"/>
    <w:rsid w:val="008A136D"/>
    <w:rsid w:val="008C2743"/>
    <w:rsid w:val="008C5953"/>
    <w:rsid w:val="008C607D"/>
    <w:rsid w:val="008C68F1"/>
    <w:rsid w:val="008D5995"/>
    <w:rsid w:val="008D5D13"/>
    <w:rsid w:val="008E1E8F"/>
    <w:rsid w:val="00921803"/>
    <w:rsid w:val="00926503"/>
    <w:rsid w:val="00946D33"/>
    <w:rsid w:val="00950F2A"/>
    <w:rsid w:val="00952D4F"/>
    <w:rsid w:val="009530F1"/>
    <w:rsid w:val="0095469C"/>
    <w:rsid w:val="00956ECF"/>
    <w:rsid w:val="00961C18"/>
    <w:rsid w:val="009726D8"/>
    <w:rsid w:val="009818FE"/>
    <w:rsid w:val="00987092"/>
    <w:rsid w:val="00992C96"/>
    <w:rsid w:val="009E533C"/>
    <w:rsid w:val="009F23E0"/>
    <w:rsid w:val="009F76DB"/>
    <w:rsid w:val="00A32C3B"/>
    <w:rsid w:val="00A36724"/>
    <w:rsid w:val="00A42530"/>
    <w:rsid w:val="00A4447E"/>
    <w:rsid w:val="00A45F4F"/>
    <w:rsid w:val="00A600A9"/>
    <w:rsid w:val="00A732CB"/>
    <w:rsid w:val="00A75BD5"/>
    <w:rsid w:val="00A92FCD"/>
    <w:rsid w:val="00AA55B7"/>
    <w:rsid w:val="00AA5B9E"/>
    <w:rsid w:val="00AB2407"/>
    <w:rsid w:val="00AB53DF"/>
    <w:rsid w:val="00AC06C7"/>
    <w:rsid w:val="00AD3051"/>
    <w:rsid w:val="00B07E5C"/>
    <w:rsid w:val="00B26E3A"/>
    <w:rsid w:val="00B47278"/>
    <w:rsid w:val="00B8057D"/>
    <w:rsid w:val="00B811F7"/>
    <w:rsid w:val="00B81DA1"/>
    <w:rsid w:val="00B909CF"/>
    <w:rsid w:val="00BA05DB"/>
    <w:rsid w:val="00BA5DC6"/>
    <w:rsid w:val="00BA6196"/>
    <w:rsid w:val="00BB2D73"/>
    <w:rsid w:val="00BC30A0"/>
    <w:rsid w:val="00BC6D8C"/>
    <w:rsid w:val="00BD5D0F"/>
    <w:rsid w:val="00C34006"/>
    <w:rsid w:val="00C426B1"/>
    <w:rsid w:val="00C606EE"/>
    <w:rsid w:val="00C61B7C"/>
    <w:rsid w:val="00C649BD"/>
    <w:rsid w:val="00C66160"/>
    <w:rsid w:val="00C721AC"/>
    <w:rsid w:val="00C73A7D"/>
    <w:rsid w:val="00C90D6A"/>
    <w:rsid w:val="00CA247E"/>
    <w:rsid w:val="00CB23E9"/>
    <w:rsid w:val="00CB7791"/>
    <w:rsid w:val="00CC2574"/>
    <w:rsid w:val="00CC2991"/>
    <w:rsid w:val="00CC72B6"/>
    <w:rsid w:val="00D0218D"/>
    <w:rsid w:val="00D1024D"/>
    <w:rsid w:val="00D13518"/>
    <w:rsid w:val="00D25FB5"/>
    <w:rsid w:val="00D34B7E"/>
    <w:rsid w:val="00D44223"/>
    <w:rsid w:val="00D51FD0"/>
    <w:rsid w:val="00D53AE3"/>
    <w:rsid w:val="00D623A6"/>
    <w:rsid w:val="00D6644F"/>
    <w:rsid w:val="00D7362E"/>
    <w:rsid w:val="00D739A6"/>
    <w:rsid w:val="00D968EB"/>
    <w:rsid w:val="00DA17AD"/>
    <w:rsid w:val="00DA2529"/>
    <w:rsid w:val="00DA39E8"/>
    <w:rsid w:val="00DB130A"/>
    <w:rsid w:val="00DB2EBB"/>
    <w:rsid w:val="00DB6D9C"/>
    <w:rsid w:val="00DC10A1"/>
    <w:rsid w:val="00DC655F"/>
    <w:rsid w:val="00DD0B59"/>
    <w:rsid w:val="00DD3469"/>
    <w:rsid w:val="00DD7EBD"/>
    <w:rsid w:val="00DE763D"/>
    <w:rsid w:val="00DF62B6"/>
    <w:rsid w:val="00E03E02"/>
    <w:rsid w:val="00E06CBD"/>
    <w:rsid w:val="00E07225"/>
    <w:rsid w:val="00E25E53"/>
    <w:rsid w:val="00E3421B"/>
    <w:rsid w:val="00E475B6"/>
    <w:rsid w:val="00E5409F"/>
    <w:rsid w:val="00E676D9"/>
    <w:rsid w:val="00E677CB"/>
    <w:rsid w:val="00E7000E"/>
    <w:rsid w:val="00E95926"/>
    <w:rsid w:val="00EA13AA"/>
    <w:rsid w:val="00EB0763"/>
    <w:rsid w:val="00EE6199"/>
    <w:rsid w:val="00EE6488"/>
    <w:rsid w:val="00F021FA"/>
    <w:rsid w:val="00F03879"/>
    <w:rsid w:val="00F12AEC"/>
    <w:rsid w:val="00F259E3"/>
    <w:rsid w:val="00F27DCA"/>
    <w:rsid w:val="00F36958"/>
    <w:rsid w:val="00F4211A"/>
    <w:rsid w:val="00F42427"/>
    <w:rsid w:val="00F62E97"/>
    <w:rsid w:val="00F64209"/>
    <w:rsid w:val="00F81470"/>
    <w:rsid w:val="00F818F4"/>
    <w:rsid w:val="00F86D65"/>
    <w:rsid w:val="00F93960"/>
    <w:rsid w:val="00F93BF5"/>
    <w:rsid w:val="00FA260E"/>
    <w:rsid w:val="00FB78BD"/>
    <w:rsid w:val="00FC60D6"/>
    <w:rsid w:val="00FE6498"/>
    <w:rsid w:val="00FF13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73"/>
    <w:pPr>
      <w:widowControl w:val="0"/>
    </w:pPr>
    <w:rPr>
      <w:snapToGrid w:val="0"/>
      <w:kern w:val="28"/>
      <w:sz w:val="22"/>
    </w:rPr>
  </w:style>
  <w:style w:type="paragraph" w:styleId="Heading1">
    <w:name w:val="heading 1"/>
    <w:basedOn w:val="Normal"/>
    <w:next w:val="ParaNum"/>
    <w:qFormat/>
    <w:rsid w:val="00BB2D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2D73"/>
    <w:pPr>
      <w:keepNext/>
      <w:numPr>
        <w:ilvl w:val="1"/>
        <w:numId w:val="3"/>
      </w:numPr>
      <w:spacing w:after="120"/>
      <w:outlineLvl w:val="1"/>
    </w:pPr>
    <w:rPr>
      <w:b/>
    </w:rPr>
  </w:style>
  <w:style w:type="paragraph" w:styleId="Heading3">
    <w:name w:val="heading 3"/>
    <w:basedOn w:val="Normal"/>
    <w:next w:val="ParaNum"/>
    <w:qFormat/>
    <w:rsid w:val="00BB2D73"/>
    <w:pPr>
      <w:keepNext/>
      <w:numPr>
        <w:ilvl w:val="2"/>
        <w:numId w:val="3"/>
      </w:numPr>
      <w:tabs>
        <w:tab w:val="left" w:pos="2160"/>
      </w:tabs>
      <w:spacing w:after="120"/>
      <w:outlineLvl w:val="2"/>
    </w:pPr>
    <w:rPr>
      <w:b/>
    </w:rPr>
  </w:style>
  <w:style w:type="paragraph" w:styleId="Heading4">
    <w:name w:val="heading 4"/>
    <w:basedOn w:val="Normal"/>
    <w:next w:val="ParaNum"/>
    <w:qFormat/>
    <w:rsid w:val="00BB2D73"/>
    <w:pPr>
      <w:keepNext/>
      <w:numPr>
        <w:ilvl w:val="3"/>
        <w:numId w:val="3"/>
      </w:numPr>
      <w:tabs>
        <w:tab w:val="left" w:pos="2880"/>
      </w:tabs>
      <w:spacing w:after="120"/>
      <w:outlineLvl w:val="3"/>
    </w:pPr>
    <w:rPr>
      <w:b/>
    </w:rPr>
  </w:style>
  <w:style w:type="paragraph" w:styleId="Heading5">
    <w:name w:val="heading 5"/>
    <w:basedOn w:val="Normal"/>
    <w:next w:val="ParaNum"/>
    <w:qFormat/>
    <w:rsid w:val="00BB2D7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2D73"/>
    <w:pPr>
      <w:numPr>
        <w:ilvl w:val="5"/>
        <w:numId w:val="3"/>
      </w:numPr>
      <w:tabs>
        <w:tab w:val="left" w:pos="4320"/>
      </w:tabs>
      <w:spacing w:after="120"/>
      <w:outlineLvl w:val="5"/>
    </w:pPr>
    <w:rPr>
      <w:b/>
    </w:rPr>
  </w:style>
  <w:style w:type="paragraph" w:styleId="Heading7">
    <w:name w:val="heading 7"/>
    <w:basedOn w:val="Normal"/>
    <w:next w:val="ParaNum"/>
    <w:qFormat/>
    <w:rsid w:val="00BB2D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2D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2D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B2D73"/>
    <w:pPr>
      <w:numPr>
        <w:numId w:val="2"/>
      </w:numPr>
      <w:tabs>
        <w:tab w:val="clear" w:pos="1080"/>
        <w:tab w:val="num" w:pos="1440"/>
      </w:tabs>
      <w:spacing w:after="120"/>
    </w:pPr>
  </w:style>
  <w:style w:type="paragraph" w:styleId="EndnoteText">
    <w:name w:val="endnote text"/>
    <w:basedOn w:val="Normal"/>
    <w:semiHidden/>
    <w:rsid w:val="00BB2D73"/>
    <w:rPr>
      <w:sz w:val="20"/>
    </w:rPr>
  </w:style>
  <w:style w:type="character" w:styleId="EndnoteReference">
    <w:name w:val="endnote reference"/>
    <w:semiHidden/>
    <w:rsid w:val="00BB2D73"/>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BB2D73"/>
    <w:pPr>
      <w:spacing w:after="120"/>
    </w:pPr>
  </w:style>
  <w:style w:type="character" w:styleId="FootnoteReference">
    <w:name w:val="footnote reference"/>
    <w:aliases w:val="(NECG) Footnote Reference,Appel note de bas de p,FR,Footnote Reference/,Style 12,Style 124,Style 13,Style 17,Style 3,Style 4,Style 6,fr,o"/>
    <w:rsid w:val="00BB2D73"/>
    <w:rPr>
      <w:rFonts w:ascii="Times New Roman" w:hAnsi="Times New Roman"/>
      <w:dstrike w:val="0"/>
      <w:color w:val="auto"/>
      <w:sz w:val="20"/>
      <w:vertAlign w:val="superscript"/>
    </w:rPr>
  </w:style>
  <w:style w:type="paragraph" w:styleId="TOC1">
    <w:name w:val="toc 1"/>
    <w:basedOn w:val="Normal"/>
    <w:next w:val="Normal"/>
    <w:semiHidden/>
    <w:rsid w:val="00BB2D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2D73"/>
    <w:pPr>
      <w:tabs>
        <w:tab w:val="left" w:pos="720"/>
        <w:tab w:val="right" w:leader="dot" w:pos="9360"/>
      </w:tabs>
      <w:suppressAutoHyphens/>
      <w:ind w:left="720" w:right="720" w:hanging="360"/>
    </w:pPr>
    <w:rPr>
      <w:noProof/>
    </w:rPr>
  </w:style>
  <w:style w:type="paragraph" w:styleId="TOC3">
    <w:name w:val="toc 3"/>
    <w:basedOn w:val="Normal"/>
    <w:next w:val="Normal"/>
    <w:semiHidden/>
    <w:rsid w:val="00BB2D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2D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2D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2D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2D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2D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2D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2D73"/>
    <w:pPr>
      <w:tabs>
        <w:tab w:val="right" w:pos="9360"/>
      </w:tabs>
      <w:suppressAutoHyphens/>
    </w:pPr>
  </w:style>
  <w:style w:type="character" w:customStyle="1" w:styleId="EquationCaption">
    <w:name w:val="_Equation Caption"/>
    <w:rsid w:val="00BB2D73"/>
  </w:style>
  <w:style w:type="paragraph" w:styleId="Header">
    <w:name w:val="header"/>
    <w:basedOn w:val="Normal"/>
    <w:autoRedefine/>
    <w:rsid w:val="00BB2D73"/>
    <w:pPr>
      <w:tabs>
        <w:tab w:val="center" w:pos="4680"/>
        <w:tab w:val="right" w:pos="9360"/>
      </w:tabs>
    </w:pPr>
    <w:rPr>
      <w:b/>
    </w:rPr>
  </w:style>
  <w:style w:type="paragraph" w:styleId="Footer">
    <w:name w:val="footer"/>
    <w:basedOn w:val="Normal"/>
    <w:rsid w:val="00BB2D73"/>
    <w:pPr>
      <w:tabs>
        <w:tab w:val="center" w:pos="4320"/>
        <w:tab w:val="right" w:pos="8640"/>
      </w:tabs>
    </w:pPr>
  </w:style>
  <w:style w:type="character" w:styleId="PageNumber">
    <w:name w:val="page number"/>
    <w:basedOn w:val="DefaultParagraphFont"/>
    <w:rsid w:val="00BB2D73"/>
  </w:style>
  <w:style w:type="paragraph" w:styleId="BlockText">
    <w:name w:val="Block Text"/>
    <w:basedOn w:val="Normal"/>
    <w:rsid w:val="00BB2D73"/>
    <w:pPr>
      <w:spacing w:after="240"/>
      <w:ind w:left="1440" w:right="1440"/>
    </w:pPr>
  </w:style>
  <w:style w:type="paragraph" w:customStyle="1" w:styleId="Paratitle">
    <w:name w:val="Para title"/>
    <w:basedOn w:val="Normal"/>
    <w:rsid w:val="00BB2D73"/>
    <w:pPr>
      <w:tabs>
        <w:tab w:val="center" w:pos="9270"/>
      </w:tabs>
      <w:spacing w:after="240"/>
    </w:pPr>
    <w:rPr>
      <w:spacing w:val="-2"/>
    </w:rPr>
  </w:style>
  <w:style w:type="paragraph" w:customStyle="1" w:styleId="Bullet">
    <w:name w:val="Bullet"/>
    <w:basedOn w:val="Normal"/>
    <w:rsid w:val="00BB2D73"/>
    <w:pPr>
      <w:tabs>
        <w:tab w:val="left" w:pos="2160"/>
      </w:tabs>
      <w:spacing w:after="220"/>
      <w:ind w:left="2160" w:hanging="720"/>
    </w:pPr>
  </w:style>
  <w:style w:type="paragraph" w:customStyle="1" w:styleId="TableFormat">
    <w:name w:val="TableFormat"/>
    <w:basedOn w:val="Bullet"/>
    <w:rsid w:val="00BB2D73"/>
    <w:pPr>
      <w:tabs>
        <w:tab w:val="clear" w:pos="2160"/>
        <w:tab w:val="left" w:pos="5040"/>
      </w:tabs>
      <w:ind w:left="5040" w:hanging="3600"/>
    </w:pPr>
  </w:style>
  <w:style w:type="paragraph" w:customStyle="1" w:styleId="TOCTitle">
    <w:name w:val="TOC Title"/>
    <w:basedOn w:val="Normal"/>
    <w:rsid w:val="00BB2D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2D73"/>
    <w:pPr>
      <w:jc w:val="center"/>
    </w:pPr>
    <w:rPr>
      <w:rFonts w:ascii="Times New Roman Bold" w:hAnsi="Times New Roman Bold"/>
      <w:b/>
      <w:bCs/>
      <w:caps/>
      <w:szCs w:val="22"/>
    </w:rPr>
  </w:style>
  <w:style w:type="character" w:styleId="Hyperlink">
    <w:name w:val="Hyperlink"/>
    <w:rsid w:val="00BB2D73"/>
    <w:rPr>
      <w:color w:val="0000FF"/>
      <w:u w:val="single"/>
    </w:rPr>
  </w:style>
  <w:style w:type="paragraph" w:styleId="BalloonText">
    <w:name w:val="Balloon Text"/>
    <w:basedOn w:val="Normal"/>
    <w:link w:val="BalloonTextChar"/>
    <w:rsid w:val="006306A6"/>
    <w:rPr>
      <w:rFonts w:ascii="Segoe UI" w:hAnsi="Segoe UI" w:cs="Segoe UI"/>
      <w:sz w:val="18"/>
      <w:szCs w:val="18"/>
    </w:rPr>
  </w:style>
  <w:style w:type="character" w:customStyle="1" w:styleId="BalloonTextChar">
    <w:name w:val="Balloon Text Char"/>
    <w:link w:val="BalloonText"/>
    <w:rsid w:val="006306A6"/>
    <w:rPr>
      <w:rFonts w:ascii="Segoe UI" w:hAnsi="Segoe UI" w:cs="Segoe UI"/>
      <w:snapToGrid w:val="0"/>
      <w:kern w:val="28"/>
      <w:sz w:val="18"/>
      <w:szCs w:val="18"/>
    </w:rPr>
  </w:style>
  <w:style w:type="character" w:customStyle="1" w:styleId="documentbody">
    <w:name w:val="documentbody"/>
    <w:uiPriority w:val="99"/>
    <w:rsid w:val="00582306"/>
  </w:style>
  <w:style w:type="character" w:customStyle="1" w:styleId="searchterm">
    <w:name w:val="searchterm"/>
    <w:uiPriority w:val="99"/>
    <w:rsid w:val="00582306"/>
  </w:style>
  <w:style w:type="character" w:styleId="CommentReference">
    <w:name w:val="annotation reference"/>
    <w:rsid w:val="000B2145"/>
    <w:rPr>
      <w:sz w:val="16"/>
      <w:szCs w:val="16"/>
    </w:rPr>
  </w:style>
  <w:style w:type="paragraph" w:styleId="CommentText">
    <w:name w:val="annotation text"/>
    <w:basedOn w:val="Normal"/>
    <w:link w:val="CommentTextChar"/>
    <w:rsid w:val="000B2145"/>
    <w:rPr>
      <w:sz w:val="20"/>
    </w:rPr>
  </w:style>
  <w:style w:type="character" w:customStyle="1" w:styleId="CommentTextChar">
    <w:name w:val="Comment Text Char"/>
    <w:link w:val="CommentText"/>
    <w:rsid w:val="000B2145"/>
    <w:rPr>
      <w:snapToGrid w:val="0"/>
      <w:kern w:val="28"/>
    </w:rPr>
  </w:style>
  <w:style w:type="paragraph" w:styleId="CommentSubject">
    <w:name w:val="annotation subject"/>
    <w:basedOn w:val="CommentText"/>
    <w:next w:val="CommentText"/>
    <w:link w:val="CommentSubjectChar"/>
    <w:rsid w:val="000B2145"/>
    <w:rPr>
      <w:b/>
      <w:bCs/>
    </w:rPr>
  </w:style>
  <w:style w:type="character" w:customStyle="1" w:styleId="CommentSubjectChar">
    <w:name w:val="Comment Subject Char"/>
    <w:link w:val="CommentSubject"/>
    <w:rsid w:val="000B2145"/>
    <w:rPr>
      <w:b/>
      <w:bCs/>
      <w:snapToGrid w:val="0"/>
      <w:kern w:val="28"/>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7C7C2D"/>
  </w:style>
  <w:style w:type="character" w:customStyle="1" w:styleId="ParaNumChar">
    <w:name w:val="ParaNum Char"/>
    <w:link w:val="ParaNum"/>
    <w:locked/>
    <w:rsid w:val="007C7C2D"/>
    <w:rPr>
      <w:snapToGrid w:val="0"/>
      <w:kern w:val="28"/>
      <w:sz w:val="22"/>
    </w:rPr>
  </w:style>
  <w:style w:type="character" w:customStyle="1" w:styleId="UnresolvedMention">
    <w:name w:val="Unresolved Mention"/>
    <w:uiPriority w:val="99"/>
    <w:semiHidden/>
    <w:unhideWhenUsed/>
    <w:rsid w:val="00494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F1D5-E0F6-4957-90BD-4C53AF80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2018-04-25T18:31:13Z</dcterms:created>
  <dcterms:modified xsi:type="dcterms:W3CDTF">2018-04-25T18:31:13Z</dcterms:modified>
</cp:coreProperties>
</file>