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55A4F" w:rsidRPr="00401B16" w:rsidP="00055A4F">
      <w:pPr>
        <w:widowControl/>
        <w:jc w:val="center"/>
        <w:rPr>
          <w:rFonts w:eastAsia="Calibri"/>
          <w:b/>
          <w:snapToGrid/>
          <w:kern w:val="0"/>
          <w:szCs w:val="22"/>
        </w:rPr>
      </w:pPr>
      <w:bookmarkStart w:id="0" w:name="_GoBack"/>
      <w:bookmarkEnd w:id="0"/>
      <w:r w:rsidRPr="00401B16">
        <w:rPr>
          <w:rFonts w:eastAsia="Calibri"/>
          <w:b/>
          <w:snapToGrid/>
          <w:kern w:val="0"/>
          <w:szCs w:val="22"/>
        </w:rPr>
        <w:t>Before the</w:t>
      </w:r>
    </w:p>
    <w:p w:rsidR="00055A4F" w:rsidRPr="00401B16" w:rsidP="00055A4F">
      <w:pPr>
        <w:widowControl/>
        <w:jc w:val="center"/>
        <w:rPr>
          <w:rFonts w:eastAsia="Calibri"/>
          <w:b/>
          <w:bCs/>
          <w:caps/>
          <w:snapToGrid/>
          <w:kern w:val="0"/>
          <w:szCs w:val="22"/>
        </w:rPr>
      </w:pPr>
      <w:r w:rsidRPr="00401B16">
        <w:rPr>
          <w:rFonts w:eastAsia="Calibri"/>
          <w:b/>
          <w:bCs/>
          <w:caps/>
          <w:snapToGrid/>
          <w:kern w:val="0"/>
          <w:szCs w:val="22"/>
        </w:rPr>
        <w:t>F</w:t>
      </w:r>
      <w:r w:rsidRPr="00401B16">
        <w:rPr>
          <w:rFonts w:eastAsia="Calibri"/>
          <w:b/>
          <w:bCs/>
          <w:snapToGrid/>
          <w:kern w:val="0"/>
          <w:szCs w:val="22"/>
        </w:rPr>
        <w:t>ederal Communications Commission</w:t>
      </w:r>
    </w:p>
    <w:p w:rsidR="00055A4F" w:rsidRPr="00401B16" w:rsidP="00055A4F">
      <w:pPr>
        <w:widowControl/>
        <w:jc w:val="center"/>
        <w:rPr>
          <w:rFonts w:eastAsia="Calibri"/>
          <w:b/>
          <w:bCs/>
          <w:caps/>
          <w:snapToGrid/>
          <w:kern w:val="0"/>
          <w:szCs w:val="22"/>
        </w:rPr>
      </w:pPr>
      <w:r w:rsidRPr="00401B16">
        <w:rPr>
          <w:rFonts w:eastAsia="Calibri"/>
          <w:b/>
          <w:bCs/>
          <w:snapToGrid/>
          <w:kern w:val="0"/>
          <w:szCs w:val="22"/>
        </w:rPr>
        <w:t>Washington, D.C. 20554</w:t>
      </w:r>
    </w:p>
    <w:p w:rsidR="00055A4F" w:rsidRPr="00401B16" w:rsidP="00055A4F">
      <w:pPr>
        <w:widowControl/>
        <w:rPr>
          <w:rFonts w:eastAsia="Calibri"/>
          <w:snapToGrid/>
          <w:kern w:val="0"/>
          <w:szCs w:val="22"/>
        </w:rPr>
      </w:pPr>
    </w:p>
    <w:p w:rsidR="00055A4F" w:rsidRPr="00401B16" w:rsidP="00055A4F">
      <w:pPr>
        <w:widowControl/>
        <w:rPr>
          <w:rFonts w:eastAsia="Calibri"/>
          <w:snapToGrid/>
          <w:kern w:val="0"/>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A543B5">
        <w:tblPrEx>
          <w:tblW w:w="0" w:type="auto"/>
          <w:tblInd w:w="0" w:type="dxa"/>
          <w:tblLayout w:type="fixed"/>
          <w:tblCellMar>
            <w:top w:w="0" w:type="dxa"/>
            <w:left w:w="108" w:type="dxa"/>
            <w:bottom w:w="0" w:type="dxa"/>
            <w:right w:w="108" w:type="dxa"/>
          </w:tblCellMar>
          <w:tblLook w:val="0000"/>
        </w:tblPrEx>
        <w:tc>
          <w:tcPr>
            <w:tcW w:w="4698" w:type="dxa"/>
          </w:tcPr>
          <w:p w:rsidR="00055A4F" w:rsidRPr="00401B16" w:rsidP="00A543B5">
            <w:pPr>
              <w:widowControl/>
              <w:tabs>
                <w:tab w:val="center" w:pos="4680"/>
              </w:tabs>
              <w:suppressAutoHyphens/>
              <w:rPr>
                <w:rStyle w:val="DefaultParagraphFont"/>
                <w:rFonts w:eastAsia="Calibri"/>
                <w:snapToGrid/>
                <w:spacing w:val="-2"/>
                <w:kern w:val="0"/>
                <w:sz w:val="22"/>
                <w:szCs w:val="22"/>
                <w:lang w:val="en-US" w:eastAsia="en-US" w:bidi="ar-SA"/>
              </w:rPr>
            </w:pPr>
            <w:r w:rsidRPr="00401B16">
              <w:rPr>
                <w:rFonts w:eastAsia="Calibri"/>
                <w:snapToGrid/>
                <w:spacing w:val="-2"/>
                <w:kern w:val="0"/>
                <w:sz w:val="22"/>
                <w:szCs w:val="22"/>
                <w:lang w:val="en-US" w:eastAsia="en-US" w:bidi="ar-SA"/>
              </w:rPr>
              <w:t>In the Matter of</w:t>
            </w:r>
          </w:p>
          <w:p w:rsidR="00055A4F" w:rsidRPr="00401B16" w:rsidP="00A543B5">
            <w:pPr>
              <w:widowControl/>
              <w:tabs>
                <w:tab w:val="center" w:pos="4680"/>
              </w:tabs>
              <w:suppressAutoHyphens/>
              <w:rPr>
                <w:rStyle w:val="DefaultParagraphFont"/>
                <w:rFonts w:eastAsia="Calibri"/>
                <w:snapToGrid/>
                <w:spacing w:val="-2"/>
                <w:kern w:val="0"/>
                <w:sz w:val="22"/>
                <w:szCs w:val="22"/>
                <w:lang w:val="en-US" w:eastAsia="en-US" w:bidi="ar-SA"/>
              </w:rPr>
            </w:pPr>
          </w:p>
          <w:p w:rsidR="00055A4F" w:rsidRPr="00401B16" w:rsidP="00A543B5">
            <w:pPr>
              <w:widowControl/>
              <w:tabs>
                <w:tab w:val="center" w:pos="4680"/>
              </w:tabs>
              <w:suppressAutoHyphens/>
              <w:rPr>
                <w:rStyle w:val="DefaultParagraphFont"/>
                <w:rFonts w:eastAsia="Calibri"/>
                <w:snapToGrid/>
                <w:spacing w:val="-2"/>
                <w:kern w:val="0"/>
                <w:sz w:val="22"/>
                <w:szCs w:val="22"/>
                <w:lang w:val="en-US" w:eastAsia="en-US" w:bidi="ar-SA"/>
              </w:rPr>
            </w:pPr>
            <w:r w:rsidRPr="00401B16">
              <w:rPr>
                <w:rFonts w:eastAsia="Calibri"/>
                <w:snapToGrid/>
                <w:spacing w:val="-2"/>
                <w:kern w:val="0"/>
                <w:sz w:val="22"/>
                <w:szCs w:val="22"/>
                <w:lang w:val="en-US" w:eastAsia="en-US" w:bidi="ar-SA"/>
              </w:rPr>
              <w:t>Iowa Network Access Division</w:t>
            </w:r>
            <w:r w:rsidRPr="00401B16">
              <w:rPr>
                <w:rFonts w:eastAsia="Calibri"/>
                <w:snapToGrid/>
                <w:spacing w:val="-2"/>
                <w:kern w:val="0"/>
                <w:sz w:val="22"/>
                <w:szCs w:val="22"/>
                <w:lang w:val="en-US" w:eastAsia="en-US" w:bidi="ar-SA"/>
              </w:rPr>
              <w:br/>
              <w:t>Tariff F.C.C. No. 1</w:t>
            </w:r>
          </w:p>
        </w:tc>
        <w:tc>
          <w:tcPr>
            <w:tcW w:w="630" w:type="dxa"/>
          </w:tcPr>
          <w:p w:rsidR="00055A4F" w:rsidRPr="00401B16" w:rsidP="00A543B5">
            <w:pPr>
              <w:widowControl/>
              <w:tabs>
                <w:tab w:val="center" w:pos="4680"/>
              </w:tabs>
              <w:suppressAutoHyphens/>
              <w:rPr>
                <w:rStyle w:val="DefaultParagraphFont"/>
                <w:rFonts w:eastAsia="Calibri"/>
                <w:b/>
                <w:snapToGrid/>
                <w:spacing w:val="-2"/>
                <w:kern w:val="0"/>
                <w:sz w:val="22"/>
                <w:szCs w:val="22"/>
                <w:lang w:val="en-US" w:eastAsia="en-US" w:bidi="ar-SA"/>
              </w:rPr>
            </w:pPr>
            <w:r w:rsidRPr="00401B16">
              <w:rPr>
                <w:rFonts w:eastAsia="Calibri"/>
                <w:b/>
                <w:snapToGrid/>
                <w:spacing w:val="-2"/>
                <w:kern w:val="0"/>
                <w:sz w:val="22"/>
                <w:szCs w:val="22"/>
                <w:lang w:val="en-US" w:eastAsia="en-US" w:bidi="ar-SA"/>
              </w:rPr>
              <w:t>)</w:t>
            </w:r>
          </w:p>
          <w:p w:rsidR="00055A4F" w:rsidRPr="00401B16" w:rsidP="00A543B5">
            <w:pPr>
              <w:widowControl/>
              <w:tabs>
                <w:tab w:val="center" w:pos="4680"/>
              </w:tabs>
              <w:suppressAutoHyphens/>
              <w:rPr>
                <w:rStyle w:val="DefaultParagraphFont"/>
                <w:rFonts w:eastAsia="Calibri"/>
                <w:b/>
                <w:snapToGrid/>
                <w:spacing w:val="-2"/>
                <w:kern w:val="0"/>
                <w:sz w:val="22"/>
                <w:szCs w:val="22"/>
                <w:lang w:val="en-US" w:eastAsia="en-US" w:bidi="ar-SA"/>
              </w:rPr>
            </w:pPr>
            <w:r w:rsidRPr="00401B16">
              <w:rPr>
                <w:rFonts w:eastAsia="Calibri"/>
                <w:b/>
                <w:snapToGrid/>
                <w:spacing w:val="-2"/>
                <w:kern w:val="0"/>
                <w:sz w:val="22"/>
                <w:szCs w:val="22"/>
                <w:lang w:val="en-US" w:eastAsia="en-US" w:bidi="ar-SA"/>
              </w:rPr>
              <w:t>)</w:t>
            </w:r>
          </w:p>
          <w:p w:rsidR="00055A4F" w:rsidRPr="00401B16" w:rsidP="00A543B5">
            <w:pPr>
              <w:widowControl/>
              <w:tabs>
                <w:tab w:val="center" w:pos="4680"/>
              </w:tabs>
              <w:suppressAutoHyphens/>
              <w:rPr>
                <w:rStyle w:val="DefaultParagraphFont"/>
                <w:rFonts w:eastAsia="Calibri"/>
                <w:b/>
                <w:snapToGrid/>
                <w:spacing w:val="-2"/>
                <w:kern w:val="0"/>
                <w:sz w:val="22"/>
                <w:szCs w:val="22"/>
                <w:lang w:val="en-US" w:eastAsia="en-US" w:bidi="ar-SA"/>
              </w:rPr>
            </w:pPr>
            <w:r w:rsidRPr="00401B16">
              <w:rPr>
                <w:rFonts w:eastAsia="Calibri"/>
                <w:b/>
                <w:snapToGrid/>
                <w:spacing w:val="-2"/>
                <w:kern w:val="0"/>
                <w:sz w:val="22"/>
                <w:szCs w:val="22"/>
                <w:lang w:val="en-US" w:eastAsia="en-US" w:bidi="ar-SA"/>
              </w:rPr>
              <w:t>)</w:t>
            </w:r>
          </w:p>
          <w:p w:rsidR="00055A4F" w:rsidRPr="00401B16" w:rsidP="00A543B5">
            <w:pPr>
              <w:widowControl/>
              <w:tabs>
                <w:tab w:val="center" w:pos="4680"/>
              </w:tabs>
              <w:suppressAutoHyphens/>
              <w:rPr>
                <w:rStyle w:val="DefaultParagraphFont"/>
                <w:rFonts w:eastAsia="Calibri"/>
                <w:b/>
                <w:snapToGrid/>
                <w:spacing w:val="-2"/>
                <w:kern w:val="0"/>
                <w:sz w:val="22"/>
                <w:szCs w:val="22"/>
                <w:lang w:val="en-US" w:eastAsia="en-US" w:bidi="ar-SA"/>
              </w:rPr>
            </w:pPr>
            <w:r w:rsidRPr="00401B16">
              <w:rPr>
                <w:rFonts w:eastAsia="Calibri"/>
                <w:b/>
                <w:snapToGrid/>
                <w:spacing w:val="-2"/>
                <w:kern w:val="0"/>
                <w:sz w:val="22"/>
                <w:szCs w:val="22"/>
                <w:lang w:val="en-US" w:eastAsia="en-US" w:bidi="ar-SA"/>
              </w:rPr>
              <w:t>)</w:t>
            </w:r>
          </w:p>
          <w:p w:rsidR="00055A4F" w:rsidRPr="00060522" w:rsidP="00A543B5">
            <w:pPr>
              <w:widowControl/>
              <w:tabs>
                <w:tab w:val="center" w:pos="4680"/>
              </w:tabs>
              <w:suppressAutoHyphens/>
              <w:rPr>
                <w:rStyle w:val="DefaultParagraphFont"/>
                <w:rFonts w:eastAsia="Calibri"/>
                <w:b/>
                <w:snapToGrid/>
                <w:spacing w:val="-2"/>
                <w:kern w:val="0"/>
                <w:sz w:val="22"/>
                <w:szCs w:val="22"/>
                <w:lang w:val="en-US" w:eastAsia="en-US" w:bidi="ar-SA"/>
              </w:rPr>
            </w:pPr>
            <w:r w:rsidRPr="00401B16">
              <w:rPr>
                <w:rFonts w:eastAsia="Calibri"/>
                <w:b/>
                <w:snapToGrid/>
                <w:spacing w:val="-2"/>
                <w:kern w:val="0"/>
                <w:sz w:val="22"/>
                <w:szCs w:val="22"/>
                <w:lang w:val="en-US" w:eastAsia="en-US" w:bidi="ar-SA"/>
              </w:rPr>
              <w:t>)</w:t>
            </w:r>
          </w:p>
        </w:tc>
        <w:tc>
          <w:tcPr>
            <w:tcW w:w="4248" w:type="dxa"/>
          </w:tcPr>
          <w:p w:rsidR="00055A4F" w:rsidRPr="00401B16" w:rsidP="00A543B5">
            <w:pPr>
              <w:widowControl/>
              <w:tabs>
                <w:tab w:val="center" w:pos="4680"/>
              </w:tabs>
              <w:suppressAutoHyphens/>
              <w:rPr>
                <w:rStyle w:val="DefaultParagraphFont"/>
                <w:rFonts w:eastAsia="Calibri"/>
                <w:snapToGrid/>
                <w:spacing w:val="-2"/>
                <w:kern w:val="0"/>
                <w:sz w:val="22"/>
                <w:szCs w:val="22"/>
                <w:lang w:val="en-US" w:eastAsia="en-US" w:bidi="ar-SA"/>
              </w:rPr>
            </w:pPr>
            <w:r w:rsidRPr="00401B16">
              <w:rPr>
                <w:rFonts w:eastAsia="Calibri"/>
                <w:snapToGrid/>
                <w:spacing w:val="-2"/>
                <w:kern w:val="0"/>
                <w:sz w:val="22"/>
                <w:szCs w:val="22"/>
                <w:lang w:val="en-US" w:eastAsia="en-US" w:bidi="ar-SA"/>
              </w:rPr>
              <w:t>WC Docket No. 18-60</w:t>
            </w:r>
          </w:p>
          <w:p w:rsidR="00055A4F" w:rsidRPr="00401B16" w:rsidP="00A543B5">
            <w:pPr>
              <w:widowControl/>
              <w:tabs>
                <w:tab w:val="center" w:pos="4680"/>
              </w:tabs>
              <w:suppressAutoHyphens/>
              <w:rPr>
                <w:rStyle w:val="DefaultParagraphFont"/>
                <w:rFonts w:eastAsia="Calibri"/>
                <w:snapToGrid/>
                <w:spacing w:val="-2"/>
                <w:kern w:val="0"/>
                <w:sz w:val="22"/>
                <w:szCs w:val="22"/>
                <w:lang w:val="en-US" w:eastAsia="en-US" w:bidi="ar-SA"/>
              </w:rPr>
            </w:pPr>
          </w:p>
          <w:p w:rsidR="00055A4F" w:rsidRPr="00401B16" w:rsidP="00A543B5">
            <w:pPr>
              <w:widowControl/>
              <w:tabs>
                <w:tab w:val="center" w:pos="4680"/>
              </w:tabs>
              <w:suppressAutoHyphens/>
              <w:rPr>
                <w:rStyle w:val="DefaultParagraphFont"/>
                <w:rFonts w:eastAsia="Calibri"/>
                <w:snapToGrid/>
                <w:spacing w:val="-2"/>
                <w:kern w:val="0"/>
                <w:sz w:val="22"/>
                <w:szCs w:val="22"/>
                <w:lang w:val="en-US" w:eastAsia="en-US" w:bidi="ar-SA"/>
              </w:rPr>
            </w:pPr>
            <w:r w:rsidRPr="00401B16">
              <w:rPr>
                <w:rFonts w:eastAsia="Calibri"/>
                <w:snapToGrid/>
                <w:spacing w:val="-2"/>
                <w:kern w:val="0"/>
                <w:sz w:val="22"/>
                <w:szCs w:val="22"/>
                <w:lang w:val="en-US" w:eastAsia="en-US" w:bidi="ar-SA"/>
              </w:rPr>
              <w:t>Transmittal No. 36</w:t>
            </w:r>
          </w:p>
        </w:tc>
      </w:tr>
    </w:tbl>
    <w:p w:rsidR="00055A4F" w:rsidRPr="00401B16" w:rsidP="00055A4F">
      <w:pPr>
        <w:widowControl/>
        <w:rPr>
          <w:rFonts w:eastAsia="Calibri"/>
          <w:snapToGrid/>
          <w:kern w:val="0"/>
          <w:szCs w:val="22"/>
        </w:rPr>
      </w:pPr>
    </w:p>
    <w:p w:rsidR="00060522" w:rsidP="00055A4F">
      <w:pPr>
        <w:widowControl/>
        <w:jc w:val="center"/>
        <w:rPr>
          <w:rFonts w:eastAsia="Calibri"/>
          <w:b/>
          <w:bCs/>
          <w:caps/>
          <w:snapToGrid/>
          <w:kern w:val="0"/>
          <w:szCs w:val="22"/>
        </w:rPr>
      </w:pPr>
    </w:p>
    <w:p w:rsidR="00055A4F" w:rsidRPr="00401B16" w:rsidP="00055A4F">
      <w:pPr>
        <w:widowControl/>
        <w:jc w:val="center"/>
        <w:rPr>
          <w:rFonts w:eastAsia="Calibri"/>
          <w:b/>
          <w:bCs/>
          <w:caps/>
          <w:snapToGrid/>
          <w:kern w:val="0"/>
          <w:szCs w:val="22"/>
        </w:rPr>
      </w:pPr>
      <w:r w:rsidRPr="00401B16">
        <w:rPr>
          <w:rFonts w:eastAsia="Calibri"/>
          <w:b/>
          <w:bCs/>
          <w:caps/>
          <w:snapToGrid/>
          <w:kern w:val="0"/>
          <w:szCs w:val="22"/>
        </w:rPr>
        <w:t>ORDER</w:t>
      </w:r>
    </w:p>
    <w:p w:rsidR="00055A4F" w:rsidRPr="00401B16" w:rsidP="00055A4F">
      <w:pPr>
        <w:widowControl/>
        <w:tabs>
          <w:tab w:val="left" w:pos="-720"/>
        </w:tabs>
        <w:suppressAutoHyphens/>
        <w:spacing w:line="227" w:lineRule="auto"/>
        <w:rPr>
          <w:rFonts w:eastAsia="Calibri"/>
          <w:snapToGrid/>
          <w:spacing w:val="-2"/>
          <w:kern w:val="0"/>
          <w:szCs w:val="22"/>
        </w:rPr>
      </w:pPr>
    </w:p>
    <w:p w:rsidR="00055A4F" w:rsidRPr="00401B16" w:rsidP="00055A4F">
      <w:pPr>
        <w:widowControl/>
        <w:tabs>
          <w:tab w:val="left" w:pos="720"/>
          <w:tab w:val="right" w:pos="9360"/>
        </w:tabs>
        <w:suppressAutoHyphens/>
        <w:spacing w:line="227" w:lineRule="auto"/>
        <w:rPr>
          <w:rFonts w:eastAsia="Calibri"/>
          <w:snapToGrid/>
          <w:spacing w:val="-2"/>
          <w:kern w:val="0"/>
          <w:szCs w:val="22"/>
        </w:rPr>
      </w:pPr>
      <w:r w:rsidRPr="00401B16">
        <w:rPr>
          <w:rFonts w:eastAsia="Calibri"/>
          <w:b/>
          <w:snapToGrid/>
          <w:spacing w:val="-2"/>
          <w:kern w:val="0"/>
          <w:szCs w:val="22"/>
        </w:rPr>
        <w:t>Adopted:  April 25, 2018</w:t>
      </w:r>
      <w:r w:rsidRPr="00401B16">
        <w:rPr>
          <w:rFonts w:eastAsia="Calibri"/>
          <w:b/>
          <w:snapToGrid/>
          <w:spacing w:val="-2"/>
          <w:kern w:val="0"/>
          <w:szCs w:val="22"/>
        </w:rPr>
        <w:tab/>
        <w:t>Released:  April 25, 2018</w:t>
      </w:r>
    </w:p>
    <w:p w:rsidR="00055A4F" w:rsidRPr="00401B16" w:rsidP="00055A4F">
      <w:pPr>
        <w:widowControl/>
        <w:rPr>
          <w:rFonts w:eastAsia="Calibri"/>
          <w:snapToGrid/>
          <w:kern w:val="0"/>
          <w:szCs w:val="22"/>
        </w:rPr>
      </w:pPr>
    </w:p>
    <w:p w:rsidR="00055A4F" w:rsidRPr="00401B16" w:rsidP="00055A4F">
      <w:pPr>
        <w:widowControl/>
        <w:rPr>
          <w:rFonts w:eastAsia="Calibri"/>
          <w:snapToGrid/>
          <w:spacing w:val="-2"/>
          <w:kern w:val="0"/>
          <w:szCs w:val="22"/>
        </w:rPr>
      </w:pPr>
      <w:r w:rsidRPr="00401B16">
        <w:rPr>
          <w:rFonts w:eastAsia="Calibri"/>
          <w:snapToGrid/>
          <w:kern w:val="0"/>
          <w:szCs w:val="22"/>
        </w:rPr>
        <w:t>By the</w:t>
      </w:r>
      <w:r w:rsidRPr="00401B16">
        <w:rPr>
          <w:rFonts w:eastAsia="Calibri"/>
          <w:snapToGrid/>
          <w:spacing w:val="-2"/>
          <w:kern w:val="0"/>
          <w:szCs w:val="22"/>
        </w:rPr>
        <w:t xml:space="preserve"> Wireline Competition Bureau:</w:t>
      </w:r>
    </w:p>
    <w:p w:rsidR="00055A4F" w:rsidRPr="00401B16" w:rsidP="00055A4F">
      <w:pPr>
        <w:widowControl/>
        <w:rPr>
          <w:rFonts w:eastAsia="Calibri"/>
          <w:snapToGrid/>
          <w:spacing w:val="-2"/>
          <w:kern w:val="0"/>
          <w:szCs w:val="22"/>
        </w:rPr>
      </w:pPr>
    </w:p>
    <w:p w:rsidR="00055A4F" w:rsidRPr="00401B16" w:rsidP="00055A4F">
      <w:pPr>
        <w:widowControl/>
        <w:numPr>
          <w:ilvl w:val="0"/>
          <w:numId w:val="2"/>
        </w:numPr>
        <w:spacing w:after="120"/>
        <w:rPr>
          <w:rFonts w:eastAsia="Calibri"/>
          <w:snapToGrid/>
          <w:kern w:val="0"/>
          <w:szCs w:val="22"/>
        </w:rPr>
      </w:pPr>
      <w:r w:rsidRPr="00401B16">
        <w:rPr>
          <w:rFonts w:eastAsia="Calibri"/>
          <w:snapToGrid/>
          <w:kern w:val="0"/>
          <w:szCs w:val="22"/>
        </w:rPr>
        <w:t xml:space="preserve">In this Order, the Wireline Competition Bureau grants in part and denies in part AT&amp;T’s request for an expedited filing date for any oppositions to its </w:t>
      </w:r>
      <w:r>
        <w:rPr>
          <w:rFonts w:eastAsia="Calibri"/>
          <w:snapToGrid/>
          <w:kern w:val="0"/>
          <w:szCs w:val="22"/>
        </w:rPr>
        <w:t>m</w:t>
      </w:r>
      <w:r w:rsidRPr="00401B16">
        <w:rPr>
          <w:rFonts w:eastAsia="Calibri"/>
          <w:snapToGrid/>
          <w:kern w:val="0"/>
          <w:szCs w:val="22"/>
        </w:rPr>
        <w:t>otion to Amend Protective Order and For Expedited Ruling.</w:t>
      </w:r>
      <w:r>
        <w:rPr>
          <w:rFonts w:eastAsia="Calibri"/>
          <w:snapToGrid/>
          <w:kern w:val="0"/>
          <w:szCs w:val="22"/>
          <w:vertAlign w:val="superscript"/>
        </w:rPr>
        <w:footnoteReference w:id="3"/>
      </w:r>
      <w:r w:rsidRPr="00401B16">
        <w:rPr>
          <w:rFonts w:eastAsia="Calibri"/>
          <w:snapToGrid/>
          <w:kern w:val="0"/>
          <w:szCs w:val="22"/>
        </w:rPr>
        <w:t xml:space="preserve">  AT&amp;T requests, among other things, expedited consideration of its motion with a three-business-day period for oppositions.</w:t>
      </w:r>
      <w:r>
        <w:rPr>
          <w:rFonts w:eastAsia="Calibri"/>
          <w:snapToGrid/>
          <w:kern w:val="0"/>
          <w:szCs w:val="22"/>
          <w:vertAlign w:val="superscript"/>
        </w:rPr>
        <w:footnoteReference w:id="4"/>
      </w:r>
      <w:r w:rsidRPr="00401B16">
        <w:rPr>
          <w:rFonts w:eastAsia="Calibri"/>
          <w:snapToGrid/>
          <w:kern w:val="0"/>
          <w:szCs w:val="22"/>
        </w:rPr>
        <w:t xml:space="preserve">  Although we decline to adopt a three-business-day period for oppositions as requested, we agree that an expedited schedule is appropriate due to the compressed procedural schedule in this proceeding.  Accordingly, we require that any opposition to the AT&amp;T Motion be filed no later than Monday, April 30, 2018.  </w:t>
      </w:r>
    </w:p>
    <w:p w:rsidR="00055A4F" w:rsidRPr="00401B16" w:rsidP="00055A4F">
      <w:pPr>
        <w:widowControl/>
        <w:numPr>
          <w:ilvl w:val="0"/>
          <w:numId w:val="2"/>
        </w:numPr>
        <w:spacing w:after="120"/>
        <w:rPr>
          <w:rFonts w:eastAsia="Calibri"/>
          <w:snapToGrid/>
          <w:kern w:val="0"/>
          <w:szCs w:val="22"/>
        </w:rPr>
      </w:pPr>
      <w:r w:rsidRPr="00401B16">
        <w:rPr>
          <w:rFonts w:eastAsia="Calibri"/>
          <w:snapToGrid/>
          <w:kern w:val="0"/>
          <w:szCs w:val="22"/>
        </w:rPr>
        <w:t xml:space="preserve">On March 26, 2018, the Bureau adopted a </w:t>
      </w:r>
      <w:r w:rsidRPr="00401B16">
        <w:rPr>
          <w:rFonts w:eastAsia="Calibri"/>
          <w:i/>
          <w:snapToGrid/>
          <w:kern w:val="0"/>
          <w:szCs w:val="22"/>
        </w:rPr>
        <w:t xml:space="preserve">Protective Order </w:t>
      </w:r>
      <w:r w:rsidRPr="00401B16">
        <w:rPr>
          <w:rFonts w:eastAsia="Calibri"/>
          <w:snapToGrid/>
          <w:kern w:val="0"/>
          <w:szCs w:val="22"/>
        </w:rPr>
        <w:t>in connection with the investigation of whether the tariff revisions filed by Iowa Network Access Division d/b/a Aureon (Aureon) to its interstate access Tariff F.C.C. No. 1, Transmittal No. 36,</w:t>
      </w:r>
      <w:r>
        <w:rPr>
          <w:rFonts w:eastAsia="Calibri"/>
          <w:snapToGrid/>
          <w:kern w:val="0"/>
          <w:szCs w:val="22"/>
          <w:vertAlign w:val="superscript"/>
        </w:rPr>
        <w:footnoteReference w:id="5"/>
      </w:r>
      <w:r w:rsidRPr="00401B16">
        <w:rPr>
          <w:rFonts w:eastAsia="Calibri"/>
          <w:snapToGrid/>
          <w:kern w:val="0"/>
          <w:szCs w:val="22"/>
        </w:rPr>
        <w:t xml:space="preserve"> are consistent with the Order that the Federal Communications Commission adopted last year regarding the </w:t>
      </w:r>
      <w:r w:rsidRPr="00401B16">
        <w:rPr>
          <w:snapToGrid/>
          <w:kern w:val="0"/>
          <w:szCs w:val="22"/>
        </w:rPr>
        <w:t>formal complaint proceeding between AT&amp;T and Aureon,</w:t>
      </w:r>
      <w:r>
        <w:rPr>
          <w:rFonts w:eastAsia="Calibri"/>
          <w:snapToGrid/>
          <w:kern w:val="0"/>
          <w:szCs w:val="22"/>
          <w:vertAlign w:val="superscript"/>
        </w:rPr>
        <w:footnoteReference w:id="6"/>
      </w:r>
      <w:r w:rsidRPr="00401B16">
        <w:rPr>
          <w:rFonts w:eastAsia="Calibri"/>
          <w:snapToGrid/>
          <w:kern w:val="0"/>
          <w:szCs w:val="22"/>
        </w:rPr>
        <w:t xml:space="preserve"> and the requirements of the Communications Act of 1934, as amended, as well as the Commission’s implementing rules and orders.</w:t>
      </w:r>
      <w:r>
        <w:rPr>
          <w:rFonts w:eastAsia="Calibri"/>
          <w:snapToGrid/>
          <w:kern w:val="0"/>
          <w:szCs w:val="22"/>
          <w:vertAlign w:val="superscript"/>
        </w:rPr>
        <w:footnoteReference w:id="7"/>
      </w:r>
      <w:r w:rsidRPr="00401B16">
        <w:rPr>
          <w:rFonts w:eastAsia="Calibri"/>
          <w:snapToGrid/>
          <w:kern w:val="0"/>
          <w:szCs w:val="22"/>
        </w:rPr>
        <w:t xml:space="preserve">  On April 19, 2018, the Bureau adopted a </w:t>
      </w:r>
      <w:r w:rsidRPr="00401B16">
        <w:rPr>
          <w:rFonts w:eastAsia="Calibri"/>
          <w:i/>
          <w:snapToGrid/>
          <w:kern w:val="0"/>
          <w:szCs w:val="22"/>
        </w:rPr>
        <w:t>Designation Order</w:t>
      </w:r>
      <w:r w:rsidRPr="00401B16">
        <w:rPr>
          <w:rFonts w:eastAsia="Calibri"/>
          <w:snapToGrid/>
          <w:kern w:val="0"/>
          <w:szCs w:val="22"/>
        </w:rPr>
        <w:t>, specifically designating issues for investigation regarding the lawfulness of the tariff revisions Aureon filed with the Commission on February 22, 2018.</w:t>
      </w:r>
      <w:r>
        <w:rPr>
          <w:rFonts w:eastAsia="Calibri"/>
          <w:snapToGrid/>
          <w:kern w:val="0"/>
          <w:szCs w:val="22"/>
          <w:vertAlign w:val="superscript"/>
        </w:rPr>
        <w:footnoteReference w:id="8"/>
      </w:r>
      <w:r w:rsidRPr="00401B16">
        <w:rPr>
          <w:rFonts w:eastAsia="Calibri"/>
          <w:snapToGrid/>
          <w:kern w:val="0"/>
          <w:szCs w:val="22"/>
        </w:rPr>
        <w:t xml:space="preserve">  The </w:t>
      </w:r>
      <w:r w:rsidRPr="00401B16">
        <w:rPr>
          <w:rFonts w:eastAsia="Calibri"/>
          <w:i/>
          <w:snapToGrid/>
          <w:kern w:val="0"/>
          <w:szCs w:val="22"/>
        </w:rPr>
        <w:t>Designation Order</w:t>
      </w:r>
      <w:r w:rsidRPr="00401B16">
        <w:rPr>
          <w:rFonts w:eastAsia="Calibri"/>
          <w:snapToGrid/>
          <w:kern w:val="0"/>
          <w:szCs w:val="22"/>
        </w:rPr>
        <w:t xml:space="preserve"> adopted an expedited schedule under which Aureon must file its Direct Case on May 3, 2018, oppositions to the Direct Case are due on May 10, 2018, and rebuttal on May 17, 2018.</w:t>
      </w:r>
      <w:r>
        <w:rPr>
          <w:rFonts w:eastAsia="Calibri"/>
          <w:snapToGrid/>
          <w:kern w:val="0"/>
          <w:szCs w:val="22"/>
          <w:vertAlign w:val="superscript"/>
        </w:rPr>
        <w:footnoteReference w:id="9"/>
      </w:r>
    </w:p>
    <w:p w:rsidR="00055A4F" w:rsidRPr="00401B16" w:rsidP="00055A4F">
      <w:pPr>
        <w:widowControl/>
        <w:numPr>
          <w:ilvl w:val="0"/>
          <w:numId w:val="2"/>
        </w:numPr>
        <w:spacing w:after="120"/>
        <w:rPr>
          <w:rFonts w:eastAsia="Calibri"/>
          <w:snapToGrid/>
          <w:kern w:val="0"/>
          <w:szCs w:val="22"/>
        </w:rPr>
      </w:pPr>
      <w:r w:rsidRPr="00401B16">
        <w:rPr>
          <w:rFonts w:eastAsia="Calibri"/>
          <w:snapToGrid/>
          <w:kern w:val="0"/>
          <w:szCs w:val="22"/>
        </w:rPr>
        <w:t xml:space="preserve">The AT&amp;T Motion requests amendment of the </w:t>
      </w:r>
      <w:r w:rsidRPr="00401B16">
        <w:rPr>
          <w:rFonts w:eastAsia="Calibri"/>
          <w:i/>
          <w:snapToGrid/>
          <w:kern w:val="0"/>
          <w:szCs w:val="22"/>
        </w:rPr>
        <w:t>Protective Order</w:t>
      </w:r>
      <w:r w:rsidRPr="00401B16">
        <w:rPr>
          <w:rFonts w:eastAsia="Calibri"/>
          <w:snapToGrid/>
          <w:kern w:val="0"/>
          <w:szCs w:val="22"/>
        </w:rPr>
        <w:t xml:space="preserve"> in this proceeding to allow access to “Confidential” information by inside consultants providing “technical or expert advice and are not involved in ‘Competitive Decision-Making,’ as that term is defined in the </w:t>
      </w:r>
      <w:r w:rsidRPr="00401B16">
        <w:rPr>
          <w:rFonts w:eastAsia="Calibri"/>
          <w:i/>
          <w:snapToGrid/>
          <w:kern w:val="0"/>
          <w:szCs w:val="22"/>
        </w:rPr>
        <w:t>Protective Order</w:t>
      </w:r>
      <w:r w:rsidRPr="00401B16">
        <w:rPr>
          <w:rFonts w:eastAsia="Calibri"/>
          <w:snapToGrid/>
          <w:kern w:val="0"/>
          <w:szCs w:val="22"/>
        </w:rPr>
        <w:t>.”</w:t>
      </w:r>
      <w:r>
        <w:rPr>
          <w:rFonts w:eastAsia="Calibri"/>
          <w:snapToGrid/>
          <w:kern w:val="0"/>
          <w:szCs w:val="22"/>
          <w:vertAlign w:val="superscript"/>
        </w:rPr>
        <w:footnoteReference w:id="10"/>
      </w:r>
      <w:r w:rsidRPr="00401B16">
        <w:rPr>
          <w:rFonts w:eastAsia="Calibri"/>
          <w:snapToGrid/>
          <w:kern w:val="0"/>
          <w:szCs w:val="22"/>
        </w:rPr>
        <w:t xml:space="preserve">  AT&amp;T further requests:  (1) expedited consideration of its motion, with a three-business-day period for any opposition; (2) for a specified AT&amp;T cost analyst, waiver of the five-day waiting period after signing an acknowledgement to gain access to confidential information in this proceeding; and (3) amendment of the </w:t>
      </w:r>
      <w:r w:rsidRPr="00401B16">
        <w:rPr>
          <w:rFonts w:eastAsia="Calibri"/>
          <w:i/>
          <w:snapToGrid/>
          <w:kern w:val="0"/>
          <w:szCs w:val="22"/>
        </w:rPr>
        <w:t>Protective Order</w:t>
      </w:r>
      <w:r w:rsidRPr="00401B16">
        <w:rPr>
          <w:rFonts w:eastAsia="Calibri"/>
          <w:snapToGrid/>
          <w:kern w:val="0"/>
          <w:szCs w:val="22"/>
        </w:rPr>
        <w:t xml:space="preserve"> to require each party to provide, on the date of submission, all supporting data, including “Confidential” information to any party authorized to review such information.</w:t>
      </w:r>
      <w:r>
        <w:rPr>
          <w:rFonts w:eastAsia="Calibri"/>
          <w:snapToGrid/>
          <w:kern w:val="0"/>
          <w:szCs w:val="22"/>
          <w:vertAlign w:val="superscript"/>
        </w:rPr>
        <w:footnoteReference w:id="11"/>
      </w:r>
      <w:r w:rsidRPr="00401B16">
        <w:rPr>
          <w:rFonts w:eastAsia="Calibri"/>
          <w:snapToGrid/>
          <w:kern w:val="0"/>
          <w:szCs w:val="22"/>
        </w:rPr>
        <w:t xml:space="preserve"> </w:t>
      </w:r>
    </w:p>
    <w:p w:rsidR="00055A4F" w:rsidRPr="00401B16" w:rsidP="00055A4F">
      <w:pPr>
        <w:widowControl/>
        <w:numPr>
          <w:ilvl w:val="0"/>
          <w:numId w:val="2"/>
        </w:numPr>
        <w:spacing w:after="120"/>
        <w:rPr>
          <w:rFonts w:eastAsia="Calibri"/>
          <w:snapToGrid/>
          <w:kern w:val="0"/>
          <w:szCs w:val="22"/>
        </w:rPr>
      </w:pPr>
      <w:r w:rsidRPr="00401B16">
        <w:rPr>
          <w:rFonts w:eastAsia="Calibri"/>
          <w:snapToGrid/>
          <w:kern w:val="0"/>
          <w:szCs w:val="22"/>
        </w:rPr>
        <w:t xml:space="preserve">Given the compressed procedural schedule established by the </w:t>
      </w:r>
      <w:r w:rsidRPr="00401B16">
        <w:rPr>
          <w:rFonts w:eastAsia="Calibri"/>
          <w:i/>
          <w:snapToGrid/>
          <w:kern w:val="0"/>
          <w:szCs w:val="22"/>
        </w:rPr>
        <w:t>Designation Order</w:t>
      </w:r>
      <w:r w:rsidRPr="00401B16">
        <w:rPr>
          <w:rFonts w:eastAsia="Calibri"/>
          <w:snapToGrid/>
          <w:kern w:val="0"/>
          <w:szCs w:val="22"/>
        </w:rPr>
        <w:t>, we grant in part and deny in part AT&amp;T’s request for an expedited filing date for oppositions to its motion.  Specifically, we deny AT&amp;T’s request for a three-business-day period for oppositions, but grant its request for an expedited opposition schedule.</w:t>
      </w:r>
      <w:r>
        <w:rPr>
          <w:rFonts w:eastAsia="Calibri"/>
          <w:snapToGrid/>
          <w:kern w:val="0"/>
          <w:szCs w:val="22"/>
          <w:vertAlign w:val="superscript"/>
        </w:rPr>
        <w:footnoteReference w:id="12"/>
      </w:r>
      <w:r w:rsidRPr="00401B16">
        <w:rPr>
          <w:rFonts w:eastAsia="Calibri"/>
          <w:snapToGrid/>
          <w:kern w:val="0"/>
          <w:szCs w:val="22"/>
        </w:rPr>
        <w:t xml:space="preserve">  Pursuant to this Order, oppositions to the AT&amp;T Motion must be filed no later than Monday, April 30, 2018.</w:t>
      </w:r>
      <w:r>
        <w:rPr>
          <w:rFonts w:eastAsia="Calibri"/>
          <w:snapToGrid/>
          <w:kern w:val="0"/>
          <w:szCs w:val="22"/>
          <w:vertAlign w:val="superscript"/>
        </w:rPr>
        <w:footnoteReference w:id="13"/>
      </w:r>
      <w:r w:rsidRPr="00401B16">
        <w:rPr>
          <w:rFonts w:eastAsia="Calibri"/>
          <w:snapToGrid/>
          <w:kern w:val="0"/>
          <w:szCs w:val="22"/>
        </w:rPr>
        <w:t xml:space="preserve"> </w:t>
      </w:r>
    </w:p>
    <w:p w:rsidR="00055A4F" w:rsidRPr="00401B16" w:rsidP="00055A4F">
      <w:pPr>
        <w:widowControl/>
        <w:numPr>
          <w:ilvl w:val="0"/>
          <w:numId w:val="2"/>
        </w:numPr>
        <w:spacing w:after="120"/>
        <w:rPr>
          <w:rFonts w:eastAsia="Calibri"/>
          <w:snapToGrid/>
          <w:kern w:val="0"/>
          <w:szCs w:val="22"/>
        </w:rPr>
      </w:pPr>
      <w:r w:rsidRPr="00401B16">
        <w:rPr>
          <w:rFonts w:eastAsia="Calibri"/>
          <w:snapToGrid/>
          <w:kern w:val="0"/>
          <w:szCs w:val="22"/>
        </w:rPr>
        <w:t>ACCORDINGLY, IT IS ORDERED that, pursuant to sections 4(i), 4(j), of the Communications Act, 47 U.S.C. §§ 154(i), 154(j), and sections 0.91 and 0.291 of the Commission’s rules, 47 CFR §§ 0.91, 0.291, the Motion of AT&amp;T Services, Inc. to Amend Protective Order and For Expedited Ruling IS GRANTED IN PART AND DENIED IN PART.</w:t>
      </w:r>
    </w:p>
    <w:p w:rsidR="00055A4F" w:rsidRPr="00401B16" w:rsidP="00055A4F">
      <w:pPr>
        <w:widowControl/>
        <w:numPr>
          <w:ilvl w:val="0"/>
          <w:numId w:val="2"/>
        </w:numPr>
        <w:spacing w:after="120"/>
        <w:rPr>
          <w:rFonts w:eastAsia="Calibri"/>
          <w:snapToGrid/>
          <w:kern w:val="0"/>
          <w:szCs w:val="22"/>
        </w:rPr>
      </w:pPr>
      <w:r w:rsidRPr="00401B16">
        <w:rPr>
          <w:rFonts w:eastAsia="Calibri"/>
          <w:snapToGrid/>
          <w:kern w:val="0"/>
          <w:szCs w:val="22"/>
        </w:rPr>
        <w:t>IT IS FURTHER ORDERED that oppositions to the Motion of AT&amp;T Services, Inc. to Amend Protective Order and For Expedited Ruling are due April 30, 2018.</w:t>
      </w:r>
    </w:p>
    <w:p w:rsidR="00055A4F" w:rsidRPr="00401B16" w:rsidP="00055A4F">
      <w:pPr>
        <w:widowControl/>
        <w:autoSpaceDE w:val="0"/>
        <w:autoSpaceDN w:val="0"/>
        <w:adjustRightInd w:val="0"/>
        <w:rPr>
          <w:rFonts w:eastAsia="Calibri"/>
          <w:snapToGrid/>
          <w:kern w:val="0"/>
          <w:szCs w:val="22"/>
        </w:rPr>
      </w:pPr>
    </w:p>
    <w:p w:rsidR="00055A4F" w:rsidRPr="00401B16" w:rsidP="00055A4F">
      <w:pPr>
        <w:widowControl/>
        <w:autoSpaceDE w:val="0"/>
        <w:autoSpaceDN w:val="0"/>
        <w:adjustRightInd w:val="0"/>
        <w:rPr>
          <w:rFonts w:eastAsia="Calibri"/>
          <w:snapToGrid/>
          <w:kern w:val="0"/>
          <w:szCs w:val="22"/>
        </w:rPr>
      </w:pPr>
    </w:p>
    <w:p w:rsidR="00055A4F" w:rsidRPr="00401B16" w:rsidP="00055A4F">
      <w:pPr>
        <w:widowControl/>
        <w:autoSpaceDE w:val="0"/>
        <w:autoSpaceDN w:val="0"/>
        <w:adjustRightInd w:val="0"/>
        <w:ind w:left="4320"/>
        <w:rPr>
          <w:rFonts w:eastAsia="Calibri"/>
          <w:snapToGrid/>
          <w:kern w:val="0"/>
          <w:szCs w:val="22"/>
        </w:rPr>
      </w:pPr>
      <w:r w:rsidRPr="00401B16">
        <w:rPr>
          <w:rFonts w:eastAsia="Calibri"/>
          <w:snapToGrid/>
          <w:kern w:val="0"/>
          <w:szCs w:val="22"/>
        </w:rPr>
        <w:t>FEDERAL COMMUNICATIONS COMMISSION</w:t>
      </w:r>
    </w:p>
    <w:p w:rsidR="00055A4F" w:rsidRPr="00401B16" w:rsidP="00055A4F">
      <w:pPr>
        <w:widowControl/>
        <w:autoSpaceDE w:val="0"/>
        <w:autoSpaceDN w:val="0"/>
        <w:adjustRightInd w:val="0"/>
        <w:rPr>
          <w:rFonts w:eastAsia="Calibri"/>
          <w:snapToGrid/>
          <w:kern w:val="0"/>
          <w:szCs w:val="22"/>
        </w:rPr>
      </w:pPr>
    </w:p>
    <w:p w:rsidR="00055A4F" w:rsidRPr="00401B16" w:rsidP="00055A4F">
      <w:pPr>
        <w:widowControl/>
        <w:autoSpaceDE w:val="0"/>
        <w:autoSpaceDN w:val="0"/>
        <w:adjustRightInd w:val="0"/>
        <w:rPr>
          <w:rFonts w:eastAsia="Calibri"/>
          <w:snapToGrid/>
          <w:kern w:val="0"/>
          <w:szCs w:val="22"/>
        </w:rPr>
      </w:pPr>
    </w:p>
    <w:p w:rsidR="00055A4F" w:rsidRPr="00401B16" w:rsidP="00055A4F">
      <w:pPr>
        <w:widowControl/>
        <w:autoSpaceDE w:val="0"/>
        <w:autoSpaceDN w:val="0"/>
        <w:adjustRightInd w:val="0"/>
        <w:rPr>
          <w:rFonts w:eastAsia="Calibri"/>
          <w:snapToGrid/>
          <w:kern w:val="0"/>
          <w:szCs w:val="22"/>
        </w:rPr>
      </w:pPr>
    </w:p>
    <w:p w:rsidR="00055A4F" w:rsidRPr="00401B16" w:rsidP="00055A4F">
      <w:pPr>
        <w:widowControl/>
        <w:autoSpaceDE w:val="0"/>
        <w:autoSpaceDN w:val="0"/>
        <w:adjustRightInd w:val="0"/>
        <w:rPr>
          <w:rFonts w:eastAsia="Calibri"/>
          <w:snapToGrid/>
          <w:kern w:val="0"/>
          <w:szCs w:val="22"/>
        </w:rPr>
      </w:pPr>
    </w:p>
    <w:p w:rsidR="00055A4F" w:rsidRPr="00401B16" w:rsidP="00055A4F">
      <w:pPr>
        <w:widowControl/>
        <w:autoSpaceDE w:val="0"/>
        <w:autoSpaceDN w:val="0"/>
        <w:adjustRightInd w:val="0"/>
        <w:rPr>
          <w:rFonts w:eastAsia="Calibri"/>
          <w:snapToGrid/>
          <w:kern w:val="0"/>
          <w:szCs w:val="22"/>
        </w:rPr>
      </w:pPr>
    </w:p>
    <w:p w:rsidR="00055A4F" w:rsidRPr="00401B16" w:rsidP="00055A4F">
      <w:pPr>
        <w:widowControl/>
        <w:autoSpaceDE w:val="0"/>
        <w:autoSpaceDN w:val="0"/>
        <w:adjustRightInd w:val="0"/>
        <w:ind w:left="3600" w:firstLine="720"/>
        <w:rPr>
          <w:rFonts w:eastAsia="Calibri"/>
          <w:snapToGrid/>
          <w:kern w:val="0"/>
          <w:szCs w:val="22"/>
        </w:rPr>
      </w:pPr>
      <w:r w:rsidRPr="00401B16">
        <w:rPr>
          <w:rFonts w:eastAsia="Calibri"/>
          <w:snapToGrid/>
          <w:kern w:val="0"/>
          <w:szCs w:val="22"/>
        </w:rPr>
        <w:t>Pamela S. Arluk</w:t>
      </w:r>
    </w:p>
    <w:p w:rsidR="00055A4F" w:rsidRPr="00401B16" w:rsidP="00055A4F">
      <w:pPr>
        <w:widowControl/>
        <w:autoSpaceDE w:val="0"/>
        <w:autoSpaceDN w:val="0"/>
        <w:adjustRightInd w:val="0"/>
        <w:ind w:left="3600" w:firstLine="720"/>
        <w:rPr>
          <w:rFonts w:eastAsia="Calibri"/>
          <w:snapToGrid/>
          <w:kern w:val="0"/>
          <w:szCs w:val="22"/>
        </w:rPr>
      </w:pPr>
      <w:r w:rsidRPr="00401B16">
        <w:rPr>
          <w:rFonts w:eastAsia="Calibri"/>
          <w:snapToGrid/>
          <w:kern w:val="0"/>
          <w:szCs w:val="22"/>
        </w:rPr>
        <w:t>Chief, Pricing Policy Division</w:t>
      </w:r>
    </w:p>
    <w:p w:rsidR="00055A4F" w:rsidRPr="00401B16" w:rsidP="00055A4F">
      <w:pPr>
        <w:widowControl/>
        <w:autoSpaceDE w:val="0"/>
        <w:autoSpaceDN w:val="0"/>
        <w:adjustRightInd w:val="0"/>
        <w:ind w:left="3600" w:firstLine="720"/>
        <w:rPr>
          <w:rFonts w:eastAsia="Calibri"/>
          <w:snapToGrid/>
          <w:kern w:val="0"/>
          <w:szCs w:val="22"/>
        </w:rPr>
      </w:pPr>
      <w:r w:rsidRPr="00401B16">
        <w:rPr>
          <w:rFonts w:eastAsia="Calibri"/>
          <w:snapToGrid/>
          <w:kern w:val="0"/>
          <w:szCs w:val="22"/>
        </w:rPr>
        <w:t>Wireline Competition Bureau</w:t>
      </w:r>
    </w:p>
    <w:p w:rsidR="00055A4F" w:rsidRPr="002C00E8" w:rsidP="00055A4F">
      <w:pPr>
        <w:pStyle w:val="Heading1"/>
        <w:numPr>
          <w:ilvl w:val="0"/>
          <w:numId w:val="0"/>
        </w:numPr>
        <w:ind w:left="720" w:hanging="720"/>
      </w:pPr>
    </w:p>
    <w:p w:rsidR="002C00E8" w:rsidRPr="002C00E8" w:rsidP="00055A4F">
      <w:pPr>
        <w:pStyle w:val="Heading1"/>
        <w:numPr>
          <w:ilvl w:val="0"/>
          <w:numId w:val="0"/>
        </w:num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3D2D05">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5A4F">
      <w:r>
        <w:separator/>
      </w:r>
    </w:p>
  </w:footnote>
  <w:footnote w:type="continuationSeparator" w:id="1">
    <w:p w:rsidR="00055A4F" w:rsidP="00C721AC">
      <w:pPr>
        <w:spacing w:before="120"/>
        <w:rPr>
          <w:sz w:val="20"/>
        </w:rPr>
      </w:pPr>
      <w:r>
        <w:rPr>
          <w:sz w:val="20"/>
        </w:rPr>
        <w:t xml:space="preserve">(Continued from previous page)  </w:t>
      </w:r>
      <w:r>
        <w:rPr>
          <w:sz w:val="20"/>
        </w:rPr>
        <w:separator/>
      </w:r>
    </w:p>
  </w:footnote>
  <w:footnote w:type="continuationNotice" w:id="2">
    <w:p w:rsidR="00055A4F" w:rsidP="00C721AC">
      <w:pPr>
        <w:jc w:val="right"/>
        <w:rPr>
          <w:sz w:val="20"/>
        </w:rPr>
      </w:pPr>
      <w:r>
        <w:rPr>
          <w:sz w:val="20"/>
        </w:rPr>
        <w:t>(continued….)</w:t>
      </w:r>
    </w:p>
  </w:footnote>
  <w:footnote w:id="3">
    <w:p w:rsidR="00055A4F" w:rsidP="00055A4F">
      <w:pPr>
        <w:pStyle w:val="FootnoteText"/>
      </w:pPr>
      <w:r>
        <w:rPr>
          <w:rStyle w:val="FootnoteReference"/>
        </w:rPr>
        <w:footnoteRef/>
      </w:r>
      <w:r>
        <w:t xml:space="preserve"> </w:t>
      </w:r>
      <w:r w:rsidRPr="006229D8">
        <w:rPr>
          <w:i/>
        </w:rPr>
        <w:t>See</w:t>
      </w:r>
      <w:r>
        <w:t xml:space="preserve"> the Motion of AT&amp;T Services, Inc. to Amend Protective Order and For Expedited Ruling, WC Docket No. 18-60, Transmittal No. 36 (filed Apr. 23, 2018) (AT&amp;T Motion).</w:t>
      </w:r>
    </w:p>
  </w:footnote>
  <w:footnote w:id="4">
    <w:p w:rsidR="00055A4F" w:rsidP="00055A4F">
      <w:pPr>
        <w:pStyle w:val="FootnoteText"/>
      </w:pPr>
      <w:r>
        <w:rPr>
          <w:rStyle w:val="FootnoteReference"/>
        </w:rPr>
        <w:footnoteRef/>
      </w:r>
      <w:r>
        <w:t xml:space="preserve"> </w:t>
      </w:r>
      <w:r w:rsidRPr="003C35FE">
        <w:rPr>
          <w:i/>
        </w:rPr>
        <w:t>Id</w:t>
      </w:r>
      <w:r>
        <w:t>. at 1.</w:t>
      </w:r>
    </w:p>
  </w:footnote>
  <w:footnote w:id="5">
    <w:p w:rsidR="00055A4F" w:rsidP="00055A4F">
      <w:pPr>
        <w:pStyle w:val="FootnoteText"/>
      </w:pPr>
      <w:r>
        <w:rPr>
          <w:rStyle w:val="FootnoteReference"/>
        </w:rPr>
        <w:footnoteRef/>
      </w:r>
      <w:r>
        <w:t xml:space="preserve"> </w:t>
      </w:r>
      <w:r>
        <w:rPr>
          <w:i/>
        </w:rPr>
        <w:t xml:space="preserve">See </w:t>
      </w:r>
      <w:r w:rsidRPr="000E2B9F">
        <w:t>Iowa Network Access Division Tariff F.C.C. No. 1, Transmittal No. 36 (Feb. 22, 2018) (Transmittal No. 36) (available via the Commission’s Electronic Tariff Filing System</w:t>
      </w:r>
      <w:r>
        <w:t>)</w:t>
      </w:r>
      <w:r w:rsidRPr="000E2B9F">
        <w:t>.</w:t>
      </w:r>
    </w:p>
  </w:footnote>
  <w:footnote w:id="6">
    <w:p w:rsidR="00055A4F" w:rsidP="00055A4F">
      <w:pPr>
        <w:pStyle w:val="FootnoteText"/>
      </w:pPr>
      <w:r>
        <w:rPr>
          <w:rStyle w:val="FootnoteReference"/>
        </w:rPr>
        <w:footnoteRef/>
      </w:r>
      <w:r>
        <w:t xml:space="preserve"> </w:t>
      </w:r>
      <w:r w:rsidRPr="00230185">
        <w:rPr>
          <w:i/>
        </w:rPr>
        <w:t>AT&amp;T Corp. v. Iowa Network Services, Inc., d/b/a Aureon Network Services</w:t>
      </w:r>
      <w:r w:rsidRPr="00461502">
        <w:t xml:space="preserve">, Memorandum Opinion and Order, 32 FCC Rcd 9677 (2017), pet. for recon. </w:t>
      </w:r>
      <w:r>
        <w:t>p</w:t>
      </w:r>
      <w:r w:rsidRPr="00461502">
        <w:t>ending</w:t>
      </w:r>
      <w:r>
        <w:t>.</w:t>
      </w:r>
    </w:p>
  </w:footnote>
  <w:footnote w:id="7">
    <w:p w:rsidR="00055A4F" w:rsidRPr="008A4C8E" w:rsidP="00055A4F">
      <w:pPr>
        <w:pStyle w:val="FootnoteText"/>
      </w:pPr>
      <w:r>
        <w:rPr>
          <w:rStyle w:val="FootnoteReference"/>
        </w:rPr>
        <w:footnoteRef/>
      </w:r>
      <w:r>
        <w:t xml:space="preserve"> </w:t>
      </w:r>
      <w:r w:rsidRPr="004876C8">
        <w:rPr>
          <w:i/>
        </w:rPr>
        <w:t>See</w:t>
      </w:r>
      <w:r w:rsidRPr="008A4C8E">
        <w:t xml:space="preserve"> </w:t>
      </w:r>
      <w:r w:rsidRPr="00E65B40">
        <w:rPr>
          <w:i/>
        </w:rPr>
        <w:t>Iowa Network Access Division Tariff F.C.C. No. 1</w:t>
      </w:r>
      <w:r w:rsidRPr="00E65B40">
        <w:t>, WC Docket No. 18-60, Transmittal No. 36, Protective Order, DA 18-294 (WCB Mar. 26, 2018) (</w:t>
      </w:r>
      <w:r w:rsidRPr="00E65B40">
        <w:rPr>
          <w:i/>
        </w:rPr>
        <w:t>Protective Order</w:t>
      </w:r>
      <w:r w:rsidRPr="00E65B40">
        <w:t>)</w:t>
      </w:r>
      <w:r w:rsidRPr="008A4C8E">
        <w:t>.</w:t>
      </w:r>
    </w:p>
  </w:footnote>
  <w:footnote w:id="8">
    <w:p w:rsidR="00055A4F" w:rsidRPr="008A4C8E" w:rsidP="00055A4F">
      <w:pPr>
        <w:spacing w:after="120"/>
        <w:rPr>
          <w:sz w:val="20"/>
        </w:rPr>
      </w:pPr>
      <w:r w:rsidRPr="008A4C8E">
        <w:rPr>
          <w:rStyle w:val="FootnoteReference"/>
        </w:rPr>
        <w:footnoteRef/>
      </w:r>
      <w:r w:rsidRPr="008A4C8E">
        <w:rPr>
          <w:sz w:val="20"/>
        </w:rPr>
        <w:t xml:space="preserve"> </w:t>
      </w:r>
      <w:r w:rsidRPr="008A4C8E">
        <w:rPr>
          <w:i/>
          <w:iCs/>
          <w:sz w:val="20"/>
        </w:rPr>
        <w:t>Iowa Network Access Division Tariff F.C.C. No. 1</w:t>
      </w:r>
      <w:r w:rsidRPr="008A4C8E">
        <w:rPr>
          <w:sz w:val="20"/>
        </w:rPr>
        <w:t>, WC Docket No. 18-60, Transmittal No. 36, Order Designating Issues for Investigation, DA 18-395 (WCB Apr. 19, 2018) (</w:t>
      </w:r>
      <w:r w:rsidRPr="008A4C8E">
        <w:rPr>
          <w:i/>
          <w:iCs/>
          <w:sz w:val="20"/>
        </w:rPr>
        <w:t>Designation Order</w:t>
      </w:r>
      <w:r w:rsidRPr="008A4C8E">
        <w:rPr>
          <w:sz w:val="20"/>
        </w:rPr>
        <w:t>).</w:t>
      </w:r>
    </w:p>
  </w:footnote>
  <w:footnote w:id="9">
    <w:p w:rsidR="00055A4F" w:rsidP="00055A4F">
      <w:pPr>
        <w:pStyle w:val="FootnoteText"/>
      </w:pPr>
      <w:r>
        <w:rPr>
          <w:rStyle w:val="FootnoteReference"/>
        </w:rPr>
        <w:footnoteRef/>
      </w:r>
      <w:r>
        <w:t xml:space="preserve"> </w:t>
      </w:r>
      <w:r w:rsidRPr="004876C8">
        <w:rPr>
          <w:i/>
        </w:rPr>
        <w:t>Id.</w:t>
      </w:r>
    </w:p>
  </w:footnote>
  <w:footnote w:id="10">
    <w:p w:rsidR="00055A4F" w:rsidP="00055A4F">
      <w:pPr>
        <w:pStyle w:val="FootnoteText"/>
      </w:pPr>
      <w:r w:rsidRPr="008A4C8E">
        <w:rPr>
          <w:rStyle w:val="FootnoteReference"/>
        </w:rPr>
        <w:footnoteRef/>
      </w:r>
      <w:r w:rsidRPr="008A4C8E">
        <w:t xml:space="preserve"> AT&amp;T Motion at</w:t>
      </w:r>
      <w:r>
        <w:t xml:space="preserve"> 1.</w:t>
      </w:r>
    </w:p>
  </w:footnote>
  <w:footnote w:id="11">
    <w:p w:rsidR="00055A4F" w:rsidP="00055A4F">
      <w:pPr>
        <w:pStyle w:val="FootnoteText"/>
      </w:pPr>
      <w:r>
        <w:rPr>
          <w:rStyle w:val="FootnoteReference"/>
        </w:rPr>
        <w:footnoteRef/>
      </w:r>
      <w:r>
        <w:t xml:space="preserve"> </w:t>
      </w:r>
      <w:r w:rsidRPr="00BF5395">
        <w:rPr>
          <w:i/>
        </w:rPr>
        <w:t>Id</w:t>
      </w:r>
      <w:r>
        <w:t>.</w:t>
      </w:r>
    </w:p>
  </w:footnote>
  <w:footnote w:id="12">
    <w:p w:rsidR="00055A4F" w:rsidP="00055A4F">
      <w:pPr>
        <w:pStyle w:val="FootnoteText"/>
      </w:pPr>
      <w:r>
        <w:rPr>
          <w:rStyle w:val="FootnoteReference"/>
        </w:rPr>
        <w:footnoteRef/>
      </w:r>
      <w:r>
        <w:t xml:space="preserve"> </w:t>
      </w:r>
      <w:r w:rsidRPr="004876C8">
        <w:rPr>
          <w:i/>
        </w:rPr>
        <w:t>See</w:t>
      </w:r>
      <w:r>
        <w:t xml:space="preserve"> 47 CFR § 1.45 (containing a default procedural schedule for motions and oppositions thereto).</w:t>
      </w:r>
    </w:p>
  </w:footnote>
  <w:footnote w:id="13">
    <w:p w:rsidR="00055A4F" w:rsidP="00055A4F">
      <w:pPr>
        <w:pStyle w:val="FootnoteText"/>
      </w:pPr>
      <w:r>
        <w:rPr>
          <w:rStyle w:val="FootnoteReference"/>
        </w:rPr>
        <w:footnoteRef/>
      </w:r>
      <w:r>
        <w:t xml:space="preserve"> This Order does not address any of the other requests contained in the AT&amp;T Motion, which remain pending.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2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55A4F">
      <w:t>DA 18-421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55A4F">
      <w:rPr>
        <w:spacing w:val="-2"/>
      </w:rPr>
      <w:t>DA 18-421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4F"/>
    <w:rsid w:val="00036039"/>
    <w:rsid w:val="00037F90"/>
    <w:rsid w:val="00055A4F"/>
    <w:rsid w:val="00060522"/>
    <w:rsid w:val="000875BF"/>
    <w:rsid w:val="00096D8C"/>
    <w:rsid w:val="000C0B65"/>
    <w:rsid w:val="000E05FE"/>
    <w:rsid w:val="000E2B9F"/>
    <w:rsid w:val="000E3D42"/>
    <w:rsid w:val="0010453F"/>
    <w:rsid w:val="00122BD5"/>
    <w:rsid w:val="00133F79"/>
    <w:rsid w:val="00194A66"/>
    <w:rsid w:val="001D6BCF"/>
    <w:rsid w:val="001E01CA"/>
    <w:rsid w:val="00230185"/>
    <w:rsid w:val="00275CF5"/>
    <w:rsid w:val="0028301F"/>
    <w:rsid w:val="00285017"/>
    <w:rsid w:val="002A2D2E"/>
    <w:rsid w:val="002C00E8"/>
    <w:rsid w:val="00343749"/>
    <w:rsid w:val="003660ED"/>
    <w:rsid w:val="003B0550"/>
    <w:rsid w:val="003B694F"/>
    <w:rsid w:val="003C35FE"/>
    <w:rsid w:val="003D2D05"/>
    <w:rsid w:val="003F171C"/>
    <w:rsid w:val="00401B16"/>
    <w:rsid w:val="00412FC5"/>
    <w:rsid w:val="00422276"/>
    <w:rsid w:val="004242F1"/>
    <w:rsid w:val="00445A00"/>
    <w:rsid w:val="00451B0F"/>
    <w:rsid w:val="00461502"/>
    <w:rsid w:val="004876C8"/>
    <w:rsid w:val="004C2EE3"/>
    <w:rsid w:val="004E4A22"/>
    <w:rsid w:val="00511968"/>
    <w:rsid w:val="0055614C"/>
    <w:rsid w:val="005E14C2"/>
    <w:rsid w:val="00607BA5"/>
    <w:rsid w:val="0061180A"/>
    <w:rsid w:val="006229D8"/>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A4C8E"/>
    <w:rsid w:val="008C68F1"/>
    <w:rsid w:val="00921803"/>
    <w:rsid w:val="00926503"/>
    <w:rsid w:val="009726D8"/>
    <w:rsid w:val="009F76DB"/>
    <w:rsid w:val="00A32C3B"/>
    <w:rsid w:val="00A45F4F"/>
    <w:rsid w:val="00A543B5"/>
    <w:rsid w:val="00A600A9"/>
    <w:rsid w:val="00AA55B7"/>
    <w:rsid w:val="00AA5B9E"/>
    <w:rsid w:val="00AB2407"/>
    <w:rsid w:val="00AB53DF"/>
    <w:rsid w:val="00B07E5C"/>
    <w:rsid w:val="00B811F7"/>
    <w:rsid w:val="00BA5DC6"/>
    <w:rsid w:val="00BA6196"/>
    <w:rsid w:val="00BC6D8C"/>
    <w:rsid w:val="00BF5395"/>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65B40"/>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A4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39AC-ED65-40FD-A467-6C44BEF1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556</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Orders TOC by Paragraph.dot</vt:lpstr>
      <vt: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2018-04-25T21:12:45Z</dcterms:created>
  <dcterms:modified xsi:type="dcterms:W3CDTF">2018-04-25T21:12:45Z</dcterms:modified>
</cp:coreProperties>
</file>