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E3" w:rsidRDefault="00FD2878">
      <w:pPr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RDefault="00FD2878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RDefault="00FD2878" w:rsidP="00096D8C">
      <w:pPr>
        <w:pStyle w:val="StyleBoldCentered"/>
      </w:pPr>
      <w:r>
        <w:rPr>
          <w:caps w:val="0"/>
        </w:rPr>
        <w:t>Washington, D.C. 20554</w:t>
      </w:r>
    </w:p>
    <w:p w:rsidR="004C2EE3" w:rsidRDefault="004C2EE3" w:rsidP="0070224F"/>
    <w:p w:rsidR="004C2EE3" w:rsidRDefault="004C2EE3" w:rsidP="0070224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773BD3">
        <w:tc>
          <w:tcPr>
            <w:tcW w:w="4698" w:type="dxa"/>
          </w:tcPr>
          <w:p w:rsidR="004C2EE3" w:rsidRDefault="00FD2878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8A7B5D" w:rsidRDefault="00FD2878" w:rsidP="007115F7">
            <w:pPr>
              <w:tabs>
                <w:tab w:val="center" w:pos="4680"/>
              </w:tabs>
              <w:suppressAutoHyphens/>
            </w:pPr>
            <w:r>
              <w:t xml:space="preserve">Location-Based Routing </w:t>
            </w:r>
          </w:p>
          <w:p w:rsidR="004C2EE3" w:rsidRPr="007115F7" w:rsidRDefault="00FD2878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t>f</w:t>
            </w:r>
            <w:r w:rsidR="008A7B5D">
              <w:t>or Wireless 911 Calls</w:t>
            </w:r>
          </w:p>
        </w:tc>
        <w:tc>
          <w:tcPr>
            <w:tcW w:w="630" w:type="dxa"/>
          </w:tcPr>
          <w:p w:rsidR="004C2EE3" w:rsidRDefault="00FD2878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FD2878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FD2878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Pr="00FC7965" w:rsidRDefault="00FD2878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Default="004C2EE3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</w:rPr>
            </w:pPr>
          </w:p>
          <w:p w:rsidR="004C2EE3" w:rsidRDefault="00FD2878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t>PS Docket No. 18-64</w:t>
            </w:r>
          </w:p>
        </w:tc>
      </w:tr>
    </w:tbl>
    <w:p w:rsidR="004C2EE3" w:rsidRDefault="004C2EE3" w:rsidP="0070224F"/>
    <w:p w:rsidR="00841AB1" w:rsidRDefault="00FD2878" w:rsidP="00F021FA">
      <w:pPr>
        <w:pStyle w:val="StyleBoldCentered"/>
      </w:pPr>
      <w:r>
        <w:t>OrDER</w:t>
      </w:r>
    </w:p>
    <w:p w:rsidR="004C2EE3" w:rsidRDefault="004C2EE3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RDefault="00FD2878" w:rsidP="00133F79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3A2B0E">
        <w:rPr>
          <w:b/>
          <w:spacing w:val="-2"/>
        </w:rPr>
        <w:t>May 2,</w:t>
      </w:r>
      <w:r w:rsidR="00FC7965">
        <w:rPr>
          <w:b/>
          <w:spacing w:val="-2"/>
        </w:rPr>
        <w:t xml:space="preserve"> 2018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3A2B0E">
        <w:rPr>
          <w:b/>
          <w:spacing w:val="-2"/>
        </w:rPr>
        <w:t>May 2,</w:t>
      </w:r>
      <w:r w:rsidR="00FC7965">
        <w:rPr>
          <w:b/>
          <w:spacing w:val="-2"/>
        </w:rPr>
        <w:t xml:space="preserve"> 2018</w:t>
      </w:r>
    </w:p>
    <w:p w:rsidR="00822CE0" w:rsidRDefault="00822CE0"/>
    <w:p w:rsidR="00FA4EC4" w:rsidRPr="00FA4EC4" w:rsidRDefault="00FD2878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="008A7B5D">
        <w:rPr>
          <w:spacing w:val="-2"/>
        </w:rPr>
        <w:t xml:space="preserve">Chief, </w:t>
      </w:r>
      <w:r w:rsidR="008A7B5D" w:rsidRPr="00FA4EC4">
        <w:rPr>
          <w:spacing w:val="-2"/>
        </w:rPr>
        <w:t>Public Safety and Homeland Security Bureau:</w:t>
      </w:r>
    </w:p>
    <w:p w:rsidR="00412FC5" w:rsidRPr="00FA4EC4" w:rsidRDefault="00412FC5" w:rsidP="00412FC5"/>
    <w:p w:rsidR="00123F87" w:rsidRPr="00C76DAC" w:rsidRDefault="00FD2878" w:rsidP="00F93CFF">
      <w:pPr>
        <w:pStyle w:val="ParaNum"/>
        <w:rPr>
          <w:b/>
          <w:snapToGrid/>
          <w:kern w:val="0"/>
        </w:rPr>
      </w:pPr>
      <w:r w:rsidRPr="00C76DAC">
        <w:t xml:space="preserve">By this </w:t>
      </w:r>
      <w:r w:rsidRPr="00C76DAC">
        <w:rPr>
          <w:i/>
        </w:rPr>
        <w:t>Order</w:t>
      </w:r>
      <w:r w:rsidRPr="00C76DAC">
        <w:t xml:space="preserve">, the Public Safety and Homeland Security Bureau (Bureau) grants the </w:t>
      </w:r>
      <w:r w:rsidR="00FC7965" w:rsidRPr="00C76DAC">
        <w:t>J</w:t>
      </w:r>
      <w:r w:rsidR="009C45AD" w:rsidRPr="00C76DAC">
        <w:t xml:space="preserve">oint </w:t>
      </w:r>
      <w:r w:rsidR="00FC7965" w:rsidRPr="00C76DAC">
        <w:t>M</w:t>
      </w:r>
      <w:r w:rsidR="00D52843" w:rsidRPr="00C76DAC">
        <w:t>otion</w:t>
      </w:r>
      <w:r w:rsidR="00FC7965" w:rsidRPr="00C76DAC">
        <w:t xml:space="preserve"> for Extension of Time to File Reply Comments (Joint Motion) </w:t>
      </w:r>
      <w:r w:rsidR="00FA4EC4" w:rsidRPr="00C76DAC">
        <w:t>submitte</w:t>
      </w:r>
      <w:r w:rsidR="00FC7965" w:rsidRPr="00C76DAC">
        <w:t xml:space="preserve">d by </w:t>
      </w:r>
      <w:r w:rsidRPr="00C76DAC">
        <w:t>the National Emergency Number Association</w:t>
      </w:r>
      <w:r w:rsidR="00425EB0" w:rsidRPr="00C76DAC">
        <w:t xml:space="preserve"> (NENA)</w:t>
      </w:r>
      <w:r w:rsidRPr="00C76DAC">
        <w:t>, the Nationa</w:t>
      </w:r>
      <w:r w:rsidRPr="00C76DAC">
        <w:t xml:space="preserve">l Association of State 9-1-1 Administrators, the Texas 9-1-1 Entities, West Safety Services, Inc., Comtech Communications, Inc., and CTIA (collectively, </w:t>
      </w:r>
      <w:r w:rsidR="00C76DAC">
        <w:t xml:space="preserve">the </w:t>
      </w:r>
      <w:r w:rsidRPr="00C76DAC">
        <w:t>“Parties”)</w:t>
      </w:r>
      <w:r w:rsidR="00FC7965" w:rsidRPr="00C76DAC">
        <w:t>.</w:t>
      </w:r>
      <w:r>
        <w:rPr>
          <w:rStyle w:val="FootnoteReference"/>
          <w:sz w:val="22"/>
          <w:szCs w:val="22"/>
        </w:rPr>
        <w:footnoteReference w:id="2"/>
      </w:r>
      <w:r w:rsidR="00FC7965" w:rsidRPr="00C76DAC">
        <w:rPr>
          <w:b/>
        </w:rPr>
        <w:t xml:space="preserve"> </w:t>
      </w:r>
      <w:r w:rsidRPr="00C76DAC">
        <w:t xml:space="preserve"> </w:t>
      </w:r>
      <w:r w:rsidRPr="00C76DAC">
        <w:rPr>
          <w:snapToGrid/>
          <w:kern w:val="0"/>
        </w:rPr>
        <w:t xml:space="preserve">Based on the record before us, we find that good cause exists to grant a </w:t>
      </w:r>
      <w:r w:rsidR="009C45AD" w:rsidRPr="00C76DAC">
        <w:rPr>
          <w:snapToGrid/>
          <w:kern w:val="0"/>
        </w:rPr>
        <w:t>one-week</w:t>
      </w:r>
      <w:r w:rsidRPr="00C76DAC">
        <w:rPr>
          <w:snapToGrid/>
          <w:kern w:val="0"/>
        </w:rPr>
        <w:t xml:space="preserve"> ext</w:t>
      </w:r>
      <w:r w:rsidRPr="00C76DAC">
        <w:rPr>
          <w:snapToGrid/>
          <w:kern w:val="0"/>
        </w:rPr>
        <w:t xml:space="preserve">ension of time </w:t>
      </w:r>
      <w:r w:rsidR="00F93CFF" w:rsidRPr="00F93CFF">
        <w:rPr>
          <w:snapToGrid/>
          <w:kern w:val="0"/>
          <w:szCs w:val="22"/>
        </w:rPr>
        <w:t>until June 28, 2018</w:t>
      </w:r>
      <w:r w:rsidR="00AE4432">
        <w:rPr>
          <w:snapToGrid/>
          <w:kern w:val="0"/>
          <w:szCs w:val="22"/>
        </w:rPr>
        <w:t>,</w:t>
      </w:r>
      <w:r w:rsidR="00F93CFF">
        <w:rPr>
          <w:snapToGrid/>
          <w:kern w:val="0"/>
          <w:szCs w:val="22"/>
        </w:rPr>
        <w:t xml:space="preserve"> </w:t>
      </w:r>
      <w:r w:rsidRPr="00C76DAC">
        <w:rPr>
          <w:snapToGrid/>
          <w:kern w:val="0"/>
        </w:rPr>
        <w:t xml:space="preserve">for </w:t>
      </w:r>
      <w:r w:rsidR="00EF0DF0" w:rsidRPr="00C76DAC">
        <w:rPr>
          <w:snapToGrid/>
          <w:kern w:val="0"/>
        </w:rPr>
        <w:t xml:space="preserve">all </w:t>
      </w:r>
      <w:r w:rsidRPr="00C76DAC">
        <w:rPr>
          <w:snapToGrid/>
          <w:kern w:val="0"/>
        </w:rPr>
        <w:t>commenters to file reply comments in this proceeding.</w:t>
      </w:r>
      <w:r w:rsidR="00BE262B">
        <w:rPr>
          <w:snapToGrid/>
          <w:kern w:val="0"/>
        </w:rPr>
        <w:t xml:space="preserve">  The May 7, 2018</w:t>
      </w:r>
      <w:r w:rsidR="00AE4432">
        <w:rPr>
          <w:snapToGrid/>
          <w:kern w:val="0"/>
        </w:rPr>
        <w:t>,</w:t>
      </w:r>
      <w:r w:rsidR="00BE262B">
        <w:rPr>
          <w:snapToGrid/>
          <w:kern w:val="0"/>
        </w:rPr>
        <w:t xml:space="preserve"> initial comment deadline, for which no extension was sought, remains unchanged.</w:t>
      </w:r>
    </w:p>
    <w:p w:rsidR="00CB4A49" w:rsidRPr="00F93CFF" w:rsidRDefault="00FD2878" w:rsidP="00F93CFF">
      <w:pPr>
        <w:pStyle w:val="ParaNum"/>
        <w:rPr>
          <w:b/>
          <w:snapToGrid/>
          <w:kern w:val="0"/>
        </w:rPr>
      </w:pPr>
      <w:r w:rsidRPr="00C76DAC">
        <w:t xml:space="preserve">When the Commission released the </w:t>
      </w:r>
      <w:r w:rsidR="001554B9" w:rsidRPr="00F93CFF">
        <w:rPr>
          <w:i/>
        </w:rPr>
        <w:t xml:space="preserve">Notice of Inquiry </w:t>
      </w:r>
      <w:r w:rsidR="001554B9" w:rsidRPr="00C76DAC">
        <w:t>(</w:t>
      </w:r>
      <w:r w:rsidR="001554B9" w:rsidRPr="00F93CFF">
        <w:rPr>
          <w:i/>
        </w:rPr>
        <w:t>NOI</w:t>
      </w:r>
      <w:r w:rsidR="001554B9" w:rsidRPr="00C76DAC">
        <w:t>)</w:t>
      </w:r>
      <w:r w:rsidR="001554B9" w:rsidRPr="00F93CFF">
        <w:rPr>
          <w:i/>
        </w:rPr>
        <w:t xml:space="preserve"> </w:t>
      </w:r>
      <w:r w:rsidR="001554B9" w:rsidRPr="00C76DAC">
        <w:t>in the above-captioned proceeding</w:t>
      </w:r>
      <w:r w:rsidRPr="00C76DAC">
        <w:t>, it initially set a deadline of June 21, 2018</w:t>
      </w:r>
      <w:r w:rsidR="0003378D" w:rsidRPr="00C76DAC">
        <w:t>,</w:t>
      </w:r>
      <w:r w:rsidRPr="00C76DAC">
        <w:t xml:space="preserve"> for reply comments.</w:t>
      </w:r>
      <w:r>
        <w:rPr>
          <w:rStyle w:val="FootnoteReference"/>
          <w:sz w:val="22"/>
          <w:szCs w:val="22"/>
        </w:rPr>
        <w:footnoteReference w:id="3"/>
      </w:r>
      <w:r w:rsidRPr="00C76DAC">
        <w:t xml:space="preserve">  On April 19, 2018, the Parties filed a </w:t>
      </w:r>
      <w:r w:rsidR="0003378D" w:rsidRPr="00C76DAC">
        <w:t xml:space="preserve">Joint </w:t>
      </w:r>
      <w:r w:rsidRPr="00C76DAC">
        <w:t xml:space="preserve">Motion requesting a </w:t>
      </w:r>
      <w:r w:rsidR="00F93CFF">
        <w:t xml:space="preserve">“modest” </w:t>
      </w:r>
      <w:r w:rsidRPr="00C76DAC">
        <w:t xml:space="preserve">one-week extension of </w:t>
      </w:r>
      <w:r w:rsidR="00FA4EC4" w:rsidRPr="00C76DAC">
        <w:t>the reply comment</w:t>
      </w:r>
      <w:r w:rsidRPr="00C76DAC">
        <w:t xml:space="preserve"> deadline.</w:t>
      </w:r>
      <w:r>
        <w:rPr>
          <w:rStyle w:val="FootnoteReference"/>
          <w:sz w:val="22"/>
          <w:szCs w:val="22"/>
        </w:rPr>
        <w:footnoteReference w:id="4"/>
      </w:r>
      <w:r w:rsidR="00C76DAC" w:rsidRPr="00C76DAC">
        <w:t xml:space="preserve"> </w:t>
      </w:r>
      <w:r w:rsidRPr="00C76DAC">
        <w:t xml:space="preserve"> </w:t>
      </w:r>
      <w:r w:rsidR="00C76DAC" w:rsidRPr="00C76DAC">
        <w:t xml:space="preserve">The Parties state that many interested parties expected to contribute comments and reply comments in response to the </w:t>
      </w:r>
      <w:r w:rsidR="00C76DAC" w:rsidRPr="00F93CFF">
        <w:rPr>
          <w:i/>
        </w:rPr>
        <w:t>NOI</w:t>
      </w:r>
      <w:r w:rsidR="00C76DAC" w:rsidRPr="00C76DAC">
        <w:t xml:space="preserve"> will be attending the NENA 2018 National Conference and Expo scheduled to take place from June 16, 2018, to June 21, 2018.</w:t>
      </w:r>
      <w:r>
        <w:rPr>
          <w:rStyle w:val="FootnoteReference"/>
          <w:sz w:val="22"/>
          <w:szCs w:val="22"/>
        </w:rPr>
        <w:footnoteReference w:id="5"/>
      </w:r>
      <w:r w:rsidR="00C76DAC" w:rsidRPr="00C76DAC">
        <w:t xml:space="preserve">  </w:t>
      </w:r>
      <w:r w:rsidR="00F93CFF">
        <w:t>The Parties argue that granting the extension “</w:t>
      </w:r>
      <w:r w:rsidR="00F93CFF" w:rsidRPr="00F93CFF">
        <w:rPr>
          <w:szCs w:val="22"/>
        </w:rPr>
        <w:t>will allow these critical stakeholders time to review, analyze, and comment on all of the comments in the record” and alleviate the anticipated time conflict, while “provid[ing] the Commission with</w:t>
      </w:r>
      <w:r w:rsidR="00F93CFF">
        <w:rPr>
          <w:szCs w:val="22"/>
        </w:rPr>
        <w:t xml:space="preserve"> </w:t>
      </w:r>
      <w:r w:rsidR="00F93CFF" w:rsidRPr="00F93CFF">
        <w:rPr>
          <w:szCs w:val="22"/>
        </w:rPr>
        <w:t>better prepared and more relevant and useful information</w:t>
      </w:r>
      <w:r w:rsidR="00F93CFF">
        <w:rPr>
          <w:szCs w:val="22"/>
        </w:rPr>
        <w:t>.”</w:t>
      </w:r>
      <w:r>
        <w:rPr>
          <w:rStyle w:val="FootnoteReference"/>
          <w:szCs w:val="22"/>
        </w:rPr>
        <w:footnoteReference w:id="6"/>
      </w:r>
    </w:p>
    <w:p w:rsidR="00F061C3" w:rsidRPr="00C76DAC" w:rsidRDefault="00FD2878" w:rsidP="00D52843">
      <w:pPr>
        <w:pStyle w:val="ParaNum"/>
        <w:rPr>
          <w:snapToGrid/>
          <w:kern w:val="0"/>
          <w:szCs w:val="22"/>
        </w:rPr>
      </w:pPr>
      <w:r w:rsidRPr="00C76DAC">
        <w:rPr>
          <w:szCs w:val="22"/>
        </w:rPr>
        <w:t>While it is the policy of the Commission that “extensions shall not be routinely granted,”</w:t>
      </w:r>
      <w:r>
        <w:rPr>
          <w:rStyle w:val="FootnoteReference"/>
          <w:snapToGrid/>
          <w:kern w:val="0"/>
          <w:sz w:val="22"/>
          <w:szCs w:val="22"/>
        </w:rPr>
        <w:footnoteReference w:id="7"/>
      </w:r>
      <w:r w:rsidR="00306AD9" w:rsidRPr="00C76DAC">
        <w:rPr>
          <w:snapToGrid/>
          <w:kern w:val="0"/>
          <w:szCs w:val="22"/>
        </w:rPr>
        <w:t xml:space="preserve"> we find that good cause </w:t>
      </w:r>
      <w:r w:rsidR="00FA4EC4" w:rsidRPr="00C76DAC">
        <w:rPr>
          <w:snapToGrid/>
          <w:kern w:val="0"/>
          <w:szCs w:val="22"/>
        </w:rPr>
        <w:t xml:space="preserve">exists </w:t>
      </w:r>
      <w:r w:rsidR="00306AD9" w:rsidRPr="00C76DAC">
        <w:rPr>
          <w:snapToGrid/>
          <w:kern w:val="0"/>
          <w:szCs w:val="22"/>
        </w:rPr>
        <w:t xml:space="preserve">to extend the </w:t>
      </w:r>
      <w:r w:rsidR="00FA4EC4" w:rsidRPr="00C76DAC">
        <w:rPr>
          <w:snapToGrid/>
          <w:kern w:val="0"/>
          <w:szCs w:val="22"/>
        </w:rPr>
        <w:t xml:space="preserve">reply comment </w:t>
      </w:r>
      <w:r w:rsidR="00FA4EC4" w:rsidRPr="0018663E">
        <w:rPr>
          <w:snapToGrid/>
          <w:kern w:val="0"/>
          <w:szCs w:val="22"/>
        </w:rPr>
        <w:t>deadline</w:t>
      </w:r>
      <w:r w:rsidR="00306AD9" w:rsidRPr="0018663E">
        <w:rPr>
          <w:snapToGrid/>
          <w:kern w:val="0"/>
          <w:szCs w:val="22"/>
        </w:rPr>
        <w:t xml:space="preserve">. </w:t>
      </w:r>
      <w:r w:rsidR="00CB4A49" w:rsidRPr="0018663E">
        <w:rPr>
          <w:snapToGrid/>
          <w:kern w:val="0"/>
          <w:szCs w:val="22"/>
        </w:rPr>
        <w:t xml:space="preserve"> </w:t>
      </w:r>
      <w:r w:rsidR="00C76DAC" w:rsidRPr="0018663E">
        <w:rPr>
          <w:szCs w:val="22"/>
        </w:rPr>
        <w:t xml:space="preserve">The Commission has previously found that an </w:t>
      </w:r>
      <w:r w:rsidR="00C76DAC" w:rsidRPr="0018663E">
        <w:rPr>
          <w:bCs/>
          <w:szCs w:val="22"/>
        </w:rPr>
        <w:t>extension</w:t>
      </w:r>
      <w:r w:rsidR="00C76DAC" w:rsidRPr="0018663E">
        <w:rPr>
          <w:szCs w:val="22"/>
        </w:rPr>
        <w:t xml:space="preserve"> of time is warranted when such an </w:t>
      </w:r>
      <w:r w:rsidR="00C76DAC" w:rsidRPr="0018663E">
        <w:rPr>
          <w:bCs/>
          <w:szCs w:val="22"/>
        </w:rPr>
        <w:t>extension</w:t>
      </w:r>
      <w:r w:rsidR="00C76DAC" w:rsidRPr="0018663E">
        <w:rPr>
          <w:szCs w:val="22"/>
        </w:rPr>
        <w:t xml:space="preserve"> is necessary to ensure that the Commission receives full and informed responses and that affected parties have a meaningful opportunity to develop a complete record for the Commission's consideration.</w:t>
      </w:r>
      <w:r>
        <w:rPr>
          <w:rStyle w:val="FootnoteReference"/>
          <w:sz w:val="22"/>
          <w:szCs w:val="22"/>
        </w:rPr>
        <w:footnoteReference w:id="8"/>
      </w:r>
      <w:r w:rsidR="00C76DAC" w:rsidRPr="0018663E">
        <w:rPr>
          <w:szCs w:val="22"/>
        </w:rPr>
        <w:t xml:space="preserve">  </w:t>
      </w:r>
      <w:r w:rsidR="00CB4A49" w:rsidRPr="0018663E">
        <w:rPr>
          <w:szCs w:val="22"/>
        </w:rPr>
        <w:t>Granting a one-week extension o</w:t>
      </w:r>
      <w:r w:rsidRPr="0018663E">
        <w:rPr>
          <w:szCs w:val="22"/>
        </w:rPr>
        <w:t xml:space="preserve">f the reply comment deadline </w:t>
      </w:r>
      <w:r w:rsidR="00B8401C" w:rsidRPr="0018663E">
        <w:rPr>
          <w:szCs w:val="22"/>
        </w:rPr>
        <w:t>w</w:t>
      </w:r>
      <w:r w:rsidR="00BE262B">
        <w:rPr>
          <w:szCs w:val="22"/>
        </w:rPr>
        <w:t xml:space="preserve">ill </w:t>
      </w:r>
      <w:r w:rsidR="00D52843" w:rsidRPr="0018663E">
        <w:rPr>
          <w:szCs w:val="22"/>
        </w:rPr>
        <w:t>ensure that</w:t>
      </w:r>
      <w:r w:rsidRPr="0018663E">
        <w:rPr>
          <w:szCs w:val="22"/>
        </w:rPr>
        <w:t xml:space="preserve"> interested parties</w:t>
      </w:r>
      <w:r w:rsidR="00CB4A49" w:rsidRPr="0018663E">
        <w:rPr>
          <w:szCs w:val="22"/>
        </w:rPr>
        <w:t xml:space="preserve"> </w:t>
      </w:r>
      <w:r w:rsidR="00D52843" w:rsidRPr="0018663E">
        <w:rPr>
          <w:szCs w:val="22"/>
        </w:rPr>
        <w:t xml:space="preserve">have adequate </w:t>
      </w:r>
      <w:r w:rsidR="00CB4A49" w:rsidRPr="0018663E">
        <w:rPr>
          <w:szCs w:val="22"/>
        </w:rPr>
        <w:t xml:space="preserve">time to </w:t>
      </w:r>
      <w:r w:rsidR="005C1B15" w:rsidRPr="0018663E">
        <w:rPr>
          <w:szCs w:val="22"/>
        </w:rPr>
        <w:t xml:space="preserve">prepare full and informed </w:t>
      </w:r>
      <w:r w:rsidR="005C1B15" w:rsidRPr="0018663E">
        <w:rPr>
          <w:szCs w:val="22"/>
        </w:rPr>
        <w:lastRenderedPageBreak/>
        <w:t>reply comments</w:t>
      </w:r>
      <w:r w:rsidR="00F93CFF">
        <w:rPr>
          <w:szCs w:val="22"/>
        </w:rPr>
        <w:t xml:space="preserve"> without constraining the Commission’s ability to consider a full record</w:t>
      </w:r>
      <w:r w:rsidRPr="0018663E">
        <w:rPr>
          <w:szCs w:val="22"/>
        </w:rPr>
        <w:t>.</w:t>
      </w:r>
      <w:r w:rsidR="00CB4A49" w:rsidRPr="0018663E">
        <w:rPr>
          <w:szCs w:val="22"/>
        </w:rPr>
        <w:t xml:space="preserve"> </w:t>
      </w:r>
      <w:r w:rsidR="00D52843" w:rsidRPr="0018663E">
        <w:rPr>
          <w:szCs w:val="22"/>
        </w:rPr>
        <w:t xml:space="preserve"> We expect that this </w:t>
      </w:r>
      <w:r w:rsidR="00B8401C" w:rsidRPr="0018663E">
        <w:rPr>
          <w:szCs w:val="22"/>
        </w:rPr>
        <w:t xml:space="preserve">modest </w:t>
      </w:r>
      <w:r w:rsidR="00D52843" w:rsidRPr="0018663E">
        <w:rPr>
          <w:szCs w:val="22"/>
        </w:rPr>
        <w:t>extension will result</w:t>
      </w:r>
      <w:r w:rsidR="00D52843" w:rsidRPr="00C76DAC">
        <w:rPr>
          <w:szCs w:val="22"/>
        </w:rPr>
        <w:t xml:space="preserve"> in a more robust record from </w:t>
      </w:r>
      <w:r w:rsidR="00B8401C" w:rsidRPr="00C76DAC">
        <w:rPr>
          <w:szCs w:val="22"/>
        </w:rPr>
        <w:t xml:space="preserve">all </w:t>
      </w:r>
      <w:r w:rsidR="00D52843" w:rsidRPr="00C76DAC">
        <w:rPr>
          <w:szCs w:val="22"/>
        </w:rPr>
        <w:t>stakeholders.</w:t>
      </w:r>
    </w:p>
    <w:p w:rsidR="007816A4" w:rsidRDefault="00FD2878" w:rsidP="007816A4">
      <w:pPr>
        <w:pStyle w:val="ParaNum"/>
        <w:widowControl/>
        <w:tabs>
          <w:tab w:val="clear" w:pos="1080"/>
          <w:tab w:val="num" w:pos="1440"/>
        </w:tabs>
        <w:autoSpaceDE w:val="0"/>
        <w:autoSpaceDN w:val="0"/>
        <w:adjustRightInd w:val="0"/>
        <w:rPr>
          <w:rFonts w:ascii="TimesNewRomanPSMT" w:hAnsi="TimesNewRomanPSMT" w:cs="TimesNewRomanPSMT"/>
          <w:snapToGrid/>
          <w:kern w:val="0"/>
          <w:szCs w:val="22"/>
        </w:rPr>
      </w:pPr>
      <w:r w:rsidRPr="007816A4">
        <w:t>ACCORDINGLY, IT IS ORDERED, pursuant to sections 4(i), 4(j), and 5(c) of the</w:t>
      </w:r>
      <w:r>
        <w:t xml:space="preserve"> </w:t>
      </w:r>
      <w:r w:rsidRPr="007816A4">
        <w:t>Communications Act, as amended, 47 U.S.C. §§ 154(i), 154(j), an</w:t>
      </w:r>
      <w:r w:rsidR="005C1B15">
        <w:t>d 155(c), and sections 0.191, 0.392</w:t>
      </w:r>
      <w:r w:rsidRPr="007816A4">
        <w:t xml:space="preserve">, </w:t>
      </w:r>
      <w:r w:rsidR="00563BEC">
        <w:t xml:space="preserve">and </w:t>
      </w:r>
      <w:r w:rsidRPr="007816A4">
        <w:t>1.46</w:t>
      </w:r>
      <w:r>
        <w:t xml:space="preserve"> </w:t>
      </w:r>
      <w:r w:rsidRPr="007816A4">
        <w:t>o</w:t>
      </w:r>
      <w:r w:rsidRPr="007816A4">
        <w:t>f the Commission’s rules, 47 CFR §§ 0.</w:t>
      </w:r>
      <w:r w:rsidR="005C1B15">
        <w:t>191, 0.392</w:t>
      </w:r>
      <w:r w:rsidRPr="007816A4">
        <w:t xml:space="preserve">, </w:t>
      </w:r>
      <w:r w:rsidR="00563BEC">
        <w:t xml:space="preserve">and </w:t>
      </w:r>
      <w:r w:rsidRPr="007816A4">
        <w:t xml:space="preserve">1.46 that the </w:t>
      </w:r>
      <w:r w:rsidR="0063405D">
        <w:t xml:space="preserve">Parties’ </w:t>
      </w:r>
      <w:r w:rsidR="00911C74">
        <w:t>Joint</w:t>
      </w:r>
      <w:r w:rsidRPr="00F061C3">
        <w:rPr>
          <w:rFonts w:ascii="TimesNewRomanPSMT" w:hAnsi="TimesNewRomanPSMT" w:cs="TimesNewRomanPSMT"/>
          <w:snapToGrid/>
          <w:kern w:val="0"/>
          <w:szCs w:val="22"/>
        </w:rPr>
        <w:t xml:space="preserve"> Motion for Extension of Time </w:t>
      </w:r>
      <w:r w:rsidR="0063405D">
        <w:t xml:space="preserve">to File Reply Comments </w:t>
      </w:r>
      <w:r w:rsidRPr="00F061C3">
        <w:rPr>
          <w:rFonts w:ascii="TimesNewRomanPSMT" w:hAnsi="TimesNewRomanPSMT" w:cs="TimesNewRomanPSMT"/>
          <w:snapToGrid/>
          <w:kern w:val="0"/>
          <w:szCs w:val="22"/>
        </w:rPr>
        <w:t xml:space="preserve">filed on </w:t>
      </w:r>
      <w:r w:rsidR="00911C74" w:rsidRPr="00F061C3">
        <w:rPr>
          <w:rFonts w:ascii="TimesNewRomanPSMT" w:hAnsi="TimesNewRomanPSMT" w:cs="TimesNewRomanPSMT"/>
          <w:snapToGrid/>
          <w:kern w:val="0"/>
          <w:szCs w:val="22"/>
        </w:rPr>
        <w:t>April 19</w:t>
      </w:r>
      <w:r w:rsidRPr="00F061C3">
        <w:rPr>
          <w:rFonts w:ascii="TimesNewRomanPSMT" w:hAnsi="TimesNewRomanPSMT" w:cs="TimesNewRomanPSMT"/>
          <w:snapToGrid/>
          <w:kern w:val="0"/>
          <w:szCs w:val="22"/>
        </w:rPr>
        <w:t>, 2018</w:t>
      </w:r>
      <w:r w:rsidR="00F061C3">
        <w:rPr>
          <w:rFonts w:ascii="TimesNewRomanPSMT" w:hAnsi="TimesNewRomanPSMT" w:cs="TimesNewRomanPSMT"/>
          <w:snapToGrid/>
          <w:kern w:val="0"/>
          <w:szCs w:val="22"/>
        </w:rPr>
        <w:t>,</w:t>
      </w:r>
      <w:r w:rsidRPr="00F061C3">
        <w:rPr>
          <w:rFonts w:ascii="TimesNewRomanPSMT" w:hAnsi="TimesNewRomanPSMT" w:cs="TimesNewRomanPSMT"/>
          <w:snapToGrid/>
          <w:kern w:val="0"/>
          <w:szCs w:val="22"/>
        </w:rPr>
        <w:t xml:space="preserve"> IS GRANTED, and the deadline for filing </w:t>
      </w:r>
      <w:r w:rsidR="00911C74" w:rsidRPr="00F061C3">
        <w:rPr>
          <w:rFonts w:ascii="TimesNewRomanPSMT" w:hAnsi="TimesNewRomanPSMT" w:cs="TimesNewRomanPSMT"/>
          <w:snapToGrid/>
          <w:kern w:val="0"/>
          <w:szCs w:val="22"/>
        </w:rPr>
        <w:t xml:space="preserve">reply </w:t>
      </w:r>
      <w:r w:rsidRPr="00F061C3">
        <w:rPr>
          <w:rFonts w:ascii="TimesNewRomanPSMT" w:hAnsi="TimesNewRomanPSMT" w:cs="TimesNewRomanPSMT"/>
          <w:snapToGrid/>
          <w:kern w:val="0"/>
          <w:szCs w:val="22"/>
        </w:rPr>
        <w:t xml:space="preserve">comments in </w:t>
      </w:r>
      <w:r w:rsidR="00911C74">
        <w:t>PS Docket No. 18-64</w:t>
      </w:r>
      <w:r w:rsidRPr="00F061C3">
        <w:rPr>
          <w:rFonts w:ascii="TimesNewRomanPSMT" w:hAnsi="TimesNewRomanPSMT" w:cs="TimesNewRomanPSMT"/>
          <w:snapToGrid/>
          <w:kern w:val="0"/>
          <w:szCs w:val="22"/>
        </w:rPr>
        <w:t xml:space="preserve"> is extended until </w:t>
      </w:r>
      <w:r w:rsidR="00911C74" w:rsidRPr="00F061C3">
        <w:rPr>
          <w:rFonts w:ascii="TimesNewRomanPSMT" w:hAnsi="TimesNewRomanPSMT" w:cs="TimesNewRomanPSMT"/>
          <w:snapToGrid/>
          <w:kern w:val="0"/>
          <w:szCs w:val="22"/>
        </w:rPr>
        <w:t>June</w:t>
      </w:r>
      <w:r w:rsidRPr="00F061C3">
        <w:rPr>
          <w:rFonts w:ascii="TimesNewRomanPSMT" w:hAnsi="TimesNewRomanPSMT" w:cs="TimesNewRomanPSMT"/>
          <w:snapToGrid/>
          <w:kern w:val="0"/>
          <w:szCs w:val="22"/>
        </w:rPr>
        <w:t xml:space="preserve"> 2</w:t>
      </w:r>
      <w:r w:rsidR="00911C74" w:rsidRPr="00F061C3">
        <w:rPr>
          <w:rFonts w:ascii="TimesNewRomanPSMT" w:hAnsi="TimesNewRomanPSMT" w:cs="TimesNewRomanPSMT"/>
          <w:snapToGrid/>
          <w:kern w:val="0"/>
          <w:szCs w:val="22"/>
        </w:rPr>
        <w:t>8</w:t>
      </w:r>
      <w:r w:rsidRPr="00F061C3">
        <w:rPr>
          <w:rFonts w:ascii="TimesNewRomanPSMT" w:hAnsi="TimesNewRomanPSMT" w:cs="TimesNewRomanPSMT"/>
          <w:snapToGrid/>
          <w:kern w:val="0"/>
          <w:szCs w:val="22"/>
        </w:rPr>
        <w:t>, 2018</w:t>
      </w:r>
      <w:r w:rsidR="00AE4432">
        <w:rPr>
          <w:rFonts w:ascii="TimesNewRomanPSMT" w:hAnsi="TimesNewRomanPSMT" w:cs="TimesNewRomanPSMT"/>
          <w:snapToGrid/>
          <w:kern w:val="0"/>
          <w:szCs w:val="22"/>
        </w:rPr>
        <w:t>,</w:t>
      </w:r>
      <w:r w:rsidR="00F93CFF">
        <w:rPr>
          <w:rFonts w:ascii="TimesNewRomanPSMT" w:hAnsi="TimesNewRomanPSMT" w:cs="TimesNewRomanPSMT"/>
          <w:snapToGrid/>
          <w:kern w:val="0"/>
          <w:szCs w:val="22"/>
        </w:rPr>
        <w:t xml:space="preserve"> for all commenters</w:t>
      </w:r>
      <w:r w:rsidR="00911C74" w:rsidRPr="00F061C3">
        <w:rPr>
          <w:rFonts w:ascii="TimesNewRomanPSMT" w:hAnsi="TimesNewRomanPSMT" w:cs="TimesNewRomanPSMT"/>
          <w:snapToGrid/>
          <w:kern w:val="0"/>
          <w:szCs w:val="22"/>
        </w:rPr>
        <w:t>.</w:t>
      </w:r>
    </w:p>
    <w:p w:rsidR="005C1B15" w:rsidRPr="005C1B15" w:rsidRDefault="005C1B15" w:rsidP="005C1B15">
      <w:pPr>
        <w:pStyle w:val="ParaNum"/>
        <w:widowControl/>
        <w:numPr>
          <w:ilvl w:val="0"/>
          <w:numId w:val="0"/>
        </w:numPr>
        <w:autoSpaceDE w:val="0"/>
        <w:autoSpaceDN w:val="0"/>
        <w:adjustRightInd w:val="0"/>
        <w:ind w:left="720"/>
        <w:rPr>
          <w:rFonts w:ascii="TimesNewRomanPSMT" w:hAnsi="TimesNewRomanPSMT" w:cs="TimesNewRomanPSMT"/>
          <w:snapToGrid/>
          <w:kern w:val="0"/>
          <w:szCs w:val="22"/>
        </w:rPr>
      </w:pPr>
    </w:p>
    <w:p w:rsidR="007816A4" w:rsidRDefault="00FD2878" w:rsidP="007816A4">
      <w:pPr>
        <w:widowControl/>
        <w:autoSpaceDE w:val="0"/>
        <w:autoSpaceDN w:val="0"/>
        <w:adjustRightInd w:val="0"/>
        <w:ind w:firstLine="4770"/>
        <w:rPr>
          <w:rFonts w:ascii="TimesNewRomanPSMT" w:hAnsi="TimesNewRomanPSMT" w:cs="TimesNewRomanPSMT"/>
          <w:snapToGrid/>
          <w:kern w:val="0"/>
          <w:szCs w:val="22"/>
        </w:rPr>
      </w:pPr>
      <w:r>
        <w:rPr>
          <w:rFonts w:ascii="TimesNewRomanPSMT" w:hAnsi="TimesNewRomanPSMT" w:cs="TimesNewRomanPSMT"/>
          <w:snapToGrid/>
          <w:kern w:val="0"/>
          <w:szCs w:val="22"/>
        </w:rPr>
        <w:t>FEDERAL COMMUNICATIONS COMMISSION</w:t>
      </w:r>
    </w:p>
    <w:p w:rsidR="007816A4" w:rsidRDefault="007816A4" w:rsidP="007816A4">
      <w:pPr>
        <w:widowControl/>
        <w:autoSpaceDE w:val="0"/>
        <w:autoSpaceDN w:val="0"/>
        <w:adjustRightInd w:val="0"/>
        <w:ind w:firstLine="4770"/>
        <w:rPr>
          <w:rFonts w:ascii="TimesNewRomanPSMT" w:hAnsi="TimesNewRomanPSMT" w:cs="TimesNewRomanPSMT"/>
          <w:snapToGrid/>
          <w:kern w:val="0"/>
          <w:szCs w:val="22"/>
        </w:rPr>
      </w:pPr>
    </w:p>
    <w:p w:rsidR="005C1B15" w:rsidRDefault="005C1B15" w:rsidP="007816A4">
      <w:pPr>
        <w:widowControl/>
        <w:autoSpaceDE w:val="0"/>
        <w:autoSpaceDN w:val="0"/>
        <w:adjustRightInd w:val="0"/>
        <w:ind w:firstLine="4770"/>
        <w:rPr>
          <w:rFonts w:ascii="TimesNewRomanPSMT" w:hAnsi="TimesNewRomanPSMT" w:cs="TimesNewRomanPSMT"/>
          <w:snapToGrid/>
          <w:kern w:val="0"/>
          <w:szCs w:val="22"/>
        </w:rPr>
      </w:pPr>
    </w:p>
    <w:p w:rsidR="005C1B15" w:rsidRDefault="005C1B15" w:rsidP="007816A4">
      <w:pPr>
        <w:widowControl/>
        <w:autoSpaceDE w:val="0"/>
        <w:autoSpaceDN w:val="0"/>
        <w:adjustRightInd w:val="0"/>
        <w:ind w:firstLine="4770"/>
        <w:rPr>
          <w:rFonts w:ascii="TimesNewRomanPSMT" w:hAnsi="TimesNewRomanPSMT" w:cs="TimesNewRomanPSMT"/>
          <w:snapToGrid/>
          <w:kern w:val="0"/>
          <w:szCs w:val="22"/>
        </w:rPr>
      </w:pPr>
    </w:p>
    <w:p w:rsidR="007816A4" w:rsidRDefault="00FD2878" w:rsidP="007816A4">
      <w:pPr>
        <w:widowControl/>
        <w:autoSpaceDE w:val="0"/>
        <w:autoSpaceDN w:val="0"/>
        <w:adjustRightInd w:val="0"/>
        <w:ind w:firstLine="4770"/>
        <w:rPr>
          <w:rFonts w:ascii="TimesNewRomanPSMT" w:hAnsi="TimesNewRomanPSMT" w:cs="TimesNewRomanPSMT"/>
          <w:snapToGrid/>
          <w:kern w:val="0"/>
          <w:szCs w:val="22"/>
        </w:rPr>
      </w:pPr>
      <w:r>
        <w:rPr>
          <w:rFonts w:ascii="TimesNewRomanPSMT" w:hAnsi="TimesNewRomanPSMT" w:cs="TimesNewRomanPSMT"/>
          <w:snapToGrid/>
          <w:kern w:val="0"/>
          <w:szCs w:val="22"/>
        </w:rPr>
        <w:t>Lisa M. Fowlkes</w:t>
      </w:r>
    </w:p>
    <w:p w:rsidR="005C1B15" w:rsidRDefault="00FD2878" w:rsidP="005C1B15">
      <w:pPr>
        <w:widowControl/>
        <w:autoSpaceDE w:val="0"/>
        <w:autoSpaceDN w:val="0"/>
        <w:adjustRightInd w:val="0"/>
        <w:ind w:firstLine="4770"/>
        <w:rPr>
          <w:rFonts w:ascii="TimesNewRomanPSMT" w:hAnsi="TimesNewRomanPSMT" w:cs="TimesNewRomanPSMT"/>
          <w:snapToGrid/>
          <w:kern w:val="0"/>
          <w:szCs w:val="22"/>
        </w:rPr>
      </w:pPr>
      <w:r>
        <w:rPr>
          <w:rFonts w:ascii="TimesNewRomanPSMT" w:hAnsi="TimesNewRomanPSMT" w:cs="TimesNewRomanPSMT"/>
          <w:snapToGrid/>
          <w:kern w:val="0"/>
          <w:szCs w:val="22"/>
        </w:rPr>
        <w:t xml:space="preserve">Chief </w:t>
      </w:r>
    </w:p>
    <w:p w:rsidR="007816A4" w:rsidRDefault="00FD2878" w:rsidP="005C1B15">
      <w:pPr>
        <w:widowControl/>
        <w:autoSpaceDE w:val="0"/>
        <w:autoSpaceDN w:val="0"/>
        <w:adjustRightInd w:val="0"/>
        <w:ind w:firstLine="4770"/>
        <w:rPr>
          <w:rFonts w:ascii="TimesNewRomanPSMT" w:hAnsi="TimesNewRomanPSMT" w:cs="TimesNewRomanPSMT"/>
          <w:snapToGrid/>
          <w:kern w:val="0"/>
          <w:szCs w:val="22"/>
        </w:rPr>
      </w:pPr>
      <w:r>
        <w:rPr>
          <w:rFonts w:ascii="TimesNewRomanPSMT" w:hAnsi="TimesNewRomanPSMT" w:cs="TimesNewRomanPSMT"/>
          <w:snapToGrid/>
          <w:kern w:val="0"/>
          <w:szCs w:val="22"/>
        </w:rPr>
        <w:t>Public Safety and Homeland Security Bureau</w:t>
      </w:r>
    </w:p>
    <w:p w:rsidR="00425EB0" w:rsidRDefault="00425EB0" w:rsidP="007816A4">
      <w:pPr>
        <w:pStyle w:val="ParaNum"/>
        <w:numPr>
          <w:ilvl w:val="0"/>
          <w:numId w:val="0"/>
        </w:numPr>
        <w:ind w:firstLine="4770"/>
        <w:rPr>
          <w:rFonts w:ascii="TimesNewRomanPSMT" w:hAnsi="TimesNewRomanPSMT" w:cs="TimesNewRomanPSMT"/>
          <w:snapToGrid/>
          <w:kern w:val="0"/>
          <w:szCs w:val="22"/>
        </w:rPr>
      </w:pPr>
    </w:p>
    <w:p w:rsidR="00425EB0" w:rsidRDefault="00425EB0" w:rsidP="007816A4">
      <w:pPr>
        <w:pStyle w:val="ParaNum"/>
        <w:numPr>
          <w:ilvl w:val="0"/>
          <w:numId w:val="0"/>
        </w:numPr>
        <w:ind w:firstLine="4770"/>
        <w:rPr>
          <w:rFonts w:ascii="TimesNewRomanPSMT" w:hAnsi="TimesNewRomanPSMT" w:cs="TimesNewRomanPSMT"/>
          <w:snapToGrid/>
          <w:kern w:val="0"/>
          <w:szCs w:val="22"/>
        </w:rPr>
      </w:pPr>
    </w:p>
    <w:p w:rsidR="00425EB0" w:rsidRDefault="00425EB0" w:rsidP="007816A4">
      <w:pPr>
        <w:pStyle w:val="ParaNum"/>
        <w:numPr>
          <w:ilvl w:val="0"/>
          <w:numId w:val="0"/>
        </w:numPr>
        <w:ind w:firstLine="4770"/>
        <w:rPr>
          <w:rFonts w:ascii="TimesNewRomanPSMT" w:hAnsi="TimesNewRomanPSMT" w:cs="TimesNewRomanPSMT"/>
          <w:snapToGrid/>
          <w:kern w:val="0"/>
          <w:szCs w:val="22"/>
        </w:rPr>
      </w:pPr>
    </w:p>
    <w:p w:rsidR="00425EB0" w:rsidRDefault="00425EB0" w:rsidP="007816A4">
      <w:pPr>
        <w:pStyle w:val="ParaNum"/>
        <w:numPr>
          <w:ilvl w:val="0"/>
          <w:numId w:val="0"/>
        </w:numPr>
        <w:ind w:firstLine="4770"/>
        <w:rPr>
          <w:rFonts w:ascii="TimesNewRomanPSMT" w:hAnsi="TimesNewRomanPSMT" w:cs="TimesNewRomanPSMT"/>
          <w:snapToGrid/>
          <w:kern w:val="0"/>
          <w:szCs w:val="22"/>
        </w:rPr>
      </w:pPr>
    </w:p>
    <w:p w:rsidR="00425EB0" w:rsidRDefault="00425EB0" w:rsidP="007816A4">
      <w:pPr>
        <w:pStyle w:val="ParaNum"/>
        <w:numPr>
          <w:ilvl w:val="0"/>
          <w:numId w:val="0"/>
        </w:numPr>
        <w:ind w:firstLine="4770"/>
        <w:rPr>
          <w:rFonts w:ascii="TimesNewRomanPSMT" w:hAnsi="TimesNewRomanPSMT" w:cs="TimesNewRomanPSMT"/>
          <w:snapToGrid/>
          <w:kern w:val="0"/>
          <w:szCs w:val="22"/>
        </w:rPr>
      </w:pPr>
    </w:p>
    <w:p w:rsidR="00425EB0" w:rsidRDefault="00425EB0" w:rsidP="007816A4">
      <w:pPr>
        <w:pStyle w:val="ParaNum"/>
        <w:numPr>
          <w:ilvl w:val="0"/>
          <w:numId w:val="0"/>
        </w:numPr>
        <w:ind w:firstLine="4770"/>
        <w:rPr>
          <w:rFonts w:ascii="TimesNewRomanPSMT" w:hAnsi="TimesNewRomanPSMT" w:cs="TimesNewRomanPSMT"/>
          <w:snapToGrid/>
          <w:kern w:val="0"/>
          <w:szCs w:val="22"/>
        </w:rPr>
      </w:pPr>
    </w:p>
    <w:p w:rsidR="00425EB0" w:rsidRDefault="00425EB0" w:rsidP="007816A4">
      <w:pPr>
        <w:pStyle w:val="ParaNum"/>
        <w:numPr>
          <w:ilvl w:val="0"/>
          <w:numId w:val="0"/>
        </w:numPr>
        <w:ind w:firstLine="4770"/>
        <w:rPr>
          <w:rFonts w:ascii="TimesNewRomanPSMT" w:hAnsi="TimesNewRomanPSMT" w:cs="TimesNewRomanPSMT"/>
          <w:snapToGrid/>
          <w:kern w:val="0"/>
          <w:szCs w:val="22"/>
        </w:rPr>
      </w:pPr>
    </w:p>
    <w:sectPr w:rsidR="00425EB0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D2878">
      <w:r>
        <w:separator/>
      </w:r>
    </w:p>
  </w:endnote>
  <w:endnote w:type="continuationSeparator" w:id="0">
    <w:p w:rsidR="00000000" w:rsidRDefault="00FD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FB5" w:rsidRDefault="00FD2878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FB5" w:rsidRDefault="00FD2878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3A2B0E">
      <w:rPr>
        <w:noProof/>
      </w:rPr>
      <w:t>2</w:t>
    </w:r>
    <w:r>
      <w:fldChar w:fldCharType="end"/>
    </w:r>
  </w:p>
  <w:p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F93" w:rsidRDefault="00FD2878">
      <w:r>
        <w:separator/>
      </w:r>
    </w:p>
  </w:footnote>
  <w:footnote w:type="continuationSeparator" w:id="0">
    <w:p w:rsidR="001C3F93" w:rsidRDefault="00FD2878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1C3F93" w:rsidRDefault="00FD2878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:rsidR="001554B9" w:rsidRPr="00425EB0" w:rsidRDefault="00FD2878" w:rsidP="001554B9">
      <w:pPr>
        <w:pStyle w:val="FootnoteText"/>
      </w:pPr>
      <w:r w:rsidRPr="00425EB0">
        <w:rPr>
          <w:rStyle w:val="FootnoteReference"/>
        </w:rPr>
        <w:footnoteRef/>
      </w:r>
      <w:r w:rsidRPr="00425EB0">
        <w:t xml:space="preserve"> N</w:t>
      </w:r>
      <w:r>
        <w:t>ENA</w:t>
      </w:r>
      <w:r w:rsidRPr="00425EB0">
        <w:t xml:space="preserve">, </w:t>
      </w:r>
      <w:r w:rsidRPr="00425EB0">
        <w:rPr>
          <w:i/>
        </w:rPr>
        <w:t>et al</w:t>
      </w:r>
      <w:r w:rsidRPr="00425EB0">
        <w:t xml:space="preserve">., </w:t>
      </w:r>
      <w:r>
        <w:t xml:space="preserve">Joint </w:t>
      </w:r>
      <w:r w:rsidRPr="00425EB0">
        <w:t>Motion for Extension of Time to File Reply Comments, PS Docket No. 18-64 (filed Apr. 19, 2018) (</w:t>
      </w:r>
      <w:r w:rsidRPr="004B01C8">
        <w:t>Joint Motion</w:t>
      </w:r>
      <w:r w:rsidRPr="00425EB0">
        <w:t>).</w:t>
      </w:r>
      <w:r>
        <w:t xml:space="preserve">  The Texas 911 Entities c</w:t>
      </w:r>
      <w:r w:rsidRPr="00425EB0">
        <w:t>onsist of the Texas 9-1-1 Alliance, the Texas Commission on State E</w:t>
      </w:r>
      <w:r>
        <w:t>mergency Communications</w:t>
      </w:r>
      <w:r w:rsidRPr="00425EB0">
        <w:t>, and the Municipal Emergency Commun</w:t>
      </w:r>
      <w:r>
        <w:t>ication Districts Association.</w:t>
      </w:r>
    </w:p>
  </w:footnote>
  <w:footnote w:id="3">
    <w:p w:rsidR="009C45AD" w:rsidRPr="00425EB0" w:rsidRDefault="00FD2878" w:rsidP="00425EB0">
      <w:pPr>
        <w:pStyle w:val="FootnoteText"/>
      </w:pPr>
      <w:r w:rsidRPr="00425EB0">
        <w:rPr>
          <w:rStyle w:val="FootnoteReference"/>
        </w:rPr>
        <w:footnoteRef/>
      </w:r>
      <w:r w:rsidRPr="00425EB0">
        <w:t xml:space="preserve"> </w:t>
      </w:r>
      <w:r w:rsidR="00FA4EC4" w:rsidRPr="00FA4EC4">
        <w:rPr>
          <w:i/>
        </w:rPr>
        <w:t>Location</w:t>
      </w:r>
      <w:r w:rsidR="005C1B15">
        <w:rPr>
          <w:i/>
        </w:rPr>
        <w:t>-</w:t>
      </w:r>
      <w:r w:rsidR="00FA4EC4" w:rsidRPr="00FA4EC4">
        <w:rPr>
          <w:i/>
        </w:rPr>
        <w:t>Based Routing for 911 Calls</w:t>
      </w:r>
      <w:r w:rsidR="00FA4EC4">
        <w:t>, Notice of Inquiry, FCC 18-32 (rel. Mar. 23, 2018).</w:t>
      </w:r>
    </w:p>
  </w:footnote>
  <w:footnote w:id="4">
    <w:p w:rsidR="00C76DAC" w:rsidRDefault="00FD2878" w:rsidP="00C76D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B01C8">
        <w:t>Joint Motion</w:t>
      </w:r>
      <w:r>
        <w:t xml:space="preserve"> at 1. </w:t>
      </w:r>
    </w:p>
  </w:footnote>
  <w:footnote w:id="5">
    <w:p w:rsidR="00C76DAC" w:rsidRDefault="00FD2878" w:rsidP="00C76D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>
        <w:t xml:space="preserve"> at 2</w:t>
      </w:r>
      <w:r w:rsidR="00D3188F">
        <w:t xml:space="preserve"> note 5</w:t>
      </w:r>
      <w:r>
        <w:t xml:space="preserve">. </w:t>
      </w:r>
    </w:p>
  </w:footnote>
  <w:footnote w:id="6">
    <w:p w:rsidR="00F93CFF" w:rsidRPr="00F93CFF" w:rsidRDefault="00FD28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Id. </w:t>
      </w:r>
      <w:r>
        <w:t>at 2-3.</w:t>
      </w:r>
    </w:p>
  </w:footnote>
  <w:footnote w:id="7">
    <w:p w:rsidR="00425EB0" w:rsidRPr="00425EB0" w:rsidRDefault="00FD2878" w:rsidP="00425EB0">
      <w:pPr>
        <w:pStyle w:val="FootnoteText"/>
      </w:pPr>
      <w:r w:rsidRPr="00425EB0">
        <w:rPr>
          <w:rStyle w:val="FootnoteReference"/>
        </w:rPr>
        <w:footnoteRef/>
      </w:r>
      <w:r w:rsidRPr="00425EB0">
        <w:t xml:space="preserve"> 47 CFR §</w:t>
      </w:r>
      <w:r w:rsidR="001554B9">
        <w:t xml:space="preserve"> </w:t>
      </w:r>
      <w:r w:rsidRPr="00425EB0">
        <w:t>1.46.</w:t>
      </w:r>
    </w:p>
  </w:footnote>
  <w:footnote w:id="8">
    <w:p w:rsidR="00C76DAC" w:rsidRDefault="00FD28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76DAC">
        <w:rPr>
          <w:i/>
        </w:rPr>
        <w:t>See, e.g.</w:t>
      </w:r>
      <w:r>
        <w:t xml:space="preserve">, </w:t>
      </w:r>
      <w:r w:rsidRPr="00C76DAC">
        <w:rPr>
          <w:i/>
        </w:rPr>
        <w:t>Wireless E911 Location Accuracy Requirements</w:t>
      </w:r>
      <w:r>
        <w:t>, Order, 25 FCC Rcd 16789, 16880</w:t>
      </w:r>
      <w:r w:rsidR="003A2B0E">
        <w:t>,</w:t>
      </w:r>
      <w:r>
        <w:t xml:space="preserve"> para. 3 (PSHSB 2010).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2AC" w:rsidRDefault="003752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FB5" w:rsidRDefault="00FD2878" w:rsidP="00810B6F">
    <w:pPr>
      <w:pStyle w:val="Header"/>
      <w:rPr>
        <w:b w:val="0"/>
      </w:rPr>
    </w:pPr>
    <w:r>
      <w:tab/>
      <w:t>Federal Communications Commission</w:t>
    </w:r>
    <w:r>
      <w:tab/>
    </w:r>
    <w:r w:rsidR="004463F0" w:rsidRPr="00B8401C">
      <w:t>DA 18-</w:t>
    </w:r>
    <w:r w:rsidR="003A2B0E">
      <w:t>449</w:t>
    </w:r>
    <w:r w:rsidR="004463F0">
      <w:t xml:space="preserve">  </w:t>
    </w:r>
  </w:p>
  <w:p w:rsidR="00D25FB5" w:rsidRDefault="00FD2878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position:absolute;margin-left:0;margin-top:0;width:468pt;height:.95pt;z-index:-251658240;visibility:visible;mso-position-horizontal-relative:margin" o:allowincell="f" fillcolor="black" stroked="f" strokeweight=".05pt">
          <v:textbox>
            <w:txbxContent>
              <w:p w:rsidR="00FD2878" w:rsidRDefault="00FD2878"/>
            </w:txbxContent>
          </v:textbox>
          <w10:wrap anchorx="margin"/>
        </v:rect>
      </w:pict>
    </w:r>
  </w:p>
  <w:p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FB5" w:rsidRDefault="00FD2878" w:rsidP="00810B6F">
    <w:pPr>
      <w:pStyle w:val="Header"/>
      <w:rPr>
        <w:b w:val="0"/>
      </w:rPr>
    </w:pPr>
    <w:r>
      <w:rPr>
        <w:noProof/>
      </w:rPr>
      <w:pict>
        <v:rect id="Rectangle 3" o:spid="_x0000_s2050" style="position:absolute;margin-left:.6pt;margin-top:12.65pt;width:468pt;height:.95pt;z-index:-251657216;visibility:visible;mso-position-horizontal-relative:margin" o:allowincell="f" fillcolor="black" stroked="f" strokeweight=".05pt">
          <v:textbox>
            <w:txbxContent>
              <w:p w:rsidR="00FD2878" w:rsidRDefault="00FD2878"/>
            </w:txbxContent>
          </v:textbox>
          <w10:wrap anchorx="margin"/>
        </v:rect>
      </w:pict>
    </w:r>
    <w:r>
      <w:tab/>
      <w:t>Federal Communications Commission</w:t>
    </w:r>
    <w:r>
      <w:tab/>
    </w:r>
    <w:r w:rsidR="008A7B5D" w:rsidRPr="00FC7965">
      <w:t>DA 18-</w:t>
    </w:r>
    <w:r w:rsidR="003A2B0E">
      <w:t>449</w:t>
    </w:r>
    <w:r w:rsidR="008A7B5D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 w15:restartNumberingAfterBreak="0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 w15:restartNumberingAfterBreak="0">
    <w:nsid w:val="27E06CBB"/>
    <w:multiLevelType w:val="multilevel"/>
    <w:tmpl w:val="D82E079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3261751D"/>
    <w:multiLevelType w:val="hybridMultilevel"/>
    <w:tmpl w:val="6DBAD5B6"/>
    <w:lvl w:ilvl="0" w:tplc="6F4292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5A20AE8">
      <w:start w:val="1"/>
      <w:numFmt w:val="lowerLetter"/>
      <w:lvlText w:val="%2."/>
      <w:lvlJc w:val="left"/>
      <w:pPr>
        <w:ind w:left="360" w:hanging="360"/>
      </w:pPr>
    </w:lvl>
    <w:lvl w:ilvl="2" w:tplc="E59EA060">
      <w:start w:val="1"/>
      <w:numFmt w:val="decimal"/>
      <w:lvlText w:val="%3."/>
      <w:lvlJc w:val="left"/>
      <w:pPr>
        <w:ind w:left="1080" w:hanging="180"/>
      </w:pPr>
      <w:rPr>
        <w:b/>
      </w:rPr>
    </w:lvl>
    <w:lvl w:ilvl="3" w:tplc="17D0C6F6" w:tentative="1">
      <w:start w:val="1"/>
      <w:numFmt w:val="decimal"/>
      <w:lvlText w:val="%4."/>
      <w:lvlJc w:val="left"/>
      <w:pPr>
        <w:ind w:left="1800" w:hanging="360"/>
      </w:pPr>
    </w:lvl>
    <w:lvl w:ilvl="4" w:tplc="7662FCEC" w:tentative="1">
      <w:start w:val="1"/>
      <w:numFmt w:val="lowerLetter"/>
      <w:lvlText w:val="%5."/>
      <w:lvlJc w:val="left"/>
      <w:pPr>
        <w:ind w:left="2520" w:hanging="360"/>
      </w:pPr>
    </w:lvl>
    <w:lvl w:ilvl="5" w:tplc="972E4B3A" w:tentative="1">
      <w:start w:val="1"/>
      <w:numFmt w:val="lowerRoman"/>
      <w:lvlText w:val="%6."/>
      <w:lvlJc w:val="right"/>
      <w:pPr>
        <w:ind w:left="3240" w:hanging="180"/>
      </w:pPr>
    </w:lvl>
    <w:lvl w:ilvl="6" w:tplc="6A3CF158" w:tentative="1">
      <w:start w:val="1"/>
      <w:numFmt w:val="decimal"/>
      <w:lvlText w:val="%7."/>
      <w:lvlJc w:val="left"/>
      <w:pPr>
        <w:ind w:left="3960" w:hanging="360"/>
      </w:pPr>
    </w:lvl>
    <w:lvl w:ilvl="7" w:tplc="420AD52A" w:tentative="1">
      <w:start w:val="1"/>
      <w:numFmt w:val="lowerLetter"/>
      <w:lvlText w:val="%8."/>
      <w:lvlJc w:val="left"/>
      <w:pPr>
        <w:ind w:left="4680" w:hanging="360"/>
      </w:pPr>
    </w:lvl>
    <w:lvl w:ilvl="8" w:tplc="6B4E01F0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61182925"/>
    <w:multiLevelType w:val="singleLevel"/>
    <w:tmpl w:val="8124A848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</w:abstractNum>
  <w:abstractNum w:abstractNumId="7" w15:restartNumberingAfterBreak="0">
    <w:nsid w:val="766668A5"/>
    <w:multiLevelType w:val="hybridMultilevel"/>
    <w:tmpl w:val="9E6AC180"/>
    <w:lvl w:ilvl="0" w:tplc="192E81A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F85EDC6A" w:tentative="1">
      <w:start w:val="1"/>
      <w:numFmt w:val="lowerLetter"/>
      <w:lvlText w:val="%2."/>
      <w:lvlJc w:val="left"/>
      <w:pPr>
        <w:ind w:left="2160" w:hanging="360"/>
      </w:pPr>
    </w:lvl>
    <w:lvl w:ilvl="2" w:tplc="63960CA6" w:tentative="1">
      <w:start w:val="1"/>
      <w:numFmt w:val="lowerRoman"/>
      <w:lvlText w:val="%3."/>
      <w:lvlJc w:val="right"/>
      <w:pPr>
        <w:ind w:left="2880" w:hanging="180"/>
      </w:pPr>
    </w:lvl>
    <w:lvl w:ilvl="3" w:tplc="B8949E6E" w:tentative="1">
      <w:start w:val="1"/>
      <w:numFmt w:val="decimal"/>
      <w:lvlText w:val="%4."/>
      <w:lvlJc w:val="left"/>
      <w:pPr>
        <w:ind w:left="3600" w:hanging="360"/>
      </w:pPr>
    </w:lvl>
    <w:lvl w:ilvl="4" w:tplc="6ECC1E78" w:tentative="1">
      <w:start w:val="1"/>
      <w:numFmt w:val="lowerLetter"/>
      <w:lvlText w:val="%5."/>
      <w:lvlJc w:val="left"/>
      <w:pPr>
        <w:ind w:left="4320" w:hanging="360"/>
      </w:pPr>
    </w:lvl>
    <w:lvl w:ilvl="5" w:tplc="56CAEF94" w:tentative="1">
      <w:start w:val="1"/>
      <w:numFmt w:val="lowerRoman"/>
      <w:lvlText w:val="%6."/>
      <w:lvlJc w:val="right"/>
      <w:pPr>
        <w:ind w:left="5040" w:hanging="180"/>
      </w:pPr>
    </w:lvl>
    <w:lvl w:ilvl="6" w:tplc="A0F2CE8E" w:tentative="1">
      <w:start w:val="1"/>
      <w:numFmt w:val="decimal"/>
      <w:lvlText w:val="%7."/>
      <w:lvlJc w:val="left"/>
      <w:pPr>
        <w:ind w:left="5760" w:hanging="360"/>
      </w:pPr>
    </w:lvl>
    <w:lvl w:ilvl="7" w:tplc="D9483826" w:tentative="1">
      <w:start w:val="1"/>
      <w:numFmt w:val="lowerLetter"/>
      <w:lvlText w:val="%8."/>
      <w:lvlJc w:val="left"/>
      <w:pPr>
        <w:ind w:left="6480" w:hanging="360"/>
      </w:pPr>
    </w:lvl>
    <w:lvl w:ilvl="8" w:tplc="65C0EF0E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1,2"/>
    </o:shapelayout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5D"/>
    <w:rsid w:val="0003378D"/>
    <w:rsid w:val="00036039"/>
    <w:rsid w:val="00036408"/>
    <w:rsid w:val="00037F90"/>
    <w:rsid w:val="000875BF"/>
    <w:rsid w:val="000912C1"/>
    <w:rsid w:val="00096D8C"/>
    <w:rsid w:val="000C0B65"/>
    <w:rsid w:val="000E05FE"/>
    <w:rsid w:val="000E3D42"/>
    <w:rsid w:val="00122BD5"/>
    <w:rsid w:val="00123F87"/>
    <w:rsid w:val="00133F79"/>
    <w:rsid w:val="001554B9"/>
    <w:rsid w:val="0018663E"/>
    <w:rsid w:val="00194A66"/>
    <w:rsid w:val="001C3F93"/>
    <w:rsid w:val="001D6BCF"/>
    <w:rsid w:val="001E01CA"/>
    <w:rsid w:val="00275CF5"/>
    <w:rsid w:val="0028301F"/>
    <w:rsid w:val="00285017"/>
    <w:rsid w:val="002A2D2E"/>
    <w:rsid w:val="002C00E8"/>
    <w:rsid w:val="00306AD9"/>
    <w:rsid w:val="00343749"/>
    <w:rsid w:val="003660ED"/>
    <w:rsid w:val="003752AC"/>
    <w:rsid w:val="003A2B0E"/>
    <w:rsid w:val="003B0550"/>
    <w:rsid w:val="003B694F"/>
    <w:rsid w:val="003F171C"/>
    <w:rsid w:val="00412FC5"/>
    <w:rsid w:val="00422276"/>
    <w:rsid w:val="004242F1"/>
    <w:rsid w:val="00425EB0"/>
    <w:rsid w:val="00445A00"/>
    <w:rsid w:val="004463F0"/>
    <w:rsid w:val="00451B0F"/>
    <w:rsid w:val="004B01C8"/>
    <w:rsid w:val="004C2EE3"/>
    <w:rsid w:val="004E4A22"/>
    <w:rsid w:val="00511968"/>
    <w:rsid w:val="0055614C"/>
    <w:rsid w:val="00563BEC"/>
    <w:rsid w:val="005C1B15"/>
    <w:rsid w:val="005E14C2"/>
    <w:rsid w:val="00607BA5"/>
    <w:rsid w:val="0061180A"/>
    <w:rsid w:val="00626EB6"/>
    <w:rsid w:val="0063405D"/>
    <w:rsid w:val="00655D03"/>
    <w:rsid w:val="00683388"/>
    <w:rsid w:val="00683F84"/>
    <w:rsid w:val="006A6A81"/>
    <w:rsid w:val="006F7393"/>
    <w:rsid w:val="0070224F"/>
    <w:rsid w:val="007115F7"/>
    <w:rsid w:val="00773BD3"/>
    <w:rsid w:val="007816A4"/>
    <w:rsid w:val="00785689"/>
    <w:rsid w:val="0079754B"/>
    <w:rsid w:val="007A1E6D"/>
    <w:rsid w:val="007B0EB2"/>
    <w:rsid w:val="00810B6F"/>
    <w:rsid w:val="00822CE0"/>
    <w:rsid w:val="00841AB1"/>
    <w:rsid w:val="008A7B5D"/>
    <w:rsid w:val="008C34E8"/>
    <w:rsid w:val="008C68F1"/>
    <w:rsid w:val="00911C74"/>
    <w:rsid w:val="00921803"/>
    <w:rsid w:val="00926503"/>
    <w:rsid w:val="009310E4"/>
    <w:rsid w:val="009726D8"/>
    <w:rsid w:val="009C45AD"/>
    <w:rsid w:val="009F76DB"/>
    <w:rsid w:val="00A03A94"/>
    <w:rsid w:val="00A06812"/>
    <w:rsid w:val="00A32C3B"/>
    <w:rsid w:val="00A45F4F"/>
    <w:rsid w:val="00A600A9"/>
    <w:rsid w:val="00AA55B7"/>
    <w:rsid w:val="00AA5B9E"/>
    <w:rsid w:val="00AB2407"/>
    <w:rsid w:val="00AB53DF"/>
    <w:rsid w:val="00AE4432"/>
    <w:rsid w:val="00B07E5C"/>
    <w:rsid w:val="00B811F7"/>
    <w:rsid w:val="00B8401C"/>
    <w:rsid w:val="00BA5DC6"/>
    <w:rsid w:val="00BA6196"/>
    <w:rsid w:val="00BC6D8C"/>
    <w:rsid w:val="00BE262B"/>
    <w:rsid w:val="00C34006"/>
    <w:rsid w:val="00C426B1"/>
    <w:rsid w:val="00C66160"/>
    <w:rsid w:val="00C721AC"/>
    <w:rsid w:val="00C76DAC"/>
    <w:rsid w:val="00C90D6A"/>
    <w:rsid w:val="00CA247E"/>
    <w:rsid w:val="00CB4A49"/>
    <w:rsid w:val="00CC4FA1"/>
    <w:rsid w:val="00CC72B6"/>
    <w:rsid w:val="00D0218D"/>
    <w:rsid w:val="00D25FB5"/>
    <w:rsid w:val="00D3188F"/>
    <w:rsid w:val="00D44223"/>
    <w:rsid w:val="00D52843"/>
    <w:rsid w:val="00D774DA"/>
    <w:rsid w:val="00DA2529"/>
    <w:rsid w:val="00DB130A"/>
    <w:rsid w:val="00DB2EBB"/>
    <w:rsid w:val="00DC10A1"/>
    <w:rsid w:val="00DC655F"/>
    <w:rsid w:val="00DD0B59"/>
    <w:rsid w:val="00DD7EBD"/>
    <w:rsid w:val="00DE7286"/>
    <w:rsid w:val="00DF62B6"/>
    <w:rsid w:val="00E07225"/>
    <w:rsid w:val="00E5409F"/>
    <w:rsid w:val="00EE6488"/>
    <w:rsid w:val="00EF0DF0"/>
    <w:rsid w:val="00F021FA"/>
    <w:rsid w:val="00F061C3"/>
    <w:rsid w:val="00F62E97"/>
    <w:rsid w:val="00F64209"/>
    <w:rsid w:val="00F93BF5"/>
    <w:rsid w:val="00F93CFF"/>
    <w:rsid w:val="00FA4EC4"/>
    <w:rsid w:val="00FC7965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customStyle="1" w:styleId="Default">
    <w:name w:val="Default"/>
    <w:rsid w:val="00123F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F0D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0DF0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1F430-049C-4CF5-B2CB-C81805E2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Orders</Template>
  <TotalTime>0</TotalTime>
  <Pages>4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2018-05-01T20:35:00Z</dcterms:created>
  <dcterms:modified xsi:type="dcterms:W3CDTF">2018-05-01T20:36:00Z</dcterms:modified>
</cp:coreProperties>
</file>