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E4E16" w:rsidRPr="00511023" w:rsidP="000E4E16" w14:paraId="7F8A4183" w14:textId="14916618">
      <w:pPr>
        <w:spacing w:after="0"/>
        <w:rPr>
          <w:rFonts w:ascii="Times New Roman" w:hAnsi="Times New Roman" w:cs="Times New Roman"/>
        </w:rPr>
      </w:pPr>
      <w:bookmarkStart w:id="0" w:name="_GoBack"/>
      <w:bookmarkEnd w:id="0"/>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654BE68C">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Pr="001A5AF0" w:rsidR="001A5AF0">
        <w:rPr>
          <w:rFonts w:ascii="Times New Roman" w:hAnsi="Times New Roman" w:cs="Times New Roman"/>
          <w:b/>
          <w:sz w:val="24"/>
          <w:szCs w:val="24"/>
        </w:rPr>
        <w:t>18-458</w:t>
      </w:r>
    </w:p>
    <w:p w:rsidR="00C61072" w:rsidP="00C61072" w14:paraId="63094212" w14:textId="77777777">
      <w:pPr>
        <w:spacing w:after="0"/>
        <w:rPr>
          <w:rFonts w:ascii="Times New Roman" w:hAnsi="Times New Roman" w:cs="Times New Roman"/>
          <w:sz w:val="24"/>
          <w:szCs w:val="24"/>
        </w:rPr>
      </w:pPr>
    </w:p>
    <w:p w:rsidR="000E4E16" w:rsidRPr="00511023" w:rsidP="00C61072" w14:paraId="02B71EAA" w14:textId="02F09AAE">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C61072" w:rsidP="00C61072" w14:paraId="18CA4AAA" w14:textId="77777777">
      <w:pPr>
        <w:spacing w:after="0"/>
        <w:ind w:hanging="90"/>
        <w:jc w:val="center"/>
        <w:rPr>
          <w:rFonts w:ascii="Times New Roman" w:hAnsi="Times New Roman" w:cs="Times New Roman"/>
          <w:b/>
        </w:rPr>
      </w:pPr>
      <w:r>
        <w:rPr>
          <w:rFonts w:ascii="Times New Roman" w:hAnsi="Times New Roman" w:cs="Times New Roman"/>
          <w:b/>
        </w:rPr>
        <w:t>Accelerating Wireless Broadband Deployment by</w:t>
      </w:r>
    </w:p>
    <w:p w:rsidR="00C61072" w:rsidP="00C61072" w14:paraId="23D807AD" w14:textId="77777777">
      <w:pPr>
        <w:spacing w:after="0"/>
        <w:ind w:hanging="90"/>
        <w:jc w:val="center"/>
        <w:rPr>
          <w:rFonts w:ascii="Times New Roman" w:hAnsi="Times New Roman" w:cs="Times New Roman"/>
          <w:b/>
        </w:rPr>
      </w:pPr>
      <w:r w:rsidRPr="00C61072">
        <w:rPr>
          <w:rFonts w:ascii="Times New Roman" w:hAnsi="Times New Roman" w:cs="Times New Roman"/>
          <w:b/>
        </w:rPr>
        <w:t>Removing Barriers to Infrastructure Investment</w:t>
      </w:r>
    </w:p>
    <w:p w:rsidR="00C61072" w:rsidP="00C61072" w14:paraId="68427F7E" w14:textId="77777777">
      <w:pPr>
        <w:spacing w:after="0"/>
        <w:ind w:hanging="90"/>
        <w:jc w:val="center"/>
        <w:rPr>
          <w:rFonts w:ascii="Times New Roman" w:hAnsi="Times New Roman" w:cs="Times New Roman"/>
          <w:b/>
        </w:rPr>
      </w:pPr>
      <w:r w:rsidRPr="00511023">
        <w:rPr>
          <w:rFonts w:ascii="Times New Roman" w:hAnsi="Times New Roman" w:cs="Times New Roman"/>
          <w:b/>
        </w:rPr>
        <w:t xml:space="preserve">FCC </w:t>
      </w:r>
      <w:r>
        <w:rPr>
          <w:rFonts w:ascii="Times New Roman" w:hAnsi="Times New Roman" w:cs="Times New Roman"/>
          <w:b/>
        </w:rPr>
        <w:t>17-153</w:t>
      </w:r>
    </w:p>
    <w:p w:rsidR="00C61072" w:rsidP="00C61072" w14:paraId="236A0F4E" w14:textId="77777777">
      <w:pPr>
        <w:spacing w:after="0"/>
        <w:ind w:hanging="90"/>
        <w:jc w:val="center"/>
        <w:rPr>
          <w:rFonts w:ascii="Times New Roman" w:hAnsi="Times New Roman" w:cs="Times New Roman"/>
          <w:b/>
        </w:rPr>
      </w:pPr>
      <w:r>
        <w:rPr>
          <w:rFonts w:ascii="Times New Roman" w:hAnsi="Times New Roman" w:cs="Times New Roman"/>
          <w:b/>
        </w:rPr>
        <w:t>WT</w:t>
      </w:r>
      <w:r w:rsidR="00C37AC8">
        <w:rPr>
          <w:rFonts w:ascii="Times New Roman" w:hAnsi="Times New Roman" w:cs="Times New Roman"/>
          <w:b/>
        </w:rPr>
        <w:t xml:space="preserve"> Docket No. </w:t>
      </w:r>
      <w:r>
        <w:rPr>
          <w:rFonts w:ascii="Times New Roman" w:hAnsi="Times New Roman" w:cs="Times New Roman"/>
          <w:b/>
        </w:rPr>
        <w:t>17</w:t>
      </w:r>
      <w:r w:rsidR="00C37AC8">
        <w:rPr>
          <w:rFonts w:ascii="Times New Roman" w:hAnsi="Times New Roman" w:cs="Times New Roman"/>
          <w:b/>
        </w:rPr>
        <w:t>-</w:t>
      </w:r>
      <w:r>
        <w:rPr>
          <w:rFonts w:ascii="Times New Roman" w:hAnsi="Times New Roman" w:cs="Times New Roman"/>
          <w:b/>
        </w:rPr>
        <w:t>79</w:t>
      </w:r>
    </w:p>
    <w:p w:rsidR="006F2901" w:rsidRPr="00511023" w:rsidP="00C61072" w14:paraId="2FE15FB2" w14:textId="36D9F7EE">
      <w:pPr>
        <w:spacing w:after="0"/>
        <w:ind w:hanging="90"/>
        <w:jc w:val="center"/>
        <w:rPr>
          <w:rFonts w:ascii="Times New Roman" w:hAnsi="Times New Roman" w:cs="Times New Roman"/>
          <w:b/>
        </w:rPr>
      </w:pPr>
      <w:r w:rsidRPr="00511023">
        <w:rPr>
          <w:rFonts w:ascii="Times New Roman" w:hAnsi="Times New Roman" w:cs="Times New Roman"/>
          <w:b/>
        </w:rPr>
        <w:t xml:space="preserve">Released </w:t>
      </w:r>
      <w:r w:rsidR="00C61072">
        <w:rPr>
          <w:rFonts w:ascii="Times New Roman" w:hAnsi="Times New Roman" w:cs="Times New Roman"/>
          <w:b/>
        </w:rPr>
        <w:t>November 17, 2017</w:t>
      </w:r>
    </w:p>
    <w:p w:rsidR="000E4E16" w:rsidRPr="00511023" w:rsidP="000E4E16" w14:paraId="7420EAC8" w14:textId="77777777">
      <w:pPr>
        <w:spacing w:after="0"/>
        <w:rPr>
          <w:rFonts w:ascii="Times New Roman" w:hAnsi="Times New Roman" w:cs="Times New Roman"/>
        </w:rPr>
      </w:pPr>
    </w:p>
    <w:p w:rsidR="00FE346F" w:rsidRPr="00511023" w:rsidP="0059727F" w14:paraId="6742A8FC" w14:textId="77777777">
      <w:pPr>
        <w:tabs>
          <w:tab w:val="left" w:pos="0"/>
        </w:tabs>
        <w:spacing w:after="0"/>
        <w:rPr>
          <w:rFonts w:ascii="Times New Roman" w:hAnsi="Times New Roman" w:cs="Times New Roman"/>
          <w:b/>
        </w:rPr>
      </w:pPr>
    </w:p>
    <w:p w:rsidR="006F2901" w:rsidRPr="00511023" w:rsidP="00760EC7" w14:paraId="0359BFFD" w14:textId="164E7944">
      <w:pPr>
        <w:tabs>
          <w:tab w:val="left" w:pos="0"/>
        </w:tabs>
        <w:spacing w:after="0"/>
        <w:contextualSpacing/>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760EC7" w14:paraId="25270ABA" w14:textId="77777777">
      <w:pPr>
        <w:pStyle w:val="ListParagraph"/>
        <w:tabs>
          <w:tab w:val="left" w:pos="0"/>
        </w:tabs>
        <w:spacing w:after="0"/>
        <w:ind w:left="1080" w:hanging="1080"/>
        <w:jc w:val="both"/>
        <w:rPr>
          <w:rFonts w:ascii="Times New Roman" w:hAnsi="Times New Roman" w:cs="Times New Roman"/>
          <w:b/>
        </w:rPr>
      </w:pPr>
    </w:p>
    <w:p w:rsidR="006F2901" w:rsidRPr="0059727F" w:rsidP="00760EC7" w14:paraId="65D355CA" w14:textId="13621D8C">
      <w:pPr>
        <w:tabs>
          <w:tab w:val="left" w:pos="0"/>
        </w:tabs>
        <w:contextualSpacing/>
        <w:jc w:val="both"/>
        <w:rPr>
          <w:rFonts w:ascii="Times New Roman" w:hAnsi="Times New Roman" w:cs="Times New Roman"/>
          <w:b/>
        </w:rPr>
      </w:pPr>
      <w:r w:rsidRPr="0059727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59727F" w:rsidR="00B47D0B">
        <w:rPr>
          <w:rFonts w:ascii="Times New Roman" w:hAnsi="Times New Roman" w:cs="Times New Roman"/>
          <w:b/>
        </w:rPr>
        <w:t>. T</w:t>
      </w:r>
      <w:r w:rsidRPr="0059727F">
        <w:rPr>
          <w:rFonts w:ascii="Times New Roman" w:hAnsi="Times New Roman" w:cs="Times New Roman"/>
          <w:b/>
        </w:rPr>
        <w:t xml:space="preserve">he FCC will </w:t>
      </w:r>
      <w:r w:rsidRPr="0059727F" w:rsidR="00FE30EB">
        <w:rPr>
          <w:rFonts w:ascii="Times New Roman" w:hAnsi="Times New Roman" w:cs="Times New Roman"/>
          <w:b/>
        </w:rPr>
        <w:t xml:space="preserve">then </w:t>
      </w:r>
      <w:r w:rsidRPr="0059727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59727F" w:rsidR="00B47D0B">
        <w:rPr>
          <w:rFonts w:ascii="Times New Roman" w:hAnsi="Times New Roman" w:cs="Times New Roman"/>
          <w:b/>
        </w:rPr>
        <w:t>i</w:t>
      </w:r>
      <w:r w:rsidRPr="0059727F">
        <w:rPr>
          <w:rFonts w:ascii="Times New Roman" w:hAnsi="Times New Roman" w:cs="Times New Roman"/>
          <w:b/>
        </w:rPr>
        <w:t>t</w:t>
      </w:r>
      <w:r w:rsidRPr="0059727F" w:rsidR="00B47D0B">
        <w:rPr>
          <w:rFonts w:ascii="Times New Roman" w:hAnsi="Times New Roman" w:cs="Times New Roman"/>
          <w:b/>
        </w:rPr>
        <w:t xml:space="preserve"> may</w:t>
      </w:r>
      <w:r w:rsidRPr="0059727F">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511023" w:rsidP="0059727F" w14:paraId="44F9D184" w14:textId="77777777">
      <w:pPr>
        <w:pStyle w:val="ListParagraph"/>
        <w:tabs>
          <w:tab w:val="left" w:pos="0"/>
        </w:tabs>
        <w:ind w:left="1080"/>
        <w:rPr>
          <w:rFonts w:ascii="Times New Roman" w:hAnsi="Times New Roman" w:cs="Times New Roman"/>
          <w:b/>
        </w:rPr>
      </w:pPr>
    </w:p>
    <w:p w:rsidR="006F2901" w:rsidRPr="0059727F" w:rsidP="0059727F" w14:paraId="3EE78D98" w14:textId="05A6654E">
      <w:pPr>
        <w:tabs>
          <w:tab w:val="left" w:pos="0"/>
        </w:tabs>
        <w:jc w:val="center"/>
        <w:rPr>
          <w:rFonts w:ascii="Times New Roman" w:hAnsi="Times New Roman" w:cs="Times New Roman"/>
          <w:b/>
        </w:rPr>
      </w:pPr>
      <w:r w:rsidRPr="0059727F">
        <w:rPr>
          <w:rFonts w:ascii="Times New Roman" w:hAnsi="Times New Roman" w:cs="Times New Roman"/>
          <w:b/>
        </w:rPr>
        <w:t>1-888-CALL-FCC (1-888-225-5322)</w:t>
      </w:r>
    </w:p>
    <w:p w:rsidR="00B47D0B" w:rsidRPr="0059727F" w:rsidP="0059727F" w14:paraId="7189DA74" w14:textId="5B89279E">
      <w:pPr>
        <w:tabs>
          <w:tab w:val="left" w:pos="0"/>
        </w:tabs>
        <w:jc w:val="center"/>
        <w:rPr>
          <w:rFonts w:ascii="Times New Roman" w:hAnsi="Times New Roman" w:cs="Times New Roman"/>
          <w:b/>
        </w:rPr>
      </w:pPr>
      <w:r w:rsidRPr="0059727F">
        <w:rPr>
          <w:rFonts w:ascii="Times New Roman" w:hAnsi="Times New Roman" w:cs="Times New Roman"/>
          <w:b/>
        </w:rPr>
        <w:t>TTY: 1-888-TELL-FCC (1-888-835-5322)</w:t>
      </w:r>
    </w:p>
    <w:p w:rsidR="0059727F" w:rsidP="0059727F" w14:paraId="4ED48C1B" w14:textId="77777777">
      <w:pPr>
        <w:tabs>
          <w:tab w:val="left" w:pos="0"/>
        </w:tabs>
        <w:jc w:val="center"/>
        <w:rPr>
          <w:rFonts w:ascii="Times New Roman" w:hAnsi="Times New Roman" w:cs="Times New Roman"/>
          <w:b/>
        </w:rPr>
      </w:pPr>
      <w:r w:rsidRPr="0059727F">
        <w:rPr>
          <w:rFonts w:ascii="Times New Roman" w:hAnsi="Times New Roman" w:cs="Times New Roman"/>
          <w:b/>
        </w:rPr>
        <w:t>Videophone: 1-844-4-FCC-ASL (1-844-432-2275)</w:t>
      </w:r>
    </w:p>
    <w:p w:rsidR="0095132F" w:rsidRPr="0059727F" w:rsidP="0059727F" w14:paraId="4A1DEB02" w14:textId="4B0FD9A0">
      <w:pPr>
        <w:tabs>
          <w:tab w:val="left" w:pos="0"/>
        </w:tabs>
        <w:jc w:val="center"/>
        <w:rPr>
          <w:rFonts w:ascii="Times New Roman" w:hAnsi="Times New Roman" w:cs="Times New Roman"/>
          <w:b/>
        </w:rPr>
        <w:sectPr w:rsidSect="00760E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170" w:header="720" w:footer="187" w:gutter="0"/>
          <w:cols w:space="720"/>
          <w:docGrid w:linePitch="360"/>
        </w:sectPr>
      </w:pPr>
      <w:r w:rsidRPr="0059727F">
        <w:rPr>
          <w:rFonts w:ascii="Times New Roman" w:hAnsi="Times New Roman" w:cs="Times New Roman"/>
          <w:b/>
        </w:rPr>
        <w:t>Fax: 1-866-418-0232</w:t>
      </w:r>
    </w:p>
    <w:sdt>
      <w:sdtPr>
        <w:rPr>
          <w:rFonts w:ascii="Times New Roman" w:hAnsi="Times New Roman" w:eastAsiaTheme="minorEastAsia" w:cs="Times New Roman"/>
          <w:color w:val="auto"/>
          <w:sz w:val="22"/>
          <w:szCs w:val="22"/>
        </w:rPr>
        <w:id w:val="325412690"/>
        <w:docPartObj>
          <w:docPartGallery w:val="Table of Contents"/>
          <w:docPartUnique/>
        </w:docPartObj>
      </w:sdtPr>
      <w:sdtContent>
        <w:p w:rsidR="008D4AA5" w:rsidRPr="00074CA4" w:rsidP="008D4AA5" w14:paraId="38AC2564" w14:textId="72643786">
          <w:pPr>
            <w:pStyle w:val="TOCHeading"/>
            <w:jc w:val="center"/>
            <w:rPr>
              <w:rFonts w:ascii="Times New Roman" w:hAnsi="Times New Roman" w:cs="Times New Roman"/>
              <w:b/>
              <w:caps/>
              <w:color w:val="auto"/>
              <w:sz w:val="22"/>
              <w:szCs w:val="22"/>
              <w:u w:val="single"/>
            </w:rPr>
          </w:pPr>
          <w:r w:rsidRPr="00074CA4">
            <w:rPr>
              <w:rFonts w:ascii="Times New Roman" w:hAnsi="Times New Roman" w:cs="Times New Roman"/>
              <w:b/>
              <w:caps/>
              <w:color w:val="auto"/>
              <w:sz w:val="22"/>
              <w:szCs w:val="22"/>
              <w:u w:val="single"/>
            </w:rPr>
            <w:t>Table of Contents</w:t>
          </w:r>
        </w:p>
        <w:p w:rsidR="008D4AA5" w:rsidRPr="00074CA4" w:rsidP="008D4AA5" w14:paraId="4C218784" w14:textId="77777777">
          <w:pPr>
            <w:rPr>
              <w:rFonts w:ascii="Times New Roman" w:hAnsi="Times New Roman" w:cs="Times New Roman"/>
            </w:rPr>
          </w:pPr>
        </w:p>
        <w:p w:rsidR="008D4AA5" w:rsidRPr="00074CA4" w:rsidP="00074CA4" w14:paraId="32978316" w14:textId="77777777">
          <w:pPr>
            <w:spacing w:after="0"/>
            <w:rPr>
              <w:rFonts w:ascii="Times New Roman" w:hAnsi="Times New Roman" w:cs="Times New Roman"/>
            </w:rPr>
          </w:pPr>
        </w:p>
        <w:p w:rsidR="008D4AA5" w:rsidRPr="00074CA4" w14:paraId="3F2337CF" w14:textId="317EE092">
          <w:pPr>
            <w:pStyle w:val="TOC1"/>
            <w:rPr>
              <w:rFonts w:ascii="Times New Roman" w:hAnsi="Times New Roman"/>
            </w:rPr>
          </w:pPr>
          <w:r w:rsidRPr="00074CA4">
            <w:rPr>
              <w:rFonts w:ascii="Times New Roman" w:hAnsi="Times New Roman"/>
              <w:b/>
            </w:rPr>
            <w:t>I.</w:t>
          </w:r>
          <w:r w:rsidRPr="00074CA4">
            <w:rPr>
              <w:rFonts w:ascii="Times New Roman" w:hAnsi="Times New Roman"/>
              <w:b/>
            </w:rPr>
            <w:tab/>
            <w:t>OBJECTIVES OF THE PROCEEDING</w:t>
          </w:r>
          <w:r w:rsidRPr="00074CA4">
            <w:rPr>
              <w:rFonts w:ascii="Times New Roman" w:hAnsi="Times New Roman"/>
            </w:rPr>
            <w:t xml:space="preserve"> </w:t>
          </w:r>
          <w:r>
            <w:ptab w:relativeTo="margin" w:alignment="right" w:leader="dot"/>
          </w:r>
          <w:r w:rsidRPr="00074CA4">
            <w:rPr>
              <w:rFonts w:ascii="Times New Roman" w:hAnsi="Times New Roman"/>
              <w:b/>
              <w:bCs/>
            </w:rPr>
            <w:t>1</w:t>
          </w:r>
        </w:p>
        <w:p w:rsidR="008D4AA5" w:rsidRPr="00074CA4" w14:paraId="29CBFDE0" w14:textId="35DE7C2C">
          <w:pPr>
            <w:pStyle w:val="TOC1"/>
            <w:rPr>
              <w:rFonts w:ascii="Times New Roman" w:hAnsi="Times New Roman"/>
              <w:b/>
              <w:bCs/>
            </w:rPr>
          </w:pPr>
          <w:r w:rsidRPr="00074CA4">
            <w:rPr>
              <w:rFonts w:ascii="Times New Roman" w:hAnsi="Times New Roman"/>
              <w:b/>
            </w:rPr>
            <w:t>II.</w:t>
          </w:r>
          <w:r w:rsidRPr="00074CA4">
            <w:rPr>
              <w:rFonts w:ascii="Times New Roman" w:hAnsi="Times New Roman"/>
              <w:b/>
            </w:rPr>
            <w:tab/>
            <w:t>COMPLIANCE REQUIREMENTS</w:t>
          </w:r>
          <w:r w:rsidRPr="00074CA4">
            <w:rPr>
              <w:rFonts w:ascii="Times New Roman" w:hAnsi="Times New Roman"/>
            </w:rPr>
            <w:t xml:space="preserve"> </w:t>
          </w:r>
          <w:r>
            <w:ptab w:relativeTo="margin" w:alignment="right" w:leader="dot"/>
          </w:r>
          <w:r>
            <w:rPr>
              <w:rFonts w:ascii="Times New Roman" w:hAnsi="Times New Roman"/>
              <w:b/>
              <w:bCs/>
            </w:rPr>
            <w:t>1</w:t>
          </w:r>
        </w:p>
        <w:p w:rsidR="00074CA4" w:rsidRPr="00074CA4" w:rsidP="00074CA4" w14:paraId="1A0C43A2" w14:textId="1E7D5382">
          <w:pPr>
            <w:pStyle w:val="TOC1"/>
            <w:rPr>
              <w:rFonts w:ascii="Times New Roman" w:hAnsi="Times New Roman"/>
              <w:b/>
              <w:bCs/>
            </w:rPr>
          </w:pPr>
          <w:r w:rsidRPr="00074CA4">
            <w:rPr>
              <w:rFonts w:ascii="Times New Roman" w:hAnsi="Times New Roman"/>
              <w:b/>
            </w:rPr>
            <w:t>III.</w:t>
          </w:r>
          <w:r w:rsidRPr="00074CA4">
            <w:rPr>
              <w:rFonts w:ascii="Times New Roman" w:hAnsi="Times New Roman"/>
              <w:b/>
            </w:rPr>
            <w:tab/>
            <w:t>RECORDKEEPING AND REPORTING REQUIREMENTS</w:t>
          </w:r>
          <w:r w:rsidRPr="00074CA4">
            <w:rPr>
              <w:rFonts w:ascii="Times New Roman" w:hAnsi="Times New Roman"/>
            </w:rPr>
            <w:t xml:space="preserve"> </w:t>
          </w:r>
          <w:r>
            <w:ptab w:relativeTo="margin" w:alignment="right" w:leader="dot"/>
          </w:r>
          <w:r w:rsidR="00D077AB">
            <w:rPr>
              <w:rFonts w:ascii="Times New Roman" w:hAnsi="Times New Roman"/>
              <w:b/>
            </w:rPr>
            <w:t>2</w:t>
          </w:r>
        </w:p>
        <w:p w:rsidR="00074CA4" w:rsidRPr="00074CA4" w:rsidP="00074CA4" w14:paraId="2BD6979D" w14:textId="48F95374">
          <w:pPr>
            <w:pStyle w:val="TOC1"/>
            <w:rPr>
              <w:rFonts w:ascii="Times New Roman" w:hAnsi="Times New Roman"/>
              <w:b/>
              <w:bCs/>
            </w:rPr>
          </w:pPr>
          <w:r w:rsidRPr="00074CA4">
            <w:rPr>
              <w:rFonts w:ascii="Times New Roman" w:hAnsi="Times New Roman"/>
              <w:b/>
            </w:rPr>
            <w:t>IV.        IMPLEMENTATION DATE</w:t>
          </w:r>
          <w:r w:rsidRPr="00074CA4">
            <w:rPr>
              <w:rFonts w:ascii="Times New Roman" w:hAnsi="Times New Roman"/>
            </w:rPr>
            <w:t xml:space="preserve"> </w:t>
          </w:r>
          <w:r>
            <w:ptab w:relativeTo="margin" w:alignment="right" w:leader="dot"/>
          </w:r>
          <w:r w:rsidR="00D077AB">
            <w:rPr>
              <w:rFonts w:ascii="Times New Roman" w:hAnsi="Times New Roman"/>
              <w:b/>
              <w:bCs/>
            </w:rPr>
            <w:t>2</w:t>
          </w:r>
        </w:p>
        <w:p w:rsidR="008D4AA5" w:rsidRPr="00074CA4" w:rsidP="00074CA4" w14:paraId="099ED7FF" w14:textId="314C36D7">
          <w:pPr>
            <w:pStyle w:val="TOC1"/>
            <w:rPr>
              <w:rFonts w:ascii="Times New Roman" w:hAnsi="Times New Roman"/>
            </w:rPr>
          </w:pPr>
          <w:r w:rsidRPr="00074CA4">
            <w:rPr>
              <w:rFonts w:ascii="Times New Roman" w:hAnsi="Times New Roman"/>
              <w:b/>
            </w:rPr>
            <w:t>V.         INTERNET LINKS</w:t>
          </w:r>
          <w:r w:rsidRPr="00074CA4">
            <w:rPr>
              <w:rFonts w:ascii="Times New Roman" w:hAnsi="Times New Roman"/>
            </w:rPr>
            <w:t xml:space="preserve"> </w:t>
          </w:r>
          <w:r>
            <w:ptab w:relativeTo="margin" w:alignment="right" w:leader="dot"/>
          </w:r>
          <w:r w:rsidR="00470817">
            <w:rPr>
              <w:rFonts w:ascii="Times New Roman" w:hAnsi="Times New Roman"/>
              <w:b/>
              <w:bCs/>
            </w:rPr>
            <w:t>2</w:t>
          </w:r>
        </w:p>
      </w:sdtContent>
    </w:sdt>
    <w:p w:rsidR="008D4AA5" w:rsidP="00074CA4" w14:paraId="3E1F4757" w14:textId="77777777">
      <w:pPr>
        <w:pStyle w:val="ListParagraph"/>
        <w:spacing w:after="0"/>
        <w:ind w:left="0"/>
        <w:rPr>
          <w:rFonts w:ascii="Times New Roman" w:hAnsi="Times New Roman" w:cs="Times New Roman"/>
          <w:b/>
        </w:rPr>
      </w:pPr>
      <w:r w:rsidRPr="00511023">
        <w:rPr>
          <w:rFonts w:ascii="Times New Roman" w:hAnsi="Times New Roman" w:cs="Times New Roman"/>
          <w:b/>
        </w:rPr>
        <w:t xml:space="preserve">                               </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0F2F9E" w:rsidP="00E97A21" w14:paraId="0E64538F" w14:textId="6BC28C22">
      <w:pPr>
        <w:rPr>
          <w:rFonts w:ascii="Times New Roman" w:hAnsi="Times New Roman" w:cs="Times New Roman"/>
          <w:b/>
        </w:rPr>
      </w:pPr>
    </w:p>
    <w:p w:rsidR="000F2F9E" w:rsidRPr="000F2F9E" w:rsidP="000F2F9E" w14:paraId="05BFD9A0" w14:textId="77777777">
      <w:pPr>
        <w:rPr>
          <w:rFonts w:ascii="Times New Roman" w:hAnsi="Times New Roman" w:cs="Times New Roman"/>
        </w:rPr>
      </w:pPr>
    </w:p>
    <w:p w:rsidR="000F2F9E" w:rsidP="000F2F9E" w14:paraId="2186E33F" w14:textId="2C0C9389">
      <w:pPr>
        <w:jc w:val="right"/>
        <w:rPr>
          <w:rFonts w:ascii="Times New Roman" w:hAnsi="Times New Roman" w:cs="Times New Roman"/>
        </w:rPr>
      </w:pPr>
    </w:p>
    <w:p w:rsidR="000F2F9E" w:rsidP="000F2F9E" w14:paraId="7984C263" w14:textId="75224513">
      <w:pPr>
        <w:rPr>
          <w:rFonts w:ascii="Times New Roman" w:hAnsi="Times New Roman" w:cs="Times New Roman"/>
        </w:rPr>
      </w:pPr>
    </w:p>
    <w:p w:rsidR="001743EF" w:rsidRPr="000F2F9E" w:rsidP="000F2F9E" w14:paraId="3EC0E682" w14:textId="77777777">
      <w:pPr>
        <w:rPr>
          <w:rFonts w:ascii="Times New Roman" w:hAnsi="Times New Roman" w:cs="Times New Roman"/>
        </w:rPr>
        <w:sectPr w:rsidSect="001743EF">
          <w:headerReference w:type="default" r:id="rId12"/>
          <w:pgSz w:w="12240" w:h="15840"/>
          <w:pgMar w:top="1440" w:right="1440" w:bottom="1008" w:left="1440" w:header="720" w:footer="187" w:gutter="0"/>
          <w:pgNumType w:start="1"/>
          <w:cols w:space="720"/>
          <w:docGrid w:linePitch="360"/>
        </w:sectPr>
      </w:pPr>
    </w:p>
    <w:p w:rsidR="00E97A21" w:rsidRPr="00511023" w:rsidP="00286EA8" w14:paraId="003F6D71" w14:textId="7A74C8A4">
      <w:pPr>
        <w:tabs>
          <w:tab w:val="left" w:pos="720"/>
        </w:tabs>
        <w:rPr>
          <w:rFonts w:ascii="Times New Roman" w:hAnsi="Times New Roman" w:cs="Times New Roman"/>
          <w:b/>
        </w:rPr>
      </w:pPr>
      <w:r>
        <w:rPr>
          <w:rFonts w:ascii="Times New Roman" w:hAnsi="Times New Roman" w:cs="Times New Roman"/>
          <w:b/>
        </w:rPr>
        <w:t xml:space="preserve">I.           </w:t>
      </w:r>
      <w:r w:rsidR="00BD0E65">
        <w:rPr>
          <w:rFonts w:ascii="Times New Roman" w:hAnsi="Times New Roman" w:cs="Times New Roman"/>
          <w:b/>
        </w:rPr>
        <w:t xml:space="preserve"> </w:t>
      </w:r>
      <w:r w:rsidRPr="00511023" w:rsidR="001A1EAC">
        <w:rPr>
          <w:rFonts w:ascii="Times New Roman" w:hAnsi="Times New Roman" w:cs="Times New Roman"/>
          <w:b/>
        </w:rPr>
        <w:t>OBJECTIVES OF THE PROCEEDING</w:t>
      </w:r>
    </w:p>
    <w:p w:rsidR="002C3B35" w:rsidP="00BD0E65" w14:paraId="2E1C207C" w14:textId="28E79F7E">
      <w:pPr>
        <w:pStyle w:val="ParaNum"/>
        <w:widowControl/>
        <w:numPr>
          <w:ilvl w:val="0"/>
          <w:numId w:val="0"/>
        </w:numPr>
        <w:rPr>
          <w:color w:val="000000"/>
          <w:szCs w:val="22"/>
        </w:rPr>
      </w:pPr>
      <w:r>
        <w:rPr>
          <w:snapToGrid/>
          <w:color w:val="000000"/>
        </w:rPr>
        <w:t>In the</w:t>
      </w:r>
      <w:r w:rsidRPr="00A91654">
        <w:rPr>
          <w:snapToGrid/>
          <w:color w:val="000000"/>
        </w:rPr>
        <w:t xml:space="preserve"> </w:t>
      </w:r>
      <w:r w:rsidR="00DC0F35">
        <w:rPr>
          <w:i/>
          <w:snapToGrid/>
          <w:color w:val="000000"/>
        </w:rPr>
        <w:t>Replacement</w:t>
      </w:r>
      <w:r w:rsidR="006270DD">
        <w:rPr>
          <w:i/>
          <w:snapToGrid/>
          <w:color w:val="000000"/>
        </w:rPr>
        <w:t xml:space="preserve"> Pole</w:t>
      </w:r>
      <w:r w:rsidR="00DC0F35">
        <w:rPr>
          <w:i/>
          <w:snapToGrid/>
          <w:color w:val="000000"/>
        </w:rPr>
        <w:t xml:space="preserve"> </w:t>
      </w:r>
      <w:r w:rsidRPr="007F211A">
        <w:rPr>
          <w:i/>
          <w:snapToGrid/>
          <w:color w:val="000000"/>
        </w:rPr>
        <w:t xml:space="preserve">Report and </w:t>
      </w:r>
      <w:r w:rsidRPr="007F211A">
        <w:rPr>
          <w:i/>
          <w:color w:val="000000"/>
        </w:rPr>
        <w:t>Order</w:t>
      </w:r>
      <w:r>
        <w:rPr>
          <w:color w:val="000000"/>
        </w:rPr>
        <w:t xml:space="preserve"> in </w:t>
      </w:r>
      <w:r w:rsidR="00BD0E65">
        <w:rPr>
          <w:color w:val="000000"/>
        </w:rPr>
        <w:t xml:space="preserve">FCC 17-153, </w:t>
      </w:r>
      <w:r>
        <w:rPr>
          <w:color w:val="000000"/>
        </w:rPr>
        <w:t>WT Docket No. 17-79</w:t>
      </w:r>
      <w:r>
        <w:rPr>
          <w:snapToGrid/>
          <w:color w:val="000000"/>
        </w:rPr>
        <w:t>, the C</w:t>
      </w:r>
      <w:r w:rsidR="006F50E1">
        <w:rPr>
          <w:snapToGrid/>
          <w:color w:val="000000"/>
        </w:rPr>
        <w:t>ommission</w:t>
      </w:r>
      <w:r w:rsidRPr="00A91654">
        <w:rPr>
          <w:snapToGrid/>
          <w:color w:val="000000"/>
        </w:rPr>
        <w:t xml:space="preserve"> adopt</w:t>
      </w:r>
      <w:r>
        <w:rPr>
          <w:snapToGrid/>
          <w:color w:val="000000"/>
        </w:rPr>
        <w:t>ed</w:t>
      </w:r>
      <w:r w:rsidRPr="00A91654">
        <w:rPr>
          <w:snapToGrid/>
          <w:color w:val="000000"/>
        </w:rPr>
        <w:t xml:space="preserve"> rules that streamline</w:t>
      </w:r>
      <w:r>
        <w:rPr>
          <w:snapToGrid/>
          <w:color w:val="000000"/>
        </w:rPr>
        <w:t>d</w:t>
      </w:r>
      <w:r w:rsidRPr="00A91654">
        <w:rPr>
          <w:snapToGrid/>
          <w:color w:val="000000"/>
        </w:rPr>
        <w:t xml:space="preserve"> the process of deploying next-generation wireless broadband infrastructure by eliminating the need for historic preservation review pursuant to the </w:t>
      </w:r>
      <w:r w:rsidRPr="00A91654">
        <w:rPr>
          <w:color w:val="000000"/>
          <w:szCs w:val="22"/>
        </w:rPr>
        <w:t>National Historic Preservation Act (NHPA)</w:t>
      </w:r>
      <w:r>
        <w:rPr>
          <w:rStyle w:val="FootnoteReference"/>
          <w:color w:val="000000"/>
          <w:szCs w:val="22"/>
        </w:rPr>
        <w:footnoteReference w:id="2"/>
      </w:r>
      <w:r w:rsidRPr="00A91654">
        <w:rPr>
          <w:color w:val="000000"/>
          <w:szCs w:val="22"/>
        </w:rPr>
        <w:t xml:space="preserve"> </w:t>
      </w:r>
      <w:r w:rsidRPr="00A91654">
        <w:rPr>
          <w:snapToGrid/>
          <w:color w:val="000000"/>
        </w:rPr>
        <w:t xml:space="preserve">in certain instances where there is no potential effect on historic properties.  Specifically, </w:t>
      </w:r>
      <w:r w:rsidR="008C1077">
        <w:rPr>
          <w:snapToGrid/>
          <w:color w:val="000000"/>
        </w:rPr>
        <w:t>the C</w:t>
      </w:r>
      <w:r w:rsidR="006F50E1">
        <w:rPr>
          <w:snapToGrid/>
          <w:color w:val="000000"/>
        </w:rPr>
        <w:t>ommission</w:t>
      </w:r>
      <w:r w:rsidR="008C1077">
        <w:rPr>
          <w:snapToGrid/>
          <w:color w:val="000000"/>
        </w:rPr>
        <w:t xml:space="preserve"> found</w:t>
      </w:r>
      <w:r w:rsidRPr="00A91654">
        <w:rPr>
          <w:snapToGrid/>
          <w:color w:val="000000"/>
        </w:rPr>
        <w:t xml:space="preserve"> that the construction of </w:t>
      </w:r>
      <w:r w:rsidR="00DC0F35">
        <w:rPr>
          <w:snapToGrid/>
          <w:color w:val="000000"/>
        </w:rPr>
        <w:t xml:space="preserve">replacement utility </w:t>
      </w:r>
      <w:r w:rsidRPr="00A91654">
        <w:rPr>
          <w:snapToGrid/>
          <w:color w:val="000000"/>
        </w:rPr>
        <w:t xml:space="preserve">poles that can support antennas or other wireless communications equipment to replace pre-existing utility poles that are substantially identical, under specified conditions, </w:t>
      </w:r>
      <w:bookmarkStart w:id="1" w:name="_Hlk495666079"/>
      <w:r w:rsidRPr="00A91654">
        <w:rPr>
          <w:snapToGrid/>
          <w:color w:val="000000"/>
        </w:rPr>
        <w:t xml:space="preserve">has no potential to affect historic properties, and therefore, the historic preservation review process is unnecessary in this context.  </w:t>
      </w:r>
      <w:r w:rsidR="00606AAD">
        <w:rPr>
          <w:snapToGrid/>
          <w:color w:val="000000"/>
        </w:rPr>
        <w:t>Prior to adoption of this exemption, the</w:t>
      </w:r>
      <w:r w:rsidR="00DC0F35">
        <w:rPr>
          <w:snapToGrid/>
          <w:color w:val="000000"/>
        </w:rPr>
        <w:t xml:space="preserve"> Commission’s</w:t>
      </w:r>
      <w:r w:rsidR="00606AAD">
        <w:rPr>
          <w:snapToGrid/>
          <w:color w:val="000000"/>
        </w:rPr>
        <w:t xml:space="preserve"> rules generally required applicants replacing utility poles</w:t>
      </w:r>
      <w:r w:rsidR="00DC0F35">
        <w:rPr>
          <w:snapToGrid/>
          <w:color w:val="000000"/>
        </w:rPr>
        <w:t xml:space="preserve"> constructed with a sole or primary purpose other than supporting communications antennas</w:t>
      </w:r>
      <w:r w:rsidR="00606AAD">
        <w:rPr>
          <w:snapToGrid/>
          <w:color w:val="000000"/>
        </w:rPr>
        <w:t xml:space="preserve"> </w:t>
      </w:r>
      <w:r w:rsidR="00DC0F35">
        <w:rPr>
          <w:snapToGrid/>
          <w:color w:val="000000"/>
        </w:rPr>
        <w:t>with pole</w:t>
      </w:r>
      <w:r w:rsidR="000D0CFE">
        <w:rPr>
          <w:snapToGrid/>
          <w:color w:val="000000"/>
        </w:rPr>
        <w:t>s</w:t>
      </w:r>
      <w:r w:rsidR="00DC0F35">
        <w:rPr>
          <w:snapToGrid/>
          <w:color w:val="000000"/>
        </w:rPr>
        <w:t xml:space="preserve"> that would support communications antennas</w:t>
      </w:r>
      <w:r w:rsidR="00BD0E65">
        <w:rPr>
          <w:snapToGrid/>
          <w:color w:val="000000"/>
        </w:rPr>
        <w:t>,</w:t>
      </w:r>
      <w:r w:rsidR="00DC0F35">
        <w:rPr>
          <w:snapToGrid/>
          <w:color w:val="000000"/>
        </w:rPr>
        <w:t xml:space="preserve"> </w:t>
      </w:r>
      <w:r w:rsidR="00606AAD">
        <w:rPr>
          <w:snapToGrid/>
          <w:color w:val="000000"/>
        </w:rPr>
        <w:t xml:space="preserve">to ensure that each pole underwent historic preservation review. </w:t>
      </w:r>
      <w:r w:rsidRPr="00D36C97" w:rsidR="00A7291E">
        <w:rPr>
          <w:color w:val="000000"/>
          <w:szCs w:val="22"/>
        </w:rPr>
        <w:t>By adopting this new exclusion subject to the specified limitations, the Commission continues to fulfill its statutory responsibilities regarding historic preservation, while removing an unnecessary impediment to the rapid deployment of much needed small cell facilities and other wireless infrastructure across the country.</w:t>
      </w:r>
      <w:r w:rsidRPr="00A91654" w:rsidR="00A7291E">
        <w:rPr>
          <w:color w:val="000000"/>
          <w:szCs w:val="22"/>
        </w:rPr>
        <w:t xml:space="preserve"> </w:t>
      </w:r>
      <w:r w:rsidRPr="00A91654">
        <w:rPr>
          <w:color w:val="000000"/>
          <w:szCs w:val="22"/>
        </w:rPr>
        <w:t>This order also reorganize</w:t>
      </w:r>
      <w:r w:rsidR="00DC0F35">
        <w:rPr>
          <w:color w:val="000000"/>
          <w:szCs w:val="22"/>
        </w:rPr>
        <w:t>d</w:t>
      </w:r>
      <w:r w:rsidRPr="00A91654">
        <w:rPr>
          <w:color w:val="000000"/>
          <w:szCs w:val="22"/>
        </w:rPr>
        <w:t xml:space="preserve"> the rules governing the Commission’s historic preservation review procedures by bringing together provisions that previously were scattered across a </w:t>
      </w:r>
      <w:r w:rsidR="00D01856">
        <w:rPr>
          <w:color w:val="000000"/>
          <w:szCs w:val="22"/>
        </w:rPr>
        <w:t>number o</w:t>
      </w:r>
      <w:r w:rsidR="00D34D21">
        <w:rPr>
          <w:color w:val="000000"/>
          <w:szCs w:val="22"/>
        </w:rPr>
        <w:t>f</w:t>
      </w:r>
      <w:r w:rsidR="00D01856">
        <w:rPr>
          <w:color w:val="000000"/>
          <w:szCs w:val="22"/>
        </w:rPr>
        <w:t xml:space="preserve"> sections</w:t>
      </w:r>
      <w:r w:rsidRPr="00A91654">
        <w:rPr>
          <w:color w:val="000000"/>
          <w:szCs w:val="22"/>
        </w:rPr>
        <w:t xml:space="preserve"> into a single new </w:t>
      </w:r>
      <w:r w:rsidR="0057368A">
        <w:rPr>
          <w:color w:val="000000"/>
          <w:szCs w:val="22"/>
        </w:rPr>
        <w:t>r</w:t>
      </w:r>
      <w:r w:rsidRPr="00A91654">
        <w:rPr>
          <w:color w:val="000000"/>
          <w:szCs w:val="22"/>
        </w:rPr>
        <w:t>ule</w:t>
      </w:r>
      <w:r w:rsidR="0057368A">
        <w:rPr>
          <w:color w:val="000000"/>
          <w:szCs w:val="22"/>
        </w:rPr>
        <w:t xml:space="preserve"> </w:t>
      </w:r>
      <w:r w:rsidR="006B29D8">
        <w:rPr>
          <w:color w:val="000000"/>
          <w:szCs w:val="22"/>
        </w:rPr>
        <w:t>section</w:t>
      </w:r>
      <w:r w:rsidR="00D01856">
        <w:rPr>
          <w:color w:val="000000"/>
          <w:szCs w:val="22"/>
        </w:rPr>
        <w:t>,</w:t>
      </w:r>
      <w:r w:rsidR="0057368A">
        <w:rPr>
          <w:color w:val="000000"/>
          <w:szCs w:val="22"/>
        </w:rPr>
        <w:t xml:space="preserve"> 47 CFR</w:t>
      </w:r>
      <w:r w:rsidRPr="00A91654">
        <w:rPr>
          <w:color w:val="000000"/>
          <w:szCs w:val="22"/>
        </w:rPr>
        <w:t xml:space="preserve"> </w:t>
      </w:r>
      <w:r w:rsidR="0057368A">
        <w:rPr>
          <w:color w:val="000000"/>
          <w:szCs w:val="22"/>
        </w:rPr>
        <w:t>§</w:t>
      </w:r>
      <w:r w:rsidRPr="00A91654">
        <w:rPr>
          <w:color w:val="000000"/>
          <w:szCs w:val="22"/>
        </w:rPr>
        <w:t>1.1320, which clearly sets forth the existing requirements but, with the exception of the new exclusion for replacement utility poles</w:t>
      </w:r>
      <w:r w:rsidR="008E1594">
        <w:rPr>
          <w:color w:val="000000"/>
          <w:szCs w:val="22"/>
        </w:rPr>
        <w:t xml:space="preserve"> discussed above</w:t>
      </w:r>
      <w:r w:rsidRPr="00A91654">
        <w:rPr>
          <w:color w:val="000000"/>
          <w:szCs w:val="22"/>
        </w:rPr>
        <w:t>, does not modify them.</w:t>
      </w:r>
      <w:r w:rsidR="00D36C97">
        <w:rPr>
          <w:color w:val="000000"/>
          <w:szCs w:val="22"/>
        </w:rPr>
        <w:t xml:space="preserve">  </w:t>
      </w:r>
      <w:bookmarkEnd w:id="1"/>
    </w:p>
    <w:p w:rsidR="00470817" w:rsidRPr="00A91654" w:rsidP="00470817" w14:paraId="6FE70844" w14:textId="77777777">
      <w:pPr>
        <w:pStyle w:val="ParaNum"/>
        <w:widowControl/>
        <w:numPr>
          <w:ilvl w:val="0"/>
          <w:numId w:val="0"/>
        </w:numPr>
        <w:spacing w:after="0"/>
        <w:rPr>
          <w:snapToGrid/>
          <w:color w:val="000000"/>
        </w:rPr>
      </w:pPr>
    </w:p>
    <w:p w:rsidR="003733F4" w:rsidRPr="00606AAD" w:rsidP="00606AAD" w14:paraId="6724D527" w14:textId="26493694">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605883" w:rsidP="00BD0E65" w14:paraId="23E437C9" w14:textId="059EF5F0">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w:t>
      </w:r>
      <w:r w:rsidR="00B046AF">
        <w:rPr>
          <w:rFonts w:ascii="Times New Roman" w:hAnsi="Times New Roman" w:cs="Times New Roman"/>
        </w:rPr>
        <w:t>create</w:t>
      </w:r>
      <w:r w:rsidR="000B1573">
        <w:rPr>
          <w:rFonts w:ascii="Times New Roman" w:hAnsi="Times New Roman" w:cs="Times New Roman"/>
        </w:rPr>
        <w:t>d</w:t>
      </w:r>
      <w:r w:rsidR="00B046AF">
        <w:rPr>
          <w:rFonts w:ascii="Times New Roman" w:hAnsi="Times New Roman" w:cs="Times New Roman"/>
        </w:rPr>
        <w:t xml:space="preserve"> an exemption from historic preservation review</w:t>
      </w:r>
      <w:r w:rsidR="009C31A5">
        <w:rPr>
          <w:rFonts w:ascii="Times New Roman" w:hAnsi="Times New Roman" w:cs="Times New Roman"/>
        </w:rPr>
        <w:t>,</w:t>
      </w:r>
      <w:r w:rsidR="007F211A">
        <w:rPr>
          <w:rFonts w:ascii="Times New Roman" w:hAnsi="Times New Roman" w:cs="Times New Roman"/>
        </w:rPr>
        <w:t xml:space="preserve"> </w:t>
      </w:r>
      <w:r w:rsidR="007741ED">
        <w:rPr>
          <w:rFonts w:ascii="Times New Roman" w:hAnsi="Times New Roman" w:cs="Times New Roman"/>
        </w:rPr>
        <w:t>for</w:t>
      </w:r>
      <w:r w:rsidR="007A6C90">
        <w:rPr>
          <w:rFonts w:ascii="Times New Roman" w:hAnsi="Times New Roman" w:cs="Times New Roman"/>
        </w:rPr>
        <w:t xml:space="preserve"> </w:t>
      </w:r>
      <w:r w:rsidR="00B046AF">
        <w:rPr>
          <w:rFonts w:ascii="Times New Roman" w:hAnsi="Times New Roman" w:cs="Times New Roman"/>
        </w:rPr>
        <w:t xml:space="preserve">the replacement of </w:t>
      </w:r>
      <w:r w:rsidR="007A1B25">
        <w:rPr>
          <w:rFonts w:ascii="Times New Roman" w:hAnsi="Times New Roman" w:cs="Times New Roman"/>
        </w:rPr>
        <w:t xml:space="preserve">utility </w:t>
      </w:r>
      <w:r w:rsidR="00B046AF">
        <w:rPr>
          <w:rFonts w:ascii="Times New Roman" w:hAnsi="Times New Roman" w:cs="Times New Roman"/>
        </w:rPr>
        <w:t>pole</w:t>
      </w:r>
      <w:r w:rsidR="009C31A5">
        <w:rPr>
          <w:rFonts w:ascii="Times New Roman" w:hAnsi="Times New Roman" w:cs="Times New Roman"/>
        </w:rPr>
        <w:t>s</w:t>
      </w:r>
      <w:r w:rsidR="00B046AF">
        <w:rPr>
          <w:rFonts w:ascii="Times New Roman" w:hAnsi="Times New Roman" w:cs="Times New Roman"/>
        </w:rPr>
        <w:t xml:space="preserve"> that w</w:t>
      </w:r>
      <w:r w:rsidR="009C31A5">
        <w:rPr>
          <w:rFonts w:ascii="Times New Roman" w:hAnsi="Times New Roman" w:cs="Times New Roman"/>
        </w:rPr>
        <w:t>ere</w:t>
      </w:r>
      <w:r w:rsidR="00B046AF">
        <w:rPr>
          <w:rFonts w:ascii="Times New Roman" w:hAnsi="Times New Roman" w:cs="Times New Roman"/>
        </w:rPr>
        <w:t xml:space="preserve"> constructed with a sole or primary purpose other than supporting communications antennas with pole</w:t>
      </w:r>
      <w:r w:rsidR="007741ED">
        <w:rPr>
          <w:rFonts w:ascii="Times New Roman" w:hAnsi="Times New Roman" w:cs="Times New Roman"/>
        </w:rPr>
        <w:t>s</w:t>
      </w:r>
      <w:r w:rsidR="00B046AF">
        <w:rPr>
          <w:rFonts w:ascii="Times New Roman" w:hAnsi="Times New Roman" w:cs="Times New Roman"/>
        </w:rPr>
        <w:t xml:space="preserve"> that will support such antennas. </w:t>
      </w:r>
      <w:r w:rsidR="00606AAD">
        <w:rPr>
          <w:rFonts w:ascii="Times New Roman" w:hAnsi="Times New Roman" w:cs="Times New Roman"/>
        </w:rPr>
        <w:t xml:space="preserve">The </w:t>
      </w:r>
      <w:r w:rsidR="007A1B25">
        <w:rPr>
          <w:rFonts w:ascii="Times New Roman" w:hAnsi="Times New Roman" w:cs="Times New Roman"/>
        </w:rPr>
        <w:t xml:space="preserve">exemption can be found in the </w:t>
      </w:r>
      <w:r w:rsidR="00606AAD">
        <w:rPr>
          <w:rFonts w:ascii="Times New Roman" w:hAnsi="Times New Roman" w:cs="Times New Roman"/>
        </w:rPr>
        <w:t xml:space="preserve">exclusion </w:t>
      </w:r>
      <w:r w:rsidR="007A1B25">
        <w:rPr>
          <w:rFonts w:ascii="Times New Roman" w:hAnsi="Times New Roman" w:cs="Times New Roman"/>
        </w:rPr>
        <w:t xml:space="preserve">provisions of the new section </w:t>
      </w:r>
      <w:r w:rsidR="00606AAD">
        <w:rPr>
          <w:rFonts w:ascii="Times New Roman" w:hAnsi="Times New Roman" w:cs="Times New Roman"/>
        </w:rPr>
        <w:t xml:space="preserve">47 CFR </w:t>
      </w:r>
      <w:r w:rsidR="007741ED">
        <w:rPr>
          <w:rFonts w:ascii="Times New Roman" w:hAnsi="Times New Roman" w:cs="Times New Roman"/>
        </w:rPr>
        <w:t>§</w:t>
      </w:r>
      <w:r w:rsidR="00606AAD">
        <w:rPr>
          <w:rFonts w:ascii="Times New Roman" w:hAnsi="Times New Roman" w:cs="Times New Roman"/>
        </w:rPr>
        <w:t xml:space="preserve">1.1320(b).  </w:t>
      </w:r>
    </w:p>
    <w:p w:rsidR="00605883" w:rsidRPr="007F211A" w:rsidP="00DA673B" w14:paraId="01A448F8" w14:textId="109340F5">
      <w:pPr>
        <w:rPr>
          <w:rFonts w:ascii="Times New Roman" w:hAnsi="Times New Roman" w:cs="Times New Roman"/>
          <w:b/>
        </w:rPr>
      </w:pPr>
      <w:r w:rsidRPr="007F211A">
        <w:rPr>
          <w:rFonts w:ascii="Times New Roman" w:hAnsi="Times New Roman" w:cs="Times New Roman"/>
          <w:b/>
        </w:rPr>
        <w:t xml:space="preserve">Replacement Utility Poles </w:t>
      </w:r>
      <w:r w:rsidRPr="007F211A" w:rsidR="00885C6A">
        <w:rPr>
          <w:rFonts w:ascii="Times New Roman" w:hAnsi="Times New Roman" w:cs="Times New Roman"/>
          <w:b/>
        </w:rPr>
        <w:t>(</w:t>
      </w:r>
      <w:r w:rsidRPr="007F211A">
        <w:rPr>
          <w:rFonts w:ascii="Times New Roman" w:hAnsi="Times New Roman" w:cs="Times New Roman"/>
          <w:b/>
          <w:color w:val="000000"/>
        </w:rPr>
        <w:t>47 CFR §1.1320(b)(3)</w:t>
      </w:r>
      <w:r w:rsidRPr="007F211A" w:rsidR="00885C6A">
        <w:rPr>
          <w:rFonts w:ascii="Times New Roman" w:hAnsi="Times New Roman" w:cs="Times New Roman"/>
          <w:b/>
          <w:color w:val="000000"/>
        </w:rPr>
        <w:t>)</w:t>
      </w:r>
    </w:p>
    <w:p w:rsidR="00B046AF" w:rsidRPr="007F211A" w:rsidP="007F211A" w14:paraId="1586267A" w14:textId="3E4DA538">
      <w:pPr>
        <w:pStyle w:val="ListParagraph"/>
        <w:numPr>
          <w:ilvl w:val="0"/>
          <w:numId w:val="16"/>
        </w:numPr>
        <w:contextualSpacing w:val="0"/>
        <w:rPr>
          <w:rFonts w:ascii="Times New Roman" w:hAnsi="Times New Roman" w:cs="Times New Roman"/>
        </w:rPr>
      </w:pPr>
      <w:r w:rsidRPr="007F211A">
        <w:rPr>
          <w:rFonts w:ascii="Times New Roman" w:hAnsi="Times New Roman" w:cs="Times New Roman"/>
        </w:rPr>
        <w:t xml:space="preserve">Construction of a replacement pole for an existing structure will be excluded from historic preservation review </w:t>
      </w:r>
      <w:r w:rsidRPr="007F211A">
        <w:rPr>
          <w:rFonts w:ascii="Times New Roman" w:hAnsi="Times New Roman" w:cs="Times New Roman"/>
        </w:rPr>
        <w:t xml:space="preserve">where </w:t>
      </w:r>
      <w:r w:rsidRPr="007F211A">
        <w:rPr>
          <w:rFonts w:ascii="Times New Roman" w:hAnsi="Times New Roman" w:cs="Times New Roman"/>
        </w:rPr>
        <w:t xml:space="preserve">all of </w:t>
      </w:r>
      <w:r w:rsidRPr="007F211A">
        <w:rPr>
          <w:rFonts w:ascii="Times New Roman" w:hAnsi="Times New Roman" w:cs="Times New Roman"/>
        </w:rPr>
        <w:t>the following conditions are met:</w:t>
      </w:r>
    </w:p>
    <w:p w:rsidR="00B046AF" w:rsidP="007F211A" w14:paraId="67109F56" w14:textId="7FBEFA41">
      <w:pPr>
        <w:pStyle w:val="ListParagraph"/>
        <w:numPr>
          <w:ilvl w:val="0"/>
          <w:numId w:val="15"/>
        </w:numPr>
        <w:contextualSpacing w:val="0"/>
        <w:rPr>
          <w:rFonts w:ascii="Times New Roman" w:hAnsi="Times New Roman" w:cs="Times New Roman"/>
        </w:rPr>
      </w:pPr>
      <w:r>
        <w:rPr>
          <w:rFonts w:ascii="Times New Roman" w:hAnsi="Times New Roman" w:cs="Times New Roman"/>
        </w:rPr>
        <w:t xml:space="preserve">The original structure- </w:t>
      </w:r>
    </w:p>
    <w:p w:rsidR="00B046AF" w:rsidP="007F211A" w14:paraId="0495BEA2" w14:textId="0D76178E">
      <w:pPr>
        <w:pStyle w:val="ListParagraph"/>
        <w:numPr>
          <w:ilvl w:val="1"/>
          <w:numId w:val="15"/>
        </w:numPr>
        <w:contextualSpacing w:val="0"/>
        <w:rPr>
          <w:rFonts w:ascii="Times New Roman" w:hAnsi="Times New Roman" w:cs="Times New Roman"/>
        </w:rPr>
      </w:pPr>
      <w:r>
        <w:rPr>
          <w:rFonts w:ascii="Times New Roman" w:hAnsi="Times New Roman" w:cs="Times New Roman"/>
        </w:rPr>
        <w:t>Is a pole that can hold utility, communications, or related transmission lines;</w:t>
      </w:r>
    </w:p>
    <w:p w:rsidR="00B046AF" w:rsidP="007F211A" w14:paraId="2E47A448" w14:textId="521C5CA6">
      <w:pPr>
        <w:pStyle w:val="ListParagraph"/>
        <w:numPr>
          <w:ilvl w:val="1"/>
          <w:numId w:val="15"/>
        </w:numPr>
        <w:contextualSpacing w:val="0"/>
        <w:rPr>
          <w:rFonts w:ascii="Times New Roman" w:hAnsi="Times New Roman" w:cs="Times New Roman"/>
        </w:rPr>
      </w:pPr>
      <w:r>
        <w:rPr>
          <w:rFonts w:ascii="Times New Roman" w:hAnsi="Times New Roman" w:cs="Times New Roman"/>
        </w:rPr>
        <w:t>Was not originally erected for the sole or primary purpose of supporting antennas that operate pursuant to a spectrum license or authorization issued by the Commission; and</w:t>
      </w:r>
    </w:p>
    <w:p w:rsidR="008833D8" w:rsidRPr="0061491F" w:rsidP="007F211A" w14:paraId="5802240F" w14:textId="43C8358D">
      <w:pPr>
        <w:pStyle w:val="ListParagraph"/>
        <w:numPr>
          <w:ilvl w:val="1"/>
          <w:numId w:val="15"/>
        </w:numPr>
        <w:contextualSpacing w:val="0"/>
      </w:pPr>
      <w:r>
        <w:rPr>
          <w:rFonts w:ascii="Times New Roman" w:hAnsi="Times New Roman" w:cs="Times New Roman"/>
        </w:rPr>
        <w:t>I</w:t>
      </w:r>
      <w:r w:rsidR="007741ED">
        <w:rPr>
          <w:rFonts w:ascii="Times New Roman" w:hAnsi="Times New Roman" w:cs="Times New Roman"/>
        </w:rPr>
        <w:t>s no</w:t>
      </w:r>
      <w:r>
        <w:rPr>
          <w:rFonts w:ascii="Times New Roman" w:hAnsi="Times New Roman" w:cs="Times New Roman"/>
        </w:rPr>
        <w:t>t itself a historic property</w:t>
      </w:r>
      <w:r w:rsidR="00B57528">
        <w:rPr>
          <w:rFonts w:ascii="Times New Roman" w:hAnsi="Times New Roman" w:cs="Times New Roman"/>
        </w:rPr>
        <w:t xml:space="preserve">. </w:t>
      </w:r>
    </w:p>
    <w:p w:rsidR="00B57528" w:rsidP="007F211A" w14:paraId="43BCEF7A" w14:textId="4C07DD16">
      <w:pPr>
        <w:pStyle w:val="ListParagraph"/>
        <w:numPr>
          <w:ilvl w:val="0"/>
          <w:numId w:val="15"/>
        </w:numPr>
        <w:contextualSpacing w:val="0"/>
        <w:rPr>
          <w:rFonts w:ascii="Times New Roman" w:hAnsi="Times New Roman" w:cs="Times New Roman"/>
        </w:rPr>
      </w:pPr>
      <w:r>
        <w:rPr>
          <w:rFonts w:ascii="Times New Roman" w:hAnsi="Times New Roman" w:cs="Times New Roman"/>
        </w:rPr>
        <w:t xml:space="preserve">The replacement pole- </w:t>
      </w:r>
    </w:p>
    <w:p w:rsidR="00B57528" w:rsidP="007F211A" w14:paraId="0E8CD659" w14:textId="2CC358B4">
      <w:pPr>
        <w:pStyle w:val="ListParagraph"/>
        <w:numPr>
          <w:ilvl w:val="1"/>
          <w:numId w:val="15"/>
        </w:numPr>
        <w:contextualSpacing w:val="0"/>
        <w:rPr>
          <w:rFonts w:ascii="Times New Roman" w:hAnsi="Times New Roman" w:cs="Times New Roman"/>
        </w:rPr>
      </w:pPr>
      <w:r>
        <w:rPr>
          <w:rFonts w:ascii="Times New Roman" w:hAnsi="Times New Roman" w:cs="Times New Roman"/>
        </w:rPr>
        <w:t xml:space="preserve">Is located no more than 10 feet away from the original pole, based on the distance between the centerpoint of the replacement pole and the centerpoint of the original pole; provided that construction of the replacement pole in place of the original pole </w:t>
      </w:r>
      <w:r w:rsidR="00606AAD">
        <w:rPr>
          <w:rFonts w:ascii="Times New Roman" w:hAnsi="Times New Roman" w:cs="Times New Roman"/>
        </w:rPr>
        <w:t xml:space="preserve">entails no new ground disturbance (either laterally or in depth) outside previously disturbed areas, including disturbance associated with temporary support of utility, communications, or related transmission lines. For purposes of this paragraph, “ground disturbance” means any activity that moves, compacts, alters, displaces, or penetrates the ground surface of previously undisturbed soils; </w:t>
      </w:r>
    </w:p>
    <w:p w:rsidR="00606AAD" w:rsidP="007F211A" w14:paraId="051F937E" w14:textId="77777777">
      <w:pPr>
        <w:pStyle w:val="ListParagraph"/>
        <w:numPr>
          <w:ilvl w:val="1"/>
          <w:numId w:val="15"/>
        </w:numPr>
        <w:contextualSpacing w:val="0"/>
        <w:rPr>
          <w:rFonts w:ascii="Times New Roman" w:hAnsi="Times New Roman" w:cs="Times New Roman"/>
        </w:rPr>
      </w:pPr>
      <w:r>
        <w:rPr>
          <w:rFonts w:ascii="Times New Roman" w:hAnsi="Times New Roman" w:cs="Times New Roman"/>
        </w:rPr>
        <w:t xml:space="preserve">Has a height that does not exceed the original pole by more than 5 feet or 10 percent of </w:t>
      </w:r>
      <w:r w:rsidR="007B4410">
        <w:rPr>
          <w:rFonts w:ascii="Times New Roman" w:hAnsi="Times New Roman" w:cs="Times New Roman"/>
        </w:rPr>
        <w:t>the height of the original pole, whichever is greater; and</w:t>
      </w:r>
    </w:p>
    <w:p w:rsidR="007B4410" w:rsidRPr="00B046AF" w:rsidP="00B57528" w14:paraId="483823D4" w14:textId="70187B83">
      <w:pPr>
        <w:pStyle w:val="ListParagraph"/>
        <w:numPr>
          <w:ilvl w:val="1"/>
          <w:numId w:val="15"/>
        </w:numPr>
        <w:rPr>
          <w:rFonts w:ascii="Times New Roman" w:hAnsi="Times New Roman" w:cs="Times New Roman"/>
        </w:rPr>
      </w:pPr>
      <w:r>
        <w:rPr>
          <w:rFonts w:ascii="Times New Roman" w:hAnsi="Times New Roman" w:cs="Times New Roman"/>
        </w:rPr>
        <w:t xml:space="preserve">Has an appearance consistent with the quality and appearance of the original pole.  </w:t>
      </w:r>
    </w:p>
    <w:p w:rsidR="00B046AF" w:rsidP="00DA673B" w14:paraId="05FB9878" w14:textId="15E028BB">
      <w:pPr>
        <w:rPr>
          <w:rFonts w:ascii="Times New Roman" w:hAnsi="Times New Roman" w:cs="Times New Roman"/>
        </w:rPr>
      </w:pPr>
      <w:r>
        <w:rPr>
          <w:rFonts w:ascii="Times New Roman" w:hAnsi="Times New Roman" w:cs="Times New Roman"/>
        </w:rPr>
        <w:t xml:space="preserve">Except for the replacement utility pole exemption discussed above, the </w:t>
      </w:r>
      <w:r w:rsidR="007B4410">
        <w:rPr>
          <w:rFonts w:ascii="Times New Roman" w:hAnsi="Times New Roman" w:cs="Times New Roman"/>
        </w:rPr>
        <w:t xml:space="preserve">new rule </w:t>
      </w:r>
      <w:r w:rsidR="009C31A5">
        <w:rPr>
          <w:rFonts w:ascii="Times New Roman" w:hAnsi="Times New Roman" w:cs="Times New Roman"/>
        </w:rPr>
        <w:t xml:space="preserve">section </w:t>
      </w:r>
      <w:r w:rsidR="007B4410">
        <w:rPr>
          <w:rFonts w:ascii="Times New Roman" w:hAnsi="Times New Roman" w:cs="Times New Roman"/>
        </w:rPr>
        <w:t xml:space="preserve">at 47 CFR </w:t>
      </w:r>
      <w:r>
        <w:rPr>
          <w:rFonts w:ascii="Times New Roman" w:hAnsi="Times New Roman" w:cs="Times New Roman"/>
        </w:rPr>
        <w:t>§</w:t>
      </w:r>
      <w:r w:rsidR="007B4410">
        <w:rPr>
          <w:rFonts w:ascii="Times New Roman" w:hAnsi="Times New Roman" w:cs="Times New Roman"/>
        </w:rPr>
        <w:t xml:space="preserve">1.1320 </w:t>
      </w:r>
      <w:r>
        <w:rPr>
          <w:rFonts w:ascii="Times New Roman" w:hAnsi="Times New Roman" w:cs="Times New Roman"/>
        </w:rPr>
        <w:t xml:space="preserve">did </w:t>
      </w:r>
      <w:r w:rsidR="009C31A5">
        <w:rPr>
          <w:rFonts w:ascii="Times New Roman" w:hAnsi="Times New Roman" w:cs="Times New Roman"/>
        </w:rPr>
        <w:t xml:space="preserve">not </w:t>
      </w:r>
      <w:r w:rsidR="007B4410">
        <w:rPr>
          <w:rFonts w:ascii="Times New Roman" w:hAnsi="Times New Roman" w:cs="Times New Roman"/>
        </w:rPr>
        <w:t xml:space="preserve">make </w:t>
      </w:r>
      <w:r>
        <w:rPr>
          <w:rFonts w:ascii="Times New Roman" w:hAnsi="Times New Roman" w:cs="Times New Roman"/>
        </w:rPr>
        <w:t>any</w:t>
      </w:r>
      <w:r w:rsidR="007B4410">
        <w:rPr>
          <w:rFonts w:ascii="Times New Roman" w:hAnsi="Times New Roman" w:cs="Times New Roman"/>
        </w:rPr>
        <w:t xml:space="preserve"> substantive changes to the </w:t>
      </w:r>
      <w:r w:rsidR="00906780">
        <w:rPr>
          <w:rFonts w:ascii="Times New Roman" w:hAnsi="Times New Roman" w:cs="Times New Roman"/>
        </w:rPr>
        <w:t>pre-existing</w:t>
      </w:r>
      <w:r w:rsidR="007B4410">
        <w:rPr>
          <w:rFonts w:ascii="Times New Roman" w:hAnsi="Times New Roman" w:cs="Times New Roman"/>
        </w:rPr>
        <w:t xml:space="preserve"> rules implementing the historic preservation review process under Section 106</w:t>
      </w:r>
      <w:r w:rsidR="00906780">
        <w:rPr>
          <w:rFonts w:ascii="Times New Roman" w:hAnsi="Times New Roman" w:cs="Times New Roman"/>
        </w:rPr>
        <w:t xml:space="preserve"> of the NHPA</w:t>
      </w:r>
      <w:r w:rsidR="007B4410">
        <w:rPr>
          <w:rFonts w:ascii="Times New Roman" w:hAnsi="Times New Roman" w:cs="Times New Roman"/>
        </w:rPr>
        <w:t xml:space="preserve"> </w:t>
      </w:r>
      <w:r w:rsidR="002641C0">
        <w:rPr>
          <w:rFonts w:ascii="Times New Roman" w:hAnsi="Times New Roman" w:cs="Times New Roman"/>
        </w:rPr>
        <w:t>or associated compliance obligations</w:t>
      </w:r>
      <w:r w:rsidR="009C31A5">
        <w:rPr>
          <w:rFonts w:ascii="Times New Roman" w:hAnsi="Times New Roman" w:cs="Times New Roman"/>
        </w:rPr>
        <w:t>.</w:t>
      </w:r>
      <w:r w:rsidR="002641C0">
        <w:rPr>
          <w:rFonts w:ascii="Times New Roman" w:hAnsi="Times New Roman" w:cs="Times New Roman"/>
        </w:rPr>
        <w:t xml:space="preserve"> </w:t>
      </w:r>
      <w:r w:rsidR="00906780">
        <w:rPr>
          <w:rFonts w:ascii="Times New Roman" w:hAnsi="Times New Roman" w:cs="Times New Roman"/>
        </w:rPr>
        <w:t xml:space="preserve"> </w:t>
      </w:r>
      <w:r w:rsidR="009C31A5">
        <w:rPr>
          <w:rFonts w:ascii="Times New Roman" w:hAnsi="Times New Roman" w:cs="Times New Roman"/>
        </w:rPr>
        <w:t>I</w:t>
      </w:r>
      <w:r w:rsidR="002641C0">
        <w:rPr>
          <w:rFonts w:ascii="Times New Roman" w:hAnsi="Times New Roman" w:cs="Times New Roman"/>
        </w:rPr>
        <w:t>nstead</w:t>
      </w:r>
      <w:r w:rsidR="00906780">
        <w:rPr>
          <w:rFonts w:ascii="Times New Roman" w:hAnsi="Times New Roman" w:cs="Times New Roman"/>
        </w:rPr>
        <w:t>,</w:t>
      </w:r>
      <w:r w:rsidR="002641C0">
        <w:rPr>
          <w:rFonts w:ascii="Times New Roman" w:hAnsi="Times New Roman" w:cs="Times New Roman"/>
        </w:rPr>
        <w:t xml:space="preserve"> </w:t>
      </w:r>
      <w:r w:rsidR="009C31A5">
        <w:rPr>
          <w:rFonts w:ascii="Times New Roman" w:hAnsi="Times New Roman" w:cs="Times New Roman"/>
        </w:rPr>
        <w:t xml:space="preserve">it </w:t>
      </w:r>
      <w:r w:rsidR="007B4410">
        <w:rPr>
          <w:rFonts w:ascii="Times New Roman" w:hAnsi="Times New Roman" w:cs="Times New Roman"/>
        </w:rPr>
        <w:t>simplifie</w:t>
      </w:r>
      <w:r w:rsidR="002641C0">
        <w:rPr>
          <w:rFonts w:ascii="Times New Roman" w:hAnsi="Times New Roman" w:cs="Times New Roman"/>
        </w:rPr>
        <w:t>d</w:t>
      </w:r>
      <w:r w:rsidR="007B4410">
        <w:rPr>
          <w:rFonts w:ascii="Times New Roman" w:hAnsi="Times New Roman" w:cs="Times New Roman"/>
        </w:rPr>
        <w:t xml:space="preserve"> how </w:t>
      </w:r>
      <w:r w:rsidR="002641C0">
        <w:rPr>
          <w:rFonts w:ascii="Times New Roman" w:hAnsi="Times New Roman" w:cs="Times New Roman"/>
        </w:rPr>
        <w:t>the Commission’s</w:t>
      </w:r>
      <w:r w:rsidR="007B4410">
        <w:rPr>
          <w:rFonts w:ascii="Times New Roman" w:hAnsi="Times New Roman" w:cs="Times New Roman"/>
        </w:rPr>
        <w:t xml:space="preserve"> regulations </w:t>
      </w:r>
      <w:r w:rsidR="002641C0">
        <w:rPr>
          <w:rFonts w:ascii="Times New Roman" w:hAnsi="Times New Roman" w:cs="Times New Roman"/>
        </w:rPr>
        <w:t xml:space="preserve">set forth the existing requirements that govern </w:t>
      </w:r>
      <w:r w:rsidR="007B4410">
        <w:rPr>
          <w:rFonts w:ascii="Times New Roman" w:hAnsi="Times New Roman" w:cs="Times New Roman"/>
        </w:rPr>
        <w:t>the</w:t>
      </w:r>
      <w:r w:rsidR="009C31A5">
        <w:rPr>
          <w:rFonts w:ascii="Times New Roman" w:hAnsi="Times New Roman" w:cs="Times New Roman"/>
        </w:rPr>
        <w:t xml:space="preserve"> historic</w:t>
      </w:r>
      <w:r w:rsidR="00906780">
        <w:rPr>
          <w:rFonts w:ascii="Times New Roman" w:hAnsi="Times New Roman" w:cs="Times New Roman"/>
        </w:rPr>
        <w:t xml:space="preserve"> preservation</w:t>
      </w:r>
      <w:r w:rsidR="009C31A5">
        <w:rPr>
          <w:rFonts w:ascii="Times New Roman" w:hAnsi="Times New Roman" w:cs="Times New Roman"/>
        </w:rPr>
        <w:t xml:space="preserve"> review</w:t>
      </w:r>
      <w:r w:rsidR="007B4410">
        <w:rPr>
          <w:rFonts w:ascii="Times New Roman" w:hAnsi="Times New Roman" w:cs="Times New Roman"/>
        </w:rPr>
        <w:t xml:space="preserve"> process.  </w:t>
      </w:r>
      <w:r w:rsidR="008D64B1">
        <w:rPr>
          <w:rFonts w:ascii="Times New Roman" w:hAnsi="Times New Roman" w:cs="Times New Roman"/>
        </w:rPr>
        <w:t>The structure of the new section is outlined below.</w:t>
      </w:r>
    </w:p>
    <w:p w:rsidR="0036152C" w:rsidRPr="007F211A" w14:paraId="4192218F" w14:textId="538753FE">
      <w:pPr>
        <w:rPr>
          <w:rFonts w:ascii="Times New Roman" w:hAnsi="Times New Roman" w:cs="Times New Roman"/>
        </w:rPr>
      </w:pPr>
      <w:r w:rsidRPr="007F211A">
        <w:rPr>
          <w:rFonts w:ascii="Times New Roman" w:hAnsi="Times New Roman" w:cs="Times New Roman"/>
          <w:b/>
        </w:rPr>
        <w:t xml:space="preserve">Review of Commission </w:t>
      </w:r>
      <w:r w:rsidRPr="007F211A" w:rsidR="009C31A5">
        <w:rPr>
          <w:rFonts w:ascii="Times New Roman" w:hAnsi="Times New Roman" w:cs="Times New Roman"/>
          <w:b/>
        </w:rPr>
        <w:t>Undertakings T</w:t>
      </w:r>
      <w:r w:rsidRPr="007F211A">
        <w:rPr>
          <w:rFonts w:ascii="Times New Roman" w:hAnsi="Times New Roman" w:cs="Times New Roman"/>
          <w:b/>
        </w:rPr>
        <w:t xml:space="preserve">hat </w:t>
      </w:r>
      <w:r w:rsidRPr="007F211A" w:rsidR="009C31A5">
        <w:rPr>
          <w:rFonts w:ascii="Times New Roman" w:hAnsi="Times New Roman" w:cs="Times New Roman"/>
          <w:b/>
        </w:rPr>
        <w:t>May A</w:t>
      </w:r>
      <w:r w:rsidRPr="007F211A">
        <w:rPr>
          <w:rFonts w:ascii="Times New Roman" w:hAnsi="Times New Roman" w:cs="Times New Roman"/>
          <w:b/>
        </w:rPr>
        <w:t xml:space="preserve">ffect </w:t>
      </w:r>
      <w:r w:rsidRPr="007F211A" w:rsidR="009C31A5">
        <w:rPr>
          <w:rFonts w:ascii="Times New Roman" w:hAnsi="Times New Roman" w:cs="Times New Roman"/>
          <w:b/>
        </w:rPr>
        <w:t>H</w:t>
      </w:r>
      <w:r w:rsidRPr="007F211A">
        <w:rPr>
          <w:rFonts w:ascii="Times New Roman" w:hAnsi="Times New Roman" w:cs="Times New Roman"/>
          <w:b/>
        </w:rPr>
        <w:t xml:space="preserve">istoric </w:t>
      </w:r>
      <w:r w:rsidRPr="007F211A" w:rsidR="009C31A5">
        <w:rPr>
          <w:rFonts w:ascii="Times New Roman" w:hAnsi="Times New Roman" w:cs="Times New Roman"/>
          <w:b/>
        </w:rPr>
        <w:t>P</w:t>
      </w:r>
      <w:r w:rsidRPr="007F211A">
        <w:rPr>
          <w:rFonts w:ascii="Times New Roman" w:hAnsi="Times New Roman" w:cs="Times New Roman"/>
          <w:b/>
        </w:rPr>
        <w:t>roperties (47 CFR §1.1320)</w:t>
      </w:r>
    </w:p>
    <w:p w:rsidR="00885C6A" w:rsidRPr="007F211A" w:rsidP="007F211A" w14:paraId="48BBB852" w14:textId="628297EE">
      <w:pPr>
        <w:pStyle w:val="ListParagraph"/>
        <w:numPr>
          <w:ilvl w:val="0"/>
          <w:numId w:val="16"/>
        </w:numPr>
        <w:contextualSpacing w:val="0"/>
        <w:rPr>
          <w:rFonts w:ascii="Times New Roman" w:hAnsi="Times New Roman" w:cs="Times New Roman"/>
        </w:rPr>
      </w:pPr>
      <w:r w:rsidRPr="004E02F6">
        <w:rPr>
          <w:rFonts w:ascii="Times New Roman" w:hAnsi="Times New Roman" w:cs="Times New Roman"/>
        </w:rPr>
        <w:t xml:space="preserve">Section </w:t>
      </w:r>
      <w:r w:rsidRPr="007F211A">
        <w:rPr>
          <w:rFonts w:ascii="Times New Roman" w:hAnsi="Times New Roman" w:cs="Times New Roman"/>
        </w:rPr>
        <w:t>47 CFR §1.1320</w:t>
      </w:r>
      <w:r w:rsidRPr="007F211A">
        <w:rPr>
          <w:rFonts w:ascii="Times New Roman" w:hAnsi="Times New Roman" w:cs="Times New Roman"/>
        </w:rPr>
        <w:t xml:space="preserve">(a) incorporates into the Commission’s rules the existing provisions in the </w:t>
      </w:r>
      <w:r w:rsidRPr="007F211A" w:rsidR="00F43AD3">
        <w:rPr>
          <w:rFonts w:ascii="Times New Roman" w:hAnsi="Times New Roman" w:cs="Times New Roman"/>
        </w:rPr>
        <w:t>Advisory Council on Historic Preservation’s (</w:t>
      </w:r>
      <w:r w:rsidRPr="007F211A">
        <w:rPr>
          <w:rFonts w:ascii="Times New Roman" w:hAnsi="Times New Roman" w:cs="Times New Roman"/>
        </w:rPr>
        <w:t>ACHP’s</w:t>
      </w:r>
      <w:r w:rsidR="00F43AD3">
        <w:rPr>
          <w:rFonts w:ascii="Times New Roman" w:hAnsi="Times New Roman" w:cs="Times New Roman"/>
        </w:rPr>
        <w:t>)</w:t>
      </w:r>
      <w:r w:rsidRPr="007F211A">
        <w:rPr>
          <w:rFonts w:ascii="Times New Roman" w:hAnsi="Times New Roman" w:cs="Times New Roman"/>
        </w:rPr>
        <w:t xml:space="preserve"> regulations</w:t>
      </w:r>
      <w:r w:rsidR="00906780">
        <w:rPr>
          <w:rFonts w:ascii="Times New Roman" w:hAnsi="Times New Roman" w:cs="Times New Roman"/>
        </w:rPr>
        <w:t>, which</w:t>
      </w:r>
      <w:r w:rsidRPr="007F211A">
        <w:rPr>
          <w:rFonts w:ascii="Times New Roman" w:hAnsi="Times New Roman" w:cs="Times New Roman"/>
        </w:rPr>
        <w:t xml:space="preserve"> establish</w:t>
      </w:r>
      <w:r w:rsidR="007F211A">
        <w:rPr>
          <w:rFonts w:ascii="Times New Roman" w:hAnsi="Times New Roman" w:cs="Times New Roman"/>
        </w:rPr>
        <w:t xml:space="preserve"> </w:t>
      </w:r>
      <w:r w:rsidR="00906780">
        <w:rPr>
          <w:rFonts w:ascii="Times New Roman" w:hAnsi="Times New Roman" w:cs="Times New Roman"/>
        </w:rPr>
        <w:t>procedures for review of</w:t>
      </w:r>
      <w:r w:rsidRPr="007F211A">
        <w:rPr>
          <w:rFonts w:ascii="Times New Roman" w:hAnsi="Times New Roman" w:cs="Times New Roman"/>
        </w:rPr>
        <w:t xml:space="preserve"> federal agencies’ undertakings with the potential to cause effects on historic properties under Section 106 of the NHPA</w:t>
      </w:r>
      <w:r w:rsidR="00906780">
        <w:rPr>
          <w:rFonts w:ascii="Times New Roman" w:hAnsi="Times New Roman" w:cs="Times New Roman"/>
        </w:rPr>
        <w:t>, as well as program alternatives adopted pursuant to those regulations</w:t>
      </w:r>
      <w:r w:rsidRPr="007F211A">
        <w:rPr>
          <w:rFonts w:ascii="Times New Roman" w:hAnsi="Times New Roman" w:cs="Times New Roman"/>
        </w:rPr>
        <w:t>.</w:t>
      </w:r>
    </w:p>
    <w:p w:rsidR="00885C6A" w:rsidRPr="007F211A" w:rsidP="007F211A" w14:paraId="2BCA9D99" w14:textId="556276AA">
      <w:pPr>
        <w:pStyle w:val="ListParagraph"/>
        <w:numPr>
          <w:ilvl w:val="0"/>
          <w:numId w:val="16"/>
        </w:numPr>
        <w:contextualSpacing w:val="0"/>
        <w:rPr>
          <w:rFonts w:ascii="Times New Roman" w:hAnsi="Times New Roman" w:cs="Times New Roman"/>
        </w:rPr>
      </w:pPr>
      <w:r w:rsidRPr="00811BCD">
        <w:rPr>
          <w:rFonts w:ascii="Times New Roman" w:hAnsi="Times New Roman" w:cs="Times New Roman"/>
        </w:rPr>
        <w:t>Section 47 CFR §1.1320</w:t>
      </w:r>
      <w:r w:rsidRPr="007F211A">
        <w:rPr>
          <w:rFonts w:ascii="Times New Roman" w:hAnsi="Times New Roman" w:cs="Times New Roman"/>
        </w:rPr>
        <w:t xml:space="preserve">(b) lists Commission undertakings that are not subject to any FCC historic preservation review process.  </w:t>
      </w:r>
    </w:p>
    <w:p w:rsidR="00885C6A" w:rsidRPr="007F211A" w:rsidP="007F211A" w14:paraId="1980DE9E" w14:textId="0C027B41">
      <w:pPr>
        <w:pStyle w:val="ListParagraph"/>
        <w:numPr>
          <w:ilvl w:val="0"/>
          <w:numId w:val="16"/>
        </w:numPr>
        <w:contextualSpacing w:val="0"/>
        <w:rPr>
          <w:rFonts w:ascii="Times New Roman" w:hAnsi="Times New Roman" w:cs="Times New Roman"/>
        </w:rPr>
      </w:pPr>
      <w:r w:rsidRPr="00811BCD">
        <w:rPr>
          <w:rFonts w:ascii="Times New Roman" w:hAnsi="Times New Roman" w:cs="Times New Roman"/>
        </w:rPr>
        <w:t>Section 47 CFR §1.1320</w:t>
      </w:r>
      <w:r w:rsidRPr="007F211A">
        <w:rPr>
          <w:rFonts w:ascii="Times New Roman" w:hAnsi="Times New Roman" w:cs="Times New Roman"/>
        </w:rPr>
        <w:t>(c) sets forth the responsibilities of Commission applicants and licensees relating to the historic preservation review process.</w:t>
      </w:r>
    </w:p>
    <w:p w:rsidR="009A61EC" w:rsidRPr="00BF1B40" w:rsidP="007F211A" w14:paraId="3AA3064C" w14:textId="3431C65A">
      <w:pPr>
        <w:pStyle w:val="ListParagraph"/>
        <w:numPr>
          <w:ilvl w:val="0"/>
          <w:numId w:val="16"/>
        </w:numPr>
      </w:pPr>
      <w:r w:rsidRPr="00601165">
        <w:rPr>
          <w:rFonts w:ascii="Times New Roman" w:hAnsi="Times New Roman" w:cs="Times New Roman"/>
        </w:rPr>
        <w:t>Section 47 CFR §1.1320</w:t>
      </w:r>
      <w:r w:rsidRPr="00601165" w:rsidR="00885C6A">
        <w:rPr>
          <w:rFonts w:ascii="Times New Roman" w:hAnsi="Times New Roman" w:cs="Times New Roman"/>
        </w:rPr>
        <w:t xml:space="preserve">(d) </w:t>
      </w:r>
      <w:r w:rsidRPr="00601165" w:rsidR="00FF276F">
        <w:rPr>
          <w:rFonts w:ascii="Times New Roman" w:hAnsi="Times New Roman" w:cs="Times New Roman"/>
        </w:rPr>
        <w:t>provides</w:t>
      </w:r>
      <w:r w:rsidRPr="00601165" w:rsidR="00885C6A">
        <w:rPr>
          <w:rFonts w:ascii="Times New Roman" w:hAnsi="Times New Roman" w:cs="Times New Roman"/>
        </w:rPr>
        <w:t xml:space="preserve"> definitions of the most significant terms in the rule—“antenna,” “applicant,” “collocation,” “tower,” and “undertaking</w:t>
      </w:r>
      <w:r w:rsidRPr="00470817" w:rsidR="00FF276F">
        <w:rPr>
          <w:rFonts w:ascii="Times New Roman" w:hAnsi="Times New Roman" w:cs="Times New Roman"/>
        </w:rPr>
        <w:t>.</w:t>
      </w:r>
      <w:r w:rsidRPr="00470817" w:rsidR="00885C6A">
        <w:rPr>
          <w:rFonts w:ascii="Times New Roman" w:hAnsi="Times New Roman" w:cs="Times New Roman"/>
        </w:rPr>
        <w:t>”</w:t>
      </w:r>
    </w:p>
    <w:p w:rsidR="00D077AB" w:rsidRPr="007F211A" w:rsidP="007F211A" w14:paraId="4C921D56" w14:textId="77777777">
      <w:pPr>
        <w:pStyle w:val="ListParagraph"/>
        <w:rPr>
          <w:sz w:val="10"/>
          <w:szCs w:val="10"/>
        </w:rPr>
      </w:pPr>
    </w:p>
    <w:p w:rsidR="00DE567B" w:rsidRPr="00511023"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4749A4" w:rsidP="00511023" w14:paraId="21D3C485" w14:textId="77777777">
      <w:pPr>
        <w:spacing w:after="0"/>
        <w:rPr>
          <w:rFonts w:ascii="Times New Roman" w:hAnsi="Times New Roman" w:cs="Times New Roman"/>
          <w:color w:val="010101"/>
        </w:rPr>
      </w:pPr>
    </w:p>
    <w:p w:rsidR="001961AA" w:rsidRPr="00511023" w:rsidP="00511023" w14:paraId="1ED3D0C5" w14:textId="56C6C080">
      <w:pPr>
        <w:spacing w:after="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P="007F0A80" w14:paraId="6176B903" w14:textId="77777777">
      <w:pPr>
        <w:spacing w:after="0"/>
        <w:rPr>
          <w:rFonts w:ascii="Times New Roman" w:hAnsi="Times New Roman" w:cs="Times New Roman"/>
          <w:b/>
        </w:rPr>
      </w:pPr>
    </w:p>
    <w:p w:rsidR="000F7BE7" w:rsidRPr="00511023" w:rsidP="00BD0E65" w14:paraId="6D2C3E8F" w14:textId="24B91B82">
      <w:pPr>
        <w:pStyle w:val="ParaNum"/>
        <w:numPr>
          <w:ilvl w:val="0"/>
          <w:numId w:val="0"/>
        </w:numPr>
        <w:rPr>
          <w:b/>
        </w:rPr>
      </w:pPr>
      <w:r w:rsidRPr="00470817">
        <w:t>T</w:t>
      </w:r>
      <w:r w:rsidRPr="00470817" w:rsidR="00491F77">
        <w:t xml:space="preserve">he rules in the </w:t>
      </w:r>
      <w:r w:rsidRPr="00470817" w:rsidR="00491F77">
        <w:rPr>
          <w:i/>
        </w:rPr>
        <w:t>Report and Order</w:t>
      </w:r>
      <w:r w:rsidRPr="00470817" w:rsidR="00491F77">
        <w:t xml:space="preserve"> bec</w:t>
      </w:r>
      <w:r w:rsidRPr="00470817" w:rsidR="00B5003A">
        <w:t>a</w:t>
      </w:r>
      <w:r w:rsidRPr="00470817" w:rsidR="00491F77">
        <w:t xml:space="preserve">me </w:t>
      </w:r>
      <w:r w:rsidRPr="00470817" w:rsidR="00B5003A">
        <w:t>effective January 16, 2018,</w:t>
      </w:r>
      <w:r w:rsidRPr="00470817" w:rsidR="00491F77">
        <w:t xml:space="preserve"> </w:t>
      </w:r>
      <w:r w:rsidRPr="00470817" w:rsidR="007B4410">
        <w:t>30</w:t>
      </w:r>
      <w:r w:rsidRPr="00470817" w:rsidR="001338B0">
        <w:t xml:space="preserve"> </w:t>
      </w:r>
      <w:r w:rsidRPr="00470817" w:rsidR="00491F77">
        <w:t xml:space="preserve">days after publication </w:t>
      </w:r>
      <w:r w:rsidRPr="00470817" w:rsidR="005632C2">
        <w:t xml:space="preserve">in the Federal Register </w:t>
      </w:r>
      <w:r w:rsidRPr="00470817" w:rsidR="00491F77">
        <w:t xml:space="preserve">of </w:t>
      </w:r>
      <w:r w:rsidRPr="00470817" w:rsidR="00731C50">
        <w:t xml:space="preserve">a </w:t>
      </w:r>
      <w:r w:rsidRPr="00470817" w:rsidR="00491F77">
        <w:t xml:space="preserve">summary </w:t>
      </w:r>
      <w:r w:rsidRPr="00470817" w:rsidR="00B036A5">
        <w:t xml:space="preserve">of </w:t>
      </w:r>
      <w:r w:rsidRPr="00470817" w:rsidR="00731C50">
        <w:t xml:space="preserve">the </w:t>
      </w:r>
      <w:r w:rsidRPr="00470817" w:rsidR="00731C50">
        <w:rPr>
          <w:i/>
        </w:rPr>
        <w:t>Report</w:t>
      </w:r>
      <w:r w:rsidRPr="00470817" w:rsidR="00D91EE9">
        <w:rPr>
          <w:i/>
        </w:rPr>
        <w:t xml:space="preserve"> and Order</w:t>
      </w:r>
      <w:r w:rsidRPr="00470817" w:rsidR="00D91EE9">
        <w:t xml:space="preserve"> </w:t>
      </w:r>
      <w:r w:rsidRPr="00470817" w:rsidR="005632C2">
        <w:t xml:space="preserve">(which contained </w:t>
      </w:r>
      <w:r w:rsidRPr="00470817" w:rsidR="00D91EE9">
        <w:t xml:space="preserve">the </w:t>
      </w:r>
      <w:r w:rsidRPr="00470817" w:rsidR="005632C2">
        <w:t xml:space="preserve">full </w:t>
      </w:r>
      <w:r w:rsidRPr="00470817" w:rsidR="00D91EE9">
        <w:t>text of the rules</w:t>
      </w:r>
      <w:r w:rsidRPr="00470817" w:rsidR="005632C2">
        <w:t>)</w:t>
      </w:r>
      <w:r w:rsidRPr="00470817" w:rsidR="001338B0">
        <w:t>.</w:t>
      </w:r>
      <w:r w:rsidR="0059727F">
        <w:t xml:space="preserve">  </w:t>
      </w:r>
    </w:p>
    <w:p w:rsidR="00D077AB" w:rsidP="00470817" w14:paraId="5C17035B" w14:textId="70546838">
      <w:pPr>
        <w:spacing w:after="0"/>
        <w:rPr>
          <w:rFonts w:ascii="Times New Roman" w:hAnsi="Times New Roman" w:cs="Times New Roman"/>
          <w:b/>
        </w:rPr>
      </w:pPr>
    </w:p>
    <w:p w:rsidR="00C5062A" w:rsidRPr="00511023" w:rsidP="00286EA8" w14:paraId="79679D59" w14:textId="138B24FF">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485B77" w:rsidP="00C5062A" w14:paraId="636038EB" w14:textId="77777777">
      <w:pPr>
        <w:spacing w:after="0"/>
        <w:rPr>
          <w:rFonts w:ascii="Times New Roman" w:hAnsi="Times New Roman" w:cs="Times New Roman"/>
          <w:b/>
        </w:rPr>
      </w:pPr>
    </w:p>
    <w:p w:rsidR="00CC3CF8" w:rsidRPr="007F211A" w:rsidP="00C5062A" w14:paraId="6547F603" w14:textId="77777777">
      <w:pPr>
        <w:spacing w:after="0"/>
        <w:rPr>
          <w:rFonts w:ascii="Times New Roman" w:hAnsi="Times New Roman" w:cs="Times New Roman"/>
        </w:rPr>
      </w:pPr>
      <w:r w:rsidRPr="007F211A">
        <w:rPr>
          <w:rFonts w:ascii="Times New Roman" w:hAnsi="Times New Roman" w:cs="Times New Roman"/>
        </w:rPr>
        <w:t xml:space="preserve">A copy of the </w:t>
      </w:r>
      <w:r w:rsidRPr="007F211A" w:rsidR="0059727F">
        <w:rPr>
          <w:rFonts w:ascii="Times New Roman" w:hAnsi="Times New Roman" w:cs="Times New Roman"/>
          <w:i/>
        </w:rPr>
        <w:t>Report and Order</w:t>
      </w:r>
      <w:r w:rsidRPr="007F211A">
        <w:rPr>
          <w:rFonts w:ascii="Times New Roman" w:hAnsi="Times New Roman" w:cs="Times New Roman"/>
        </w:rPr>
        <w:t xml:space="preserve"> is available at: </w:t>
      </w:r>
    </w:p>
    <w:p w:rsidR="00C5062A" w:rsidRPr="007F211A" w:rsidP="00C5062A" w14:paraId="502FE2B9" w14:textId="198D8585">
      <w:pPr>
        <w:spacing w:after="0"/>
        <w:rPr>
          <w:rFonts w:ascii="Times New Roman" w:hAnsi="Times New Roman" w:cs="Times New Roman"/>
        </w:rPr>
      </w:pPr>
      <w:r>
        <w:fldChar w:fldCharType="begin"/>
      </w:r>
      <w:r>
        <w:instrText xml:space="preserve"> HYPERLINK "https://www.fcc.gov/document/fcc-streamlines-requirements-utility-pole-replacements-0" </w:instrText>
      </w:r>
      <w:r>
        <w:fldChar w:fldCharType="separate"/>
      </w:r>
      <w:r w:rsidRPr="007F211A" w:rsidR="0059727F">
        <w:rPr>
          <w:rStyle w:val="Hyperlink"/>
          <w:rFonts w:ascii="Times New Roman" w:hAnsi="Times New Roman" w:cs="Times New Roman"/>
        </w:rPr>
        <w:t>https://www.fcc.gov/document/fcc-streamlines-requirements-utility-pole-replacements-0</w:t>
      </w:r>
      <w:r>
        <w:fldChar w:fldCharType="end"/>
      </w:r>
      <w:r w:rsidRPr="007F211A" w:rsidR="0059727F">
        <w:rPr>
          <w:rFonts w:ascii="Times New Roman" w:hAnsi="Times New Roman" w:cs="Times New Roman"/>
        </w:rPr>
        <w:t xml:space="preserve">. </w:t>
      </w:r>
    </w:p>
    <w:p w:rsidR="00D077AB" w:rsidRPr="007F211A" w:rsidP="00C5062A" w14:paraId="74F64407" w14:textId="77777777">
      <w:pPr>
        <w:spacing w:after="0"/>
        <w:rPr>
          <w:rFonts w:ascii="Times New Roman" w:hAnsi="Times New Roman" w:cs="Times New Roman"/>
        </w:rPr>
      </w:pPr>
    </w:p>
    <w:p w:rsidR="003149AB" w:rsidP="00C5062A" w14:paraId="0432C9C4" w14:textId="3CE6736E">
      <w:pPr>
        <w:spacing w:after="0"/>
        <w:rPr>
          <w:rFonts w:ascii="Times New Roman" w:hAnsi="Times New Roman" w:cs="Times New Roman"/>
          <w:b/>
        </w:rPr>
      </w:pPr>
      <w:r w:rsidRPr="007F211A">
        <w:rPr>
          <w:rFonts w:ascii="Times New Roman" w:hAnsi="Times New Roman" w:cs="Times New Roman"/>
        </w:rPr>
        <w:t xml:space="preserve">A copy of the Federal Register Summary of the </w:t>
      </w:r>
      <w:r w:rsidRPr="007F211A" w:rsidR="00887A6A">
        <w:rPr>
          <w:rFonts w:ascii="Times New Roman" w:hAnsi="Times New Roman" w:cs="Times New Roman"/>
          <w:i/>
        </w:rPr>
        <w:t>Report and Order</w:t>
      </w:r>
      <w:r w:rsidRPr="007F211A" w:rsidR="00887A6A">
        <w:rPr>
          <w:rFonts w:ascii="Times New Roman" w:hAnsi="Times New Roman" w:cs="Times New Roman"/>
        </w:rPr>
        <w:t xml:space="preserve"> </w:t>
      </w:r>
      <w:r w:rsidRPr="007F211A">
        <w:rPr>
          <w:rFonts w:ascii="Times New Roman" w:hAnsi="Times New Roman" w:cs="Times New Roman"/>
        </w:rPr>
        <w:t xml:space="preserve">is available at: </w:t>
      </w:r>
      <w:r>
        <w:fldChar w:fldCharType="begin"/>
      </w:r>
      <w:r>
        <w:instrText xml:space="preserve"> HYPERLINK "https://www.gpo.gov/fdsys/pkg/FR-2017-12-14/pdf/2017-26940.pdf" </w:instrText>
      </w:r>
      <w:r>
        <w:fldChar w:fldCharType="separate"/>
      </w:r>
      <w:r w:rsidRPr="007F211A" w:rsidR="0059727F">
        <w:rPr>
          <w:rStyle w:val="Hyperlink"/>
          <w:rFonts w:ascii="Times New Roman" w:hAnsi="Times New Roman" w:cs="Times New Roman"/>
        </w:rPr>
        <w:t>https://www.gpo.gov/fdsys/pkg/FR-2017-12-14/pdf/2017-26940.pdf</w:t>
      </w:r>
      <w:r>
        <w:fldChar w:fldCharType="end"/>
      </w:r>
      <w:r w:rsidRPr="007F211A">
        <w:rPr>
          <w:rFonts w:ascii="Times New Roman" w:hAnsi="Times New Roman" w:cs="Times New Roman"/>
        </w:rPr>
        <w:t>.</w:t>
      </w: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p w:rsidR="00C61072" w:rsidRPr="00511023" w14:paraId="4EC7864B" w14:textId="77777777">
      <w:pPr>
        <w:spacing w:after="0"/>
        <w:rPr>
          <w:rFonts w:ascii="Times New Roman" w:hAnsi="Times New Roman" w:cs="Times New Roman"/>
          <w:b/>
        </w:rPr>
      </w:pPr>
    </w:p>
    <w:sectPr w:rsidSect="001743EF">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05" w14:paraId="4F6757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05" w14:paraId="28ED49F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ascii="Times New Roman" w:hAnsi="Times New Roman" w:cs="Times New Roman"/>
        <w:noProof/>
      </w:rPr>
    </w:sdtEndPr>
    <w:sdtContent>
      <w:p w:rsidR="001743EF" w:rsidRPr="001743EF" w14:paraId="5DEE3369" w14:textId="60B2D63D">
        <w:pPr>
          <w:pStyle w:val="Footer"/>
          <w:jc w:val="center"/>
          <w:rPr>
            <w:rFonts w:ascii="Times New Roman" w:hAnsi="Times New Roman" w:cs="Times New Roman"/>
          </w:rPr>
        </w:pPr>
        <w:r w:rsidRPr="001743EF">
          <w:rPr>
            <w:rFonts w:ascii="Times New Roman" w:hAnsi="Times New Roman" w:cs="Times New Roman"/>
          </w:rPr>
          <w:fldChar w:fldCharType="begin"/>
        </w:r>
        <w:r w:rsidRPr="001743EF">
          <w:rPr>
            <w:rFonts w:ascii="Times New Roman" w:hAnsi="Times New Roman" w:cs="Times New Roman"/>
          </w:rPr>
          <w:instrText xml:space="preserve"> PAGE   \* MERGEFORMAT </w:instrText>
        </w:r>
        <w:r w:rsidRPr="001743EF">
          <w:rPr>
            <w:rFonts w:ascii="Times New Roman" w:hAnsi="Times New Roman" w:cs="Times New Roman"/>
          </w:rPr>
          <w:fldChar w:fldCharType="separate"/>
        </w:r>
        <w:r w:rsidR="001A5AF0">
          <w:rPr>
            <w:rFonts w:ascii="Times New Roman" w:hAnsi="Times New Roman" w:cs="Times New Roman"/>
            <w:noProof/>
          </w:rPr>
          <w:t>2</w:t>
        </w:r>
        <w:r w:rsidRPr="001743EF">
          <w:rPr>
            <w:rFonts w:ascii="Times New Roman" w:hAnsi="Times New Roman" w:cs="Times New Roman"/>
            <w:noProof/>
          </w:rPr>
          <w:fldChar w:fldCharType="end"/>
        </w:r>
      </w:p>
    </w:sdtContent>
  </w:sdt>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5EAE" w:rsidP="00034878" w14:paraId="7F5448BE" w14:textId="77777777">
      <w:pPr>
        <w:spacing w:after="0" w:line="240" w:lineRule="auto"/>
      </w:pPr>
      <w:r>
        <w:separator/>
      </w:r>
    </w:p>
  </w:footnote>
  <w:footnote w:type="continuationSeparator" w:id="1">
    <w:p w:rsidR="00275EAE" w:rsidP="00034878" w14:paraId="0C2EB749" w14:textId="77777777">
      <w:pPr>
        <w:spacing w:after="0" w:line="240" w:lineRule="auto"/>
      </w:pPr>
      <w:r>
        <w:continuationSeparator/>
      </w:r>
    </w:p>
  </w:footnote>
  <w:footnote w:id="2">
    <w:p w:rsidR="002C3B35" w:rsidRPr="007F211A" w:rsidP="002C3B35" w14:paraId="08170D9E" w14:textId="77777777">
      <w:pPr>
        <w:pStyle w:val="FootnoteText"/>
        <w:rPr>
          <w:rFonts w:ascii="Times New Roman" w:hAnsi="Times New Roman" w:cs="Times New Roman"/>
        </w:rPr>
      </w:pPr>
      <w:r w:rsidRPr="007F211A">
        <w:rPr>
          <w:rStyle w:val="FootnoteReference"/>
          <w:rFonts w:ascii="Times New Roman" w:hAnsi="Times New Roman" w:cs="Times New Roman"/>
        </w:rPr>
        <w:footnoteRef/>
      </w:r>
      <w:r w:rsidRPr="007F211A">
        <w:rPr>
          <w:rFonts w:ascii="Times New Roman" w:hAnsi="Times New Roman" w:cs="Times New Roman"/>
        </w:rPr>
        <w:t xml:space="preserve"> 54 U.S.C. § 306108.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05" w14:paraId="10728E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760EC7" w14:paraId="0B5C5E41" w14:textId="133D964A">
    <w:pPr>
      <w:pStyle w:val="Header"/>
      <w:tabs>
        <w:tab w:val="left" w:pos="2160"/>
      </w:tabs>
      <w:spacing w:before="360" w:line="228" w:lineRule="auto"/>
      <w:ind w:left="252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86859591" r:id="rId2"/>
      </w:pict>
    </w:r>
    <w:r>
      <w:rPr>
        <w:rFonts w:ascii="CG Times (W1)" w:hAnsi="CG Times (W1)"/>
        <w:sz w:val="28"/>
      </w:rPr>
      <w:t>Federal Communications Commission</w:t>
    </w:r>
  </w:p>
  <w:p w:rsidR="007F211A" w:rsidP="00760EC7" w14:paraId="03DDE273" w14:textId="2A183334">
    <w:pPr>
      <w:tabs>
        <w:tab w:val="left" w:pos="1440"/>
        <w:tab w:val="left" w:pos="2160"/>
      </w:tabs>
      <w:spacing w:after="0"/>
      <w:ind w:left="3420"/>
      <w:rPr>
        <w:rFonts w:ascii="CG Times (W1)" w:hAnsi="CG Times (W1)"/>
        <w:sz w:val="28"/>
      </w:rPr>
    </w:pPr>
    <w:r>
      <w:rPr>
        <w:rFonts w:ascii="CG Times (W1)" w:hAnsi="CG Times (W1)"/>
        <w:sz w:val="28"/>
      </w:rPr>
      <w:t>Washington, D.C. 20554</w:t>
    </w:r>
  </w:p>
  <w:p w:rsidR="00121A4A" w:rsidRPr="003172B5" w:rsidP="00760EC7" w14:paraId="0675F8B2" w14:textId="498B7892">
    <w:pPr>
      <w:tabs>
        <w:tab w:val="left" w:pos="1440"/>
        <w:tab w:val="left" w:pos="2160"/>
      </w:tabs>
      <w:spacing w:after="0"/>
      <w:ind w:left="3960"/>
      <w:rPr>
        <w:sz w:val="24"/>
        <w:szCs w:val="24"/>
      </w:rPr>
    </w:pPr>
    <w:r>
      <w:rPr>
        <w:rFonts w:ascii="CG Times (W1)" w:hAnsi="CG Times (W1)"/>
        <w:sz w:val="24"/>
        <w:szCs w:val="24"/>
      </w:rPr>
      <w:t xml:space="preserve">May </w:t>
    </w:r>
    <w:r w:rsidR="001A5AF0">
      <w:rPr>
        <w:rFonts w:ascii="CG Times (W1)" w:hAnsi="CG Times (W1)"/>
        <w:sz w:val="24"/>
        <w:szCs w:val="24"/>
      </w:rPr>
      <w:t>3</w:t>
    </w:r>
    <w:r w:rsidRPr="003172B5">
      <w:rPr>
        <w:rFonts w:ascii="CG Times (W1)" w:hAnsi="CG Times (W1)"/>
        <w:sz w:val="24"/>
        <w:szCs w:val="24"/>
      </w:rPr>
      <w:t>, 20</w:t>
    </w:r>
    <w:r w:rsidR="001D73AC">
      <w:rPr>
        <w:rFonts w:ascii="CG Times (W1)" w:hAnsi="CG Times (W1)"/>
        <w:sz w:val="24"/>
        <w:szCs w:val="24"/>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505" w14:paraId="68875A1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8AF408B"/>
    <w:multiLevelType w:val="hybridMultilevel"/>
    <w:tmpl w:val="7CD809D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BE45563"/>
    <w:multiLevelType w:val="hybridMultilevel"/>
    <w:tmpl w:val="AF829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A61336"/>
    <w:multiLevelType w:val="hybridMultilevel"/>
    <w:tmpl w:val="F10E46B6"/>
    <w:lvl w:ilvl="0">
      <w:start w:val="1"/>
      <w:numFmt w:val="lowerRoman"/>
      <w:lvlText w:val="(%1)"/>
      <w:lvlJc w:val="left"/>
      <w:pPr>
        <w:ind w:left="1440" w:hanging="720"/>
      </w:pPr>
      <w:rPr>
        <w:rFonts w:hint="default"/>
      </w:rPr>
    </w:lvl>
    <w:lvl w:ilvl="1">
      <w:start w:val="1"/>
      <w:numFmt w:val="upp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2"/>
  </w:num>
  <w:num w:numId="5">
    <w:abstractNumId w:val="12"/>
  </w:num>
  <w:num w:numId="6">
    <w:abstractNumId w:val="5"/>
  </w:num>
  <w:num w:numId="7">
    <w:abstractNumId w:val="0"/>
  </w:num>
  <w:num w:numId="8">
    <w:abstractNumId w:val="10"/>
  </w:num>
  <w:num w:numId="9">
    <w:abstractNumId w:val="7"/>
  </w:num>
  <w:num w:numId="10">
    <w:abstractNumId w:val="1"/>
  </w:num>
  <w:num w:numId="11">
    <w:abstractNumId w:val="6"/>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E"/>
    <w:rsid w:val="00001A95"/>
    <w:rsid w:val="00006175"/>
    <w:rsid w:val="0000705E"/>
    <w:rsid w:val="00013982"/>
    <w:rsid w:val="0001453A"/>
    <w:rsid w:val="00025AB0"/>
    <w:rsid w:val="000320CC"/>
    <w:rsid w:val="00034878"/>
    <w:rsid w:val="000601FD"/>
    <w:rsid w:val="00065CC8"/>
    <w:rsid w:val="00066CB4"/>
    <w:rsid w:val="00074CA4"/>
    <w:rsid w:val="00087A8B"/>
    <w:rsid w:val="00087BBD"/>
    <w:rsid w:val="0009430B"/>
    <w:rsid w:val="000A73F9"/>
    <w:rsid w:val="000B1573"/>
    <w:rsid w:val="000B7E9D"/>
    <w:rsid w:val="000C1FA6"/>
    <w:rsid w:val="000D0CFE"/>
    <w:rsid w:val="000D2F0F"/>
    <w:rsid w:val="000D790A"/>
    <w:rsid w:val="000E4E16"/>
    <w:rsid w:val="000F2F9E"/>
    <w:rsid w:val="000F616D"/>
    <w:rsid w:val="000F7BE7"/>
    <w:rsid w:val="00115515"/>
    <w:rsid w:val="00121A4A"/>
    <w:rsid w:val="00131CCC"/>
    <w:rsid w:val="001338B0"/>
    <w:rsid w:val="00133D08"/>
    <w:rsid w:val="00152909"/>
    <w:rsid w:val="001544BD"/>
    <w:rsid w:val="00173AB8"/>
    <w:rsid w:val="001743EF"/>
    <w:rsid w:val="00182C06"/>
    <w:rsid w:val="001961AA"/>
    <w:rsid w:val="001969E3"/>
    <w:rsid w:val="001A1EAC"/>
    <w:rsid w:val="001A5AF0"/>
    <w:rsid w:val="001D6690"/>
    <w:rsid w:val="001D73AC"/>
    <w:rsid w:val="00222157"/>
    <w:rsid w:val="00230205"/>
    <w:rsid w:val="002309B7"/>
    <w:rsid w:val="00233B90"/>
    <w:rsid w:val="00243CE9"/>
    <w:rsid w:val="00247E1B"/>
    <w:rsid w:val="00253E6B"/>
    <w:rsid w:val="002641C0"/>
    <w:rsid w:val="00275EAE"/>
    <w:rsid w:val="00282849"/>
    <w:rsid w:val="00283FD1"/>
    <w:rsid w:val="00286EA8"/>
    <w:rsid w:val="00292357"/>
    <w:rsid w:val="002973BD"/>
    <w:rsid w:val="002A57BD"/>
    <w:rsid w:val="002A5D69"/>
    <w:rsid w:val="002A73FE"/>
    <w:rsid w:val="002B11B3"/>
    <w:rsid w:val="002B6FD0"/>
    <w:rsid w:val="002C1EA9"/>
    <w:rsid w:val="002C3B35"/>
    <w:rsid w:val="002D0DED"/>
    <w:rsid w:val="002F683E"/>
    <w:rsid w:val="002F7376"/>
    <w:rsid w:val="003017A1"/>
    <w:rsid w:val="003149AB"/>
    <w:rsid w:val="003150A4"/>
    <w:rsid w:val="003172B5"/>
    <w:rsid w:val="00320D58"/>
    <w:rsid w:val="00330480"/>
    <w:rsid w:val="003322AF"/>
    <w:rsid w:val="00333953"/>
    <w:rsid w:val="00334EB4"/>
    <w:rsid w:val="003423E5"/>
    <w:rsid w:val="0034659A"/>
    <w:rsid w:val="0036152C"/>
    <w:rsid w:val="00363A39"/>
    <w:rsid w:val="00364D35"/>
    <w:rsid w:val="00367858"/>
    <w:rsid w:val="003733F4"/>
    <w:rsid w:val="003837F4"/>
    <w:rsid w:val="003D1B5B"/>
    <w:rsid w:val="003D226E"/>
    <w:rsid w:val="003E1317"/>
    <w:rsid w:val="003E344A"/>
    <w:rsid w:val="003E41BB"/>
    <w:rsid w:val="003F1DFC"/>
    <w:rsid w:val="003F5CB7"/>
    <w:rsid w:val="004008B8"/>
    <w:rsid w:val="0040311E"/>
    <w:rsid w:val="00404FCC"/>
    <w:rsid w:val="004126D5"/>
    <w:rsid w:val="00463A2A"/>
    <w:rsid w:val="00470817"/>
    <w:rsid w:val="004740BF"/>
    <w:rsid w:val="004749A4"/>
    <w:rsid w:val="00485B77"/>
    <w:rsid w:val="00491D54"/>
    <w:rsid w:val="00491F77"/>
    <w:rsid w:val="004B6491"/>
    <w:rsid w:val="004B7242"/>
    <w:rsid w:val="004E02F6"/>
    <w:rsid w:val="004F3108"/>
    <w:rsid w:val="004F68F6"/>
    <w:rsid w:val="0050544C"/>
    <w:rsid w:val="00511023"/>
    <w:rsid w:val="00514667"/>
    <w:rsid w:val="005275C1"/>
    <w:rsid w:val="00527F85"/>
    <w:rsid w:val="00536F96"/>
    <w:rsid w:val="005449FD"/>
    <w:rsid w:val="005632C2"/>
    <w:rsid w:val="0057027D"/>
    <w:rsid w:val="005717FB"/>
    <w:rsid w:val="0057368A"/>
    <w:rsid w:val="005869BB"/>
    <w:rsid w:val="0059727F"/>
    <w:rsid w:val="005B3852"/>
    <w:rsid w:val="005C1817"/>
    <w:rsid w:val="005E70B7"/>
    <w:rsid w:val="00601165"/>
    <w:rsid w:val="00605883"/>
    <w:rsid w:val="00606AAD"/>
    <w:rsid w:val="00610B56"/>
    <w:rsid w:val="0061491F"/>
    <w:rsid w:val="006175DB"/>
    <w:rsid w:val="006270DD"/>
    <w:rsid w:val="00636FF4"/>
    <w:rsid w:val="00637613"/>
    <w:rsid w:val="0064762D"/>
    <w:rsid w:val="00657EA8"/>
    <w:rsid w:val="00670E9A"/>
    <w:rsid w:val="00677244"/>
    <w:rsid w:val="00682134"/>
    <w:rsid w:val="00683C2E"/>
    <w:rsid w:val="006A0193"/>
    <w:rsid w:val="006B29D8"/>
    <w:rsid w:val="006B4F31"/>
    <w:rsid w:val="006C3BDD"/>
    <w:rsid w:val="006E50A3"/>
    <w:rsid w:val="006E542F"/>
    <w:rsid w:val="006F117F"/>
    <w:rsid w:val="006F2901"/>
    <w:rsid w:val="006F411B"/>
    <w:rsid w:val="006F50E1"/>
    <w:rsid w:val="00701319"/>
    <w:rsid w:val="00710461"/>
    <w:rsid w:val="00716724"/>
    <w:rsid w:val="0071683A"/>
    <w:rsid w:val="00731C50"/>
    <w:rsid w:val="00734B5A"/>
    <w:rsid w:val="00735330"/>
    <w:rsid w:val="00740ED6"/>
    <w:rsid w:val="0075573C"/>
    <w:rsid w:val="00760EC7"/>
    <w:rsid w:val="00765ABD"/>
    <w:rsid w:val="007741ED"/>
    <w:rsid w:val="00791348"/>
    <w:rsid w:val="007A1B25"/>
    <w:rsid w:val="007A6C90"/>
    <w:rsid w:val="007B4410"/>
    <w:rsid w:val="007E64DB"/>
    <w:rsid w:val="007F0A80"/>
    <w:rsid w:val="007F211A"/>
    <w:rsid w:val="007F457B"/>
    <w:rsid w:val="0080755B"/>
    <w:rsid w:val="008104E2"/>
    <w:rsid w:val="00811BCD"/>
    <w:rsid w:val="008178D8"/>
    <w:rsid w:val="00821520"/>
    <w:rsid w:val="00831688"/>
    <w:rsid w:val="0084288C"/>
    <w:rsid w:val="00864203"/>
    <w:rsid w:val="008833D8"/>
    <w:rsid w:val="00885C6A"/>
    <w:rsid w:val="00887A6A"/>
    <w:rsid w:val="0089254C"/>
    <w:rsid w:val="008C1077"/>
    <w:rsid w:val="008C3B06"/>
    <w:rsid w:val="008D4AA5"/>
    <w:rsid w:val="008D64B1"/>
    <w:rsid w:val="008E1594"/>
    <w:rsid w:val="008E2841"/>
    <w:rsid w:val="008E38F5"/>
    <w:rsid w:val="008F02BA"/>
    <w:rsid w:val="008F2EF8"/>
    <w:rsid w:val="008F3D98"/>
    <w:rsid w:val="00906780"/>
    <w:rsid w:val="009464B8"/>
    <w:rsid w:val="0095028B"/>
    <w:rsid w:val="0095132F"/>
    <w:rsid w:val="00951C24"/>
    <w:rsid w:val="009533CF"/>
    <w:rsid w:val="00972776"/>
    <w:rsid w:val="00972B46"/>
    <w:rsid w:val="009827ED"/>
    <w:rsid w:val="00996590"/>
    <w:rsid w:val="009A61EC"/>
    <w:rsid w:val="009B3815"/>
    <w:rsid w:val="009B41FC"/>
    <w:rsid w:val="009C31A5"/>
    <w:rsid w:val="009C5AF7"/>
    <w:rsid w:val="009C7F6E"/>
    <w:rsid w:val="00A0751E"/>
    <w:rsid w:val="00A422B6"/>
    <w:rsid w:val="00A7291E"/>
    <w:rsid w:val="00A73E1E"/>
    <w:rsid w:val="00A840CE"/>
    <w:rsid w:val="00A91654"/>
    <w:rsid w:val="00AA34B7"/>
    <w:rsid w:val="00AA7D23"/>
    <w:rsid w:val="00AB1D1E"/>
    <w:rsid w:val="00AB1E95"/>
    <w:rsid w:val="00AC1A95"/>
    <w:rsid w:val="00AC5039"/>
    <w:rsid w:val="00AC6478"/>
    <w:rsid w:val="00AD0BD0"/>
    <w:rsid w:val="00AD7A25"/>
    <w:rsid w:val="00B036A5"/>
    <w:rsid w:val="00B046AF"/>
    <w:rsid w:val="00B0585E"/>
    <w:rsid w:val="00B06D94"/>
    <w:rsid w:val="00B12C82"/>
    <w:rsid w:val="00B148F7"/>
    <w:rsid w:val="00B15ED8"/>
    <w:rsid w:val="00B407F2"/>
    <w:rsid w:val="00B47D0B"/>
    <w:rsid w:val="00B47F48"/>
    <w:rsid w:val="00B5003A"/>
    <w:rsid w:val="00B57528"/>
    <w:rsid w:val="00B629FE"/>
    <w:rsid w:val="00B73DDA"/>
    <w:rsid w:val="00B7401E"/>
    <w:rsid w:val="00B8024D"/>
    <w:rsid w:val="00B81F96"/>
    <w:rsid w:val="00B849ED"/>
    <w:rsid w:val="00B9308F"/>
    <w:rsid w:val="00BA1697"/>
    <w:rsid w:val="00BB1633"/>
    <w:rsid w:val="00BC7810"/>
    <w:rsid w:val="00BD0E65"/>
    <w:rsid w:val="00BF1505"/>
    <w:rsid w:val="00BF1B40"/>
    <w:rsid w:val="00BF51F0"/>
    <w:rsid w:val="00C235FA"/>
    <w:rsid w:val="00C37AC8"/>
    <w:rsid w:val="00C47CEF"/>
    <w:rsid w:val="00C5062A"/>
    <w:rsid w:val="00C5761E"/>
    <w:rsid w:val="00C61072"/>
    <w:rsid w:val="00C67CA7"/>
    <w:rsid w:val="00CC1EC9"/>
    <w:rsid w:val="00CC3CF8"/>
    <w:rsid w:val="00CC7874"/>
    <w:rsid w:val="00CD59E5"/>
    <w:rsid w:val="00CE6F30"/>
    <w:rsid w:val="00D01856"/>
    <w:rsid w:val="00D077AB"/>
    <w:rsid w:val="00D200C4"/>
    <w:rsid w:val="00D25560"/>
    <w:rsid w:val="00D34D21"/>
    <w:rsid w:val="00D3573A"/>
    <w:rsid w:val="00D36C97"/>
    <w:rsid w:val="00D4618C"/>
    <w:rsid w:val="00D47DB5"/>
    <w:rsid w:val="00D563C6"/>
    <w:rsid w:val="00D91EE9"/>
    <w:rsid w:val="00DA51FF"/>
    <w:rsid w:val="00DA673B"/>
    <w:rsid w:val="00DA6B99"/>
    <w:rsid w:val="00DB4D1A"/>
    <w:rsid w:val="00DB784D"/>
    <w:rsid w:val="00DC0F35"/>
    <w:rsid w:val="00DC5B9C"/>
    <w:rsid w:val="00DD2774"/>
    <w:rsid w:val="00DE567B"/>
    <w:rsid w:val="00DE653F"/>
    <w:rsid w:val="00E154FC"/>
    <w:rsid w:val="00E2092F"/>
    <w:rsid w:val="00E446F0"/>
    <w:rsid w:val="00E47D90"/>
    <w:rsid w:val="00E56A46"/>
    <w:rsid w:val="00E70694"/>
    <w:rsid w:val="00E87D02"/>
    <w:rsid w:val="00E97A21"/>
    <w:rsid w:val="00EA4DD4"/>
    <w:rsid w:val="00EB64E6"/>
    <w:rsid w:val="00EB69E7"/>
    <w:rsid w:val="00EC30F1"/>
    <w:rsid w:val="00EC723E"/>
    <w:rsid w:val="00ED5EC2"/>
    <w:rsid w:val="00ED7745"/>
    <w:rsid w:val="00EF4B82"/>
    <w:rsid w:val="00EF577D"/>
    <w:rsid w:val="00F0469C"/>
    <w:rsid w:val="00F1379B"/>
    <w:rsid w:val="00F25963"/>
    <w:rsid w:val="00F41273"/>
    <w:rsid w:val="00F41568"/>
    <w:rsid w:val="00F426F6"/>
    <w:rsid w:val="00F4281B"/>
    <w:rsid w:val="00F43AD3"/>
    <w:rsid w:val="00F445A1"/>
    <w:rsid w:val="00F4551F"/>
    <w:rsid w:val="00F50360"/>
    <w:rsid w:val="00F51220"/>
    <w:rsid w:val="00F75BD2"/>
    <w:rsid w:val="00FE30EB"/>
    <w:rsid w:val="00FE346F"/>
    <w:rsid w:val="00FF2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paragraph" w:styleId="Revision">
    <w:name w:val="Revision"/>
    <w:hidden/>
    <w:uiPriority w:val="99"/>
    <w:semiHidden/>
    <w:rsid w:val="0056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3AB2-A6FA-4BA5-9B4B-E4FA19EE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2018-05-03T17:33:53Z</dcterms:created>
  <dcterms:modified xsi:type="dcterms:W3CDTF">2018-05-03T17:33:53Z</dcterms:modified>
</cp:coreProperties>
</file>