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5359C" w:rsidRPr="00AA3770" w:rsidP="00AA3770" w14:paraId="6E3C7825" w14:textId="77777777">
      <w:pPr>
        <w:tabs>
          <w:tab w:val="left" w:pos="9631"/>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0" w:name="_GoBack"/>
      <w:bookmarkEnd w:id="0"/>
      <w:r>
        <w:tab/>
      </w:r>
    </w:p>
    <w:p w:rsidR="0025359C" w:rsidRPr="004659D6" w:rsidP="0025359C" w14:paraId="20DA108A" w14:textId="03756950">
      <w:pPr>
        <w:jc w:val="right"/>
        <w:rPr>
          <w:b/>
          <w:szCs w:val="22"/>
        </w:rPr>
      </w:pPr>
      <w:r>
        <w:rPr>
          <w:b/>
          <w:szCs w:val="22"/>
        </w:rPr>
        <w:t xml:space="preserve">DA </w:t>
      </w:r>
      <w:r w:rsidRPr="001B777E">
        <w:rPr>
          <w:b/>
          <w:szCs w:val="22"/>
        </w:rPr>
        <w:t>18</w:t>
      </w:r>
      <w:r w:rsidRPr="001B777E">
        <w:rPr>
          <w:b/>
          <w:szCs w:val="22"/>
        </w:rPr>
        <w:t>-</w:t>
      </w:r>
      <w:r w:rsidR="00A038DF">
        <w:rPr>
          <w:b/>
          <w:szCs w:val="22"/>
        </w:rPr>
        <w:t>475</w:t>
      </w:r>
    </w:p>
    <w:p w:rsidR="0025359C" w:rsidRPr="004659D6" w:rsidP="0025359C" w14:paraId="68B94397" w14:textId="77777777">
      <w:pPr>
        <w:spacing w:before="60"/>
        <w:jc w:val="right"/>
        <w:rPr>
          <w:b/>
          <w:szCs w:val="22"/>
        </w:rPr>
      </w:pPr>
      <w:r w:rsidRPr="004659D6">
        <w:rPr>
          <w:b/>
          <w:szCs w:val="22"/>
        </w:rPr>
        <w:t xml:space="preserve">Released:  </w:t>
      </w:r>
      <w:r w:rsidRPr="001B777E" w:rsidR="007029C0">
        <w:rPr>
          <w:b/>
          <w:szCs w:val="22"/>
        </w:rPr>
        <w:t>May</w:t>
      </w:r>
      <w:r w:rsidRPr="001B777E" w:rsidR="00EB46B4">
        <w:rPr>
          <w:b/>
          <w:szCs w:val="22"/>
        </w:rPr>
        <w:t xml:space="preserve"> </w:t>
      </w:r>
      <w:r w:rsidRPr="001B777E" w:rsidR="007029C0">
        <w:rPr>
          <w:b/>
          <w:szCs w:val="22"/>
        </w:rPr>
        <w:t>8</w:t>
      </w:r>
      <w:r w:rsidRPr="001B777E">
        <w:rPr>
          <w:b/>
          <w:szCs w:val="22"/>
        </w:rPr>
        <w:t>, 201</w:t>
      </w:r>
      <w:r w:rsidRPr="001B777E" w:rsidR="007029C0">
        <w:rPr>
          <w:b/>
          <w:szCs w:val="22"/>
        </w:rPr>
        <w:t>8</w:t>
      </w:r>
    </w:p>
    <w:p w:rsidR="0025359C" w:rsidRPr="004659D6" w:rsidP="0025359C" w14:paraId="2662E04F" w14:textId="77777777">
      <w:pPr>
        <w:jc w:val="right"/>
        <w:rPr>
          <w:szCs w:val="22"/>
        </w:rPr>
      </w:pPr>
    </w:p>
    <w:p w:rsidR="0025359C" w:rsidRPr="004659D6" w:rsidP="009E0779" w14:paraId="3A43F21E" w14:textId="7807B542">
      <w:pPr>
        <w:jc w:val="center"/>
        <w:rPr>
          <w:b/>
          <w:szCs w:val="22"/>
        </w:rPr>
      </w:pPr>
      <w:bookmarkStart w:id="1" w:name="_Hlk513559889"/>
      <w:r>
        <w:rPr>
          <w:b/>
          <w:szCs w:val="22"/>
        </w:rPr>
        <w:t xml:space="preserve">PLEADING CYCLE ESTABLISHED FOR COMMENTS </w:t>
      </w:r>
      <w:r w:rsidRPr="004659D6">
        <w:rPr>
          <w:b/>
          <w:szCs w:val="22"/>
        </w:rPr>
        <w:t xml:space="preserve">ON </w:t>
      </w:r>
      <w:r w:rsidR="00EB46B4">
        <w:rPr>
          <w:b/>
          <w:szCs w:val="22"/>
        </w:rPr>
        <w:t>USTELECOM’S</w:t>
      </w:r>
      <w:r>
        <w:rPr>
          <w:b/>
          <w:szCs w:val="22"/>
        </w:rPr>
        <w:t xml:space="preserve"> PETITION FOR FOR</w:t>
      </w:r>
      <w:r w:rsidRPr="004659D6">
        <w:rPr>
          <w:b/>
          <w:szCs w:val="22"/>
        </w:rPr>
        <w:t>BEARANCE</w:t>
      </w:r>
      <w:r w:rsidR="009E0779">
        <w:rPr>
          <w:b/>
          <w:szCs w:val="22"/>
        </w:rPr>
        <w:t xml:space="preserve"> </w:t>
      </w:r>
      <w:r>
        <w:rPr>
          <w:b/>
          <w:szCs w:val="22"/>
        </w:rPr>
        <w:t xml:space="preserve">FROM </w:t>
      </w:r>
      <w:r w:rsidR="005F1178">
        <w:rPr>
          <w:b/>
          <w:szCs w:val="22"/>
        </w:rPr>
        <w:t>SECTION 251(c)</w:t>
      </w:r>
      <w:r w:rsidR="007029C0">
        <w:rPr>
          <w:b/>
          <w:szCs w:val="22"/>
        </w:rPr>
        <w:t xml:space="preserve"> </w:t>
      </w:r>
      <w:r w:rsidR="00691EB6">
        <w:rPr>
          <w:b/>
          <w:szCs w:val="22"/>
        </w:rPr>
        <w:t xml:space="preserve">UNBUNDLING </w:t>
      </w:r>
      <w:r w:rsidR="00094905">
        <w:rPr>
          <w:b/>
          <w:szCs w:val="22"/>
        </w:rPr>
        <w:t xml:space="preserve">AND RESALE </w:t>
      </w:r>
      <w:r w:rsidR="00691EB6">
        <w:rPr>
          <w:b/>
          <w:szCs w:val="22"/>
        </w:rPr>
        <w:t>REQUIREMENTS AND RELATED</w:t>
      </w:r>
      <w:r w:rsidR="007029C0">
        <w:rPr>
          <w:b/>
          <w:szCs w:val="22"/>
        </w:rPr>
        <w:t xml:space="preserve"> OBLIGATIONS</w:t>
      </w:r>
      <w:r w:rsidR="00094905">
        <w:rPr>
          <w:b/>
          <w:szCs w:val="22"/>
        </w:rPr>
        <w:t xml:space="preserve">, AND </w:t>
      </w:r>
      <w:r w:rsidR="007B1F28">
        <w:rPr>
          <w:b/>
          <w:szCs w:val="22"/>
        </w:rPr>
        <w:t xml:space="preserve">CERTAIN </w:t>
      </w:r>
      <w:r w:rsidR="00094905">
        <w:rPr>
          <w:b/>
          <w:szCs w:val="22"/>
        </w:rPr>
        <w:t>SECTION 271 AND 272 REQUIREMENTS</w:t>
      </w:r>
    </w:p>
    <w:p w:rsidR="009E0779" w:rsidP="0025359C" w14:paraId="5BAC444F" w14:textId="77777777">
      <w:pPr>
        <w:jc w:val="center"/>
        <w:rPr>
          <w:b/>
          <w:szCs w:val="22"/>
        </w:rPr>
      </w:pPr>
      <w:bookmarkEnd w:id="1"/>
    </w:p>
    <w:p w:rsidR="00EB46B4" w:rsidRPr="004659D6" w:rsidP="0025359C" w14:paraId="7AC57B9D" w14:textId="77777777">
      <w:pPr>
        <w:jc w:val="center"/>
        <w:rPr>
          <w:b/>
          <w:szCs w:val="22"/>
        </w:rPr>
      </w:pPr>
      <w:r>
        <w:rPr>
          <w:b/>
          <w:szCs w:val="22"/>
        </w:rPr>
        <w:t xml:space="preserve">WC Docket No. </w:t>
      </w:r>
      <w:r w:rsidR="007029C0">
        <w:rPr>
          <w:b/>
          <w:szCs w:val="22"/>
        </w:rPr>
        <w:t>18-</w:t>
      </w:r>
      <w:r w:rsidRPr="001B777E" w:rsidR="001B777E">
        <w:rPr>
          <w:b/>
          <w:szCs w:val="22"/>
        </w:rPr>
        <w:t>141</w:t>
      </w:r>
    </w:p>
    <w:p w:rsidR="0025359C" w:rsidRPr="004659D6" w:rsidP="000C159F" w14:paraId="05242BFA" w14:textId="77777777">
      <w:pPr>
        <w:tabs>
          <w:tab w:val="left" w:pos="750"/>
        </w:tabs>
        <w:rPr>
          <w:szCs w:val="22"/>
        </w:rPr>
      </w:pPr>
      <w:r>
        <w:rPr>
          <w:szCs w:val="22"/>
        </w:rPr>
        <w:tab/>
      </w:r>
    </w:p>
    <w:p w:rsidR="0025359C" w:rsidRPr="001B777E" w:rsidP="00EB46B4" w14:paraId="57B7C5B3" w14:textId="77777777">
      <w:pPr>
        <w:rPr>
          <w:b/>
          <w:szCs w:val="22"/>
        </w:rPr>
      </w:pPr>
      <w:r w:rsidRPr="004659D6">
        <w:rPr>
          <w:b/>
          <w:szCs w:val="22"/>
        </w:rPr>
        <w:t>Comment</w:t>
      </w:r>
      <w:r>
        <w:rPr>
          <w:b/>
          <w:szCs w:val="22"/>
        </w:rPr>
        <w:t>s or Oppositions Due</w:t>
      </w:r>
      <w:r w:rsidRPr="001B777E">
        <w:rPr>
          <w:b/>
          <w:szCs w:val="22"/>
        </w:rPr>
        <w:t xml:space="preserve">:  </w:t>
      </w:r>
      <w:r w:rsidRPr="001B777E" w:rsidR="007029C0">
        <w:rPr>
          <w:b/>
          <w:szCs w:val="22"/>
        </w:rPr>
        <w:t>June 7</w:t>
      </w:r>
      <w:r w:rsidRPr="001B777E">
        <w:rPr>
          <w:b/>
          <w:szCs w:val="22"/>
        </w:rPr>
        <w:t>, 201</w:t>
      </w:r>
      <w:r w:rsidRPr="001B777E" w:rsidR="007029C0">
        <w:rPr>
          <w:b/>
          <w:szCs w:val="22"/>
        </w:rPr>
        <w:t>8</w:t>
      </w:r>
    </w:p>
    <w:p w:rsidR="0025359C" w:rsidRPr="004659D6" w:rsidP="0025359C" w14:paraId="4028407D" w14:textId="77777777">
      <w:pPr>
        <w:spacing w:after="240"/>
        <w:rPr>
          <w:szCs w:val="22"/>
        </w:rPr>
      </w:pPr>
      <w:r w:rsidRPr="001B777E">
        <w:rPr>
          <w:b/>
          <w:szCs w:val="22"/>
        </w:rPr>
        <w:t xml:space="preserve">Reply Comments Due:  </w:t>
      </w:r>
      <w:r w:rsidRPr="001B777E" w:rsidR="007029C0">
        <w:rPr>
          <w:b/>
          <w:szCs w:val="22"/>
        </w:rPr>
        <w:t>June 22</w:t>
      </w:r>
      <w:r w:rsidRPr="001B777E">
        <w:rPr>
          <w:b/>
          <w:szCs w:val="22"/>
        </w:rPr>
        <w:t>, 201</w:t>
      </w:r>
      <w:r w:rsidRPr="001B777E" w:rsidR="007029C0">
        <w:rPr>
          <w:b/>
          <w:szCs w:val="22"/>
        </w:rPr>
        <w:t>8</w:t>
      </w:r>
    </w:p>
    <w:p w:rsidR="001B777E" w:rsidP="00FB0980" w14:paraId="633EDACB" w14:textId="52D93CCC">
      <w:pPr>
        <w:spacing w:after="120"/>
        <w:rPr>
          <w:szCs w:val="22"/>
        </w:rPr>
      </w:pPr>
      <w:r w:rsidRPr="004659D6">
        <w:rPr>
          <w:szCs w:val="22"/>
        </w:rPr>
        <w:tab/>
        <w:t>On</w:t>
      </w:r>
      <w:r>
        <w:rPr>
          <w:szCs w:val="22"/>
        </w:rPr>
        <w:t xml:space="preserve"> </w:t>
      </w:r>
      <w:r w:rsidR="007029C0">
        <w:rPr>
          <w:szCs w:val="22"/>
        </w:rPr>
        <w:t>May 4, 2018</w:t>
      </w:r>
      <w:r w:rsidR="00500A42">
        <w:rPr>
          <w:szCs w:val="22"/>
        </w:rPr>
        <w:t>,</w:t>
      </w:r>
      <w:r w:rsidR="00697082">
        <w:rPr>
          <w:szCs w:val="22"/>
        </w:rPr>
        <w:t xml:space="preserve"> </w:t>
      </w:r>
      <w:r w:rsidR="007029C0">
        <w:rPr>
          <w:szCs w:val="22"/>
        </w:rPr>
        <w:t>US</w:t>
      </w:r>
      <w:r>
        <w:rPr>
          <w:szCs w:val="22"/>
        </w:rPr>
        <w:t>Telecom</w:t>
      </w:r>
      <w:r w:rsidR="002E4059">
        <w:rPr>
          <w:szCs w:val="22"/>
        </w:rPr>
        <w:t>—</w:t>
      </w:r>
      <w:r>
        <w:rPr>
          <w:szCs w:val="22"/>
        </w:rPr>
        <w:t xml:space="preserve">The Broadband Association </w:t>
      </w:r>
      <w:r w:rsidR="00697082">
        <w:rPr>
          <w:szCs w:val="22"/>
        </w:rPr>
        <w:t xml:space="preserve">(USTelecom) </w:t>
      </w:r>
      <w:r>
        <w:rPr>
          <w:szCs w:val="22"/>
        </w:rPr>
        <w:t>filed a</w:t>
      </w:r>
      <w:r w:rsidR="00697082">
        <w:rPr>
          <w:szCs w:val="22"/>
        </w:rPr>
        <w:t xml:space="preserve"> </w:t>
      </w:r>
      <w:r>
        <w:rPr>
          <w:szCs w:val="22"/>
        </w:rPr>
        <w:t>petition</w:t>
      </w:r>
      <w:r>
        <w:rPr>
          <w:rStyle w:val="FootnoteReference"/>
          <w:szCs w:val="22"/>
        </w:rPr>
        <w:footnoteReference w:id="2"/>
      </w:r>
      <w:r w:rsidR="00A85563">
        <w:rPr>
          <w:szCs w:val="22"/>
        </w:rPr>
        <w:t xml:space="preserve"> pursuant to s</w:t>
      </w:r>
      <w:r w:rsidRPr="009D65CC">
        <w:rPr>
          <w:szCs w:val="22"/>
        </w:rPr>
        <w:t>ection 10 of the Communications Act of 1934, as amended,</w:t>
      </w:r>
      <w:r>
        <w:rPr>
          <w:rStyle w:val="FootnoteReference"/>
          <w:szCs w:val="22"/>
        </w:rPr>
        <w:footnoteReference w:id="3"/>
      </w:r>
      <w:r>
        <w:rPr>
          <w:szCs w:val="22"/>
        </w:rPr>
        <w:t xml:space="preserve"> requesting that </w:t>
      </w:r>
      <w:r w:rsidRPr="00434A3F">
        <w:rPr>
          <w:szCs w:val="22"/>
        </w:rPr>
        <w:t>the Commission</w:t>
      </w:r>
      <w:r>
        <w:rPr>
          <w:szCs w:val="22"/>
        </w:rPr>
        <w:t xml:space="preserve"> </w:t>
      </w:r>
      <w:r w:rsidR="00EE58B6">
        <w:rPr>
          <w:szCs w:val="22"/>
        </w:rPr>
        <w:t xml:space="preserve">grant “nationwide forbearance </w:t>
      </w:r>
      <w:r w:rsidRPr="00434A3F">
        <w:rPr>
          <w:szCs w:val="22"/>
        </w:rPr>
        <w:t>from</w:t>
      </w:r>
      <w:r w:rsidR="00697082">
        <w:rPr>
          <w:szCs w:val="22"/>
        </w:rPr>
        <w:t xml:space="preserve"> </w:t>
      </w:r>
      <w:r w:rsidR="00EE58B6">
        <w:rPr>
          <w:szCs w:val="22"/>
        </w:rPr>
        <w:t>outmoded regulatory mandates that distort competition and investment decisions</w:t>
      </w:r>
      <w:r>
        <w:rPr>
          <w:szCs w:val="22"/>
        </w:rPr>
        <w:t>,</w:t>
      </w:r>
      <w:r w:rsidR="00EE58B6">
        <w:rPr>
          <w:szCs w:val="22"/>
        </w:rPr>
        <w:t>”</w:t>
      </w:r>
      <w:r>
        <w:rPr>
          <w:szCs w:val="22"/>
        </w:rPr>
        <w:t xml:space="preserve"> claiming the relief will “</w:t>
      </w:r>
      <w:r w:rsidR="00EE58B6">
        <w:rPr>
          <w:szCs w:val="22"/>
        </w:rPr>
        <w:t xml:space="preserve">ultimately reduce pricing for customers and improve the quality and performance of their services” and “will also support growth and create jobs as more providers increase </w:t>
      </w:r>
      <w:r w:rsidR="00EE58B6">
        <w:rPr>
          <w:szCs w:val="22"/>
        </w:rPr>
        <w:t>investment in their own networks to offer modern next-generation services</w:t>
      </w:r>
      <w:r w:rsidR="00697082">
        <w:rPr>
          <w:szCs w:val="22"/>
        </w:rPr>
        <w:t>.</w:t>
      </w:r>
      <w:r w:rsidR="00EE58B6">
        <w:rPr>
          <w:szCs w:val="22"/>
        </w:rPr>
        <w:t>”</w:t>
      </w:r>
      <w:r>
        <w:rPr>
          <w:rStyle w:val="FootnoteReference"/>
          <w:szCs w:val="22"/>
        </w:rPr>
        <w:footnoteReference w:id="4"/>
      </w:r>
      <w:r w:rsidR="00697082">
        <w:rPr>
          <w:szCs w:val="22"/>
        </w:rPr>
        <w:t xml:space="preserve"> </w:t>
      </w:r>
      <w:r w:rsidRPr="00434A3F">
        <w:rPr>
          <w:szCs w:val="22"/>
        </w:rPr>
        <w:t xml:space="preserve"> </w:t>
      </w:r>
      <w:r w:rsidR="00A85563">
        <w:rPr>
          <w:szCs w:val="22"/>
        </w:rPr>
        <w:t>The Petition seeks forbearance from application of statutory provisions and regulations that USTelecom characterizes as fallin</w:t>
      </w:r>
      <w:r w:rsidR="00D51B36">
        <w:rPr>
          <w:szCs w:val="22"/>
        </w:rPr>
        <w:t>g into one of the following three</w:t>
      </w:r>
      <w:r w:rsidR="00A85563">
        <w:rPr>
          <w:szCs w:val="22"/>
        </w:rPr>
        <w:t xml:space="preserve"> categories:</w:t>
      </w:r>
      <w:r>
        <w:rPr>
          <w:rStyle w:val="FootnoteReference"/>
          <w:szCs w:val="22"/>
        </w:rPr>
        <w:footnoteReference w:id="5"/>
      </w:r>
    </w:p>
    <w:p w:rsidR="006F7C8C" w:rsidP="00106E8A" w14:paraId="7D5C8059" w14:textId="1B2F105B">
      <w:pPr>
        <w:autoSpaceDE w:val="0"/>
        <w:autoSpaceDN w:val="0"/>
        <w:adjustRightInd w:val="0"/>
        <w:spacing w:after="120"/>
        <w:ind w:firstLine="720"/>
        <w:rPr>
          <w:b/>
          <w:szCs w:val="22"/>
        </w:rPr>
      </w:pPr>
      <w:r>
        <w:rPr>
          <w:b/>
          <w:szCs w:val="22"/>
        </w:rPr>
        <w:t>Category 1:</w:t>
      </w:r>
      <w:r>
        <w:rPr>
          <w:b/>
          <w:szCs w:val="22"/>
        </w:rPr>
        <w:t xml:space="preserve">  </w:t>
      </w:r>
      <w:r>
        <w:rPr>
          <w:color w:val="161616"/>
          <w:szCs w:val="22"/>
        </w:rPr>
        <w:t>I</w:t>
      </w:r>
      <w:r w:rsidR="002E4059">
        <w:rPr>
          <w:color w:val="161616"/>
          <w:szCs w:val="22"/>
        </w:rPr>
        <w:t>ncumbent LEC</w:t>
      </w:r>
      <w:r>
        <w:rPr>
          <w:color w:val="161616"/>
          <w:szCs w:val="22"/>
        </w:rPr>
        <w:t>-specific unbundling and resale mandates in section 251(c)(3) and (4) and</w:t>
      </w:r>
      <w:r w:rsidR="00627384">
        <w:rPr>
          <w:color w:val="161616"/>
          <w:szCs w:val="22"/>
        </w:rPr>
        <w:t xml:space="preserve"> </w:t>
      </w:r>
      <w:r>
        <w:rPr>
          <w:color w:val="161616"/>
          <w:szCs w:val="22"/>
        </w:rPr>
        <w:t>associated obligations</w:t>
      </w:r>
      <w:r w:rsidR="007E7F14">
        <w:rPr>
          <w:color w:val="161616"/>
          <w:szCs w:val="22"/>
        </w:rPr>
        <w:t xml:space="preserve"> under sections 251 and 252</w:t>
      </w:r>
      <w:r>
        <w:rPr>
          <w:color w:val="161616"/>
          <w:szCs w:val="22"/>
        </w:rPr>
        <w:t>.</w:t>
      </w:r>
      <w:r>
        <w:rPr>
          <w:rStyle w:val="FootnoteReference"/>
          <w:color w:val="161616"/>
          <w:szCs w:val="22"/>
        </w:rPr>
        <w:footnoteReference w:id="6"/>
      </w:r>
    </w:p>
    <w:p w:rsidR="00106E8A" w:rsidP="00516A37" w14:paraId="60B4D808" w14:textId="3EF88E4A">
      <w:pPr>
        <w:autoSpaceDE w:val="0"/>
        <w:autoSpaceDN w:val="0"/>
        <w:adjustRightInd w:val="0"/>
        <w:spacing w:after="120"/>
        <w:ind w:firstLine="720"/>
        <w:rPr>
          <w:color w:val="161616"/>
          <w:szCs w:val="22"/>
        </w:rPr>
      </w:pPr>
      <w:r>
        <w:rPr>
          <w:b/>
          <w:szCs w:val="22"/>
        </w:rPr>
        <w:t>Category 2:</w:t>
      </w:r>
      <w:r w:rsidR="006F7C8C">
        <w:rPr>
          <w:b/>
          <w:szCs w:val="22"/>
        </w:rPr>
        <w:t xml:space="preserve">  </w:t>
      </w:r>
      <w:r w:rsidR="006F7C8C">
        <w:rPr>
          <w:color w:val="161616"/>
          <w:szCs w:val="22"/>
        </w:rPr>
        <w:t>Section 272(e)(l)’s RBOC-specific time interval requirements for nondiscriminatory</w:t>
      </w:r>
      <w:r w:rsidR="00627384">
        <w:rPr>
          <w:color w:val="161616"/>
          <w:szCs w:val="22"/>
        </w:rPr>
        <w:t xml:space="preserve"> </w:t>
      </w:r>
      <w:r w:rsidR="006F7C8C">
        <w:rPr>
          <w:color w:val="161616"/>
          <w:szCs w:val="22"/>
        </w:rPr>
        <w:t>treatment of affiliates and non-affiliates regarding requests for service, and the long-distance</w:t>
      </w:r>
      <w:r w:rsidR="00627384">
        <w:rPr>
          <w:color w:val="161616"/>
          <w:szCs w:val="22"/>
        </w:rPr>
        <w:t xml:space="preserve"> </w:t>
      </w:r>
      <w:r w:rsidR="006F7C8C">
        <w:rPr>
          <w:color w:val="161616"/>
          <w:szCs w:val="22"/>
        </w:rPr>
        <w:t xml:space="preserve">separate affiliate requirement for independent </w:t>
      </w:r>
      <w:r w:rsidR="002E4059">
        <w:rPr>
          <w:color w:val="161616"/>
          <w:szCs w:val="22"/>
        </w:rPr>
        <w:t>incumbent LEC</w:t>
      </w:r>
      <w:r w:rsidR="006F7C8C">
        <w:rPr>
          <w:color w:val="161616"/>
          <w:szCs w:val="22"/>
        </w:rPr>
        <w:t>s se</w:t>
      </w:r>
      <w:r w:rsidR="00EC6E04">
        <w:rPr>
          <w:color w:val="161616"/>
          <w:szCs w:val="22"/>
        </w:rPr>
        <w:t>t out in section 64.1903 of the</w:t>
      </w:r>
      <w:r w:rsidR="006F7C8C">
        <w:rPr>
          <w:color w:val="161616"/>
          <w:szCs w:val="22"/>
        </w:rPr>
        <w:t xml:space="preserve"> </w:t>
      </w:r>
      <w:r w:rsidR="00EC6E04">
        <w:rPr>
          <w:color w:val="161616"/>
          <w:szCs w:val="22"/>
        </w:rPr>
        <w:t xml:space="preserve">Commission’s </w:t>
      </w:r>
      <w:r w:rsidR="006F7C8C">
        <w:rPr>
          <w:color w:val="161616"/>
          <w:szCs w:val="22"/>
        </w:rPr>
        <w:t>rules</w:t>
      </w:r>
      <w:r w:rsidR="00D50CF7">
        <w:rPr>
          <w:color w:val="161616"/>
          <w:szCs w:val="22"/>
        </w:rPr>
        <w:t>.</w:t>
      </w:r>
      <w:r>
        <w:rPr>
          <w:rStyle w:val="FootnoteReference"/>
          <w:color w:val="161616"/>
          <w:szCs w:val="22"/>
        </w:rPr>
        <w:footnoteReference w:id="7"/>
      </w:r>
    </w:p>
    <w:p w:rsidR="00BF2D4D" w:rsidRPr="00BF2D4D" w:rsidP="00106E8A" w14:paraId="14D094EF" w14:textId="77777777">
      <w:pPr>
        <w:autoSpaceDE w:val="0"/>
        <w:autoSpaceDN w:val="0"/>
        <w:adjustRightInd w:val="0"/>
        <w:spacing w:after="120"/>
        <w:ind w:firstLine="720"/>
        <w:rPr>
          <w:b/>
          <w:szCs w:val="22"/>
        </w:rPr>
      </w:pPr>
      <w:r>
        <w:rPr>
          <w:color w:val="161616"/>
          <w:szCs w:val="22"/>
        </w:rPr>
        <w:br w:type="page"/>
      </w:r>
      <w:r>
        <w:rPr>
          <w:b/>
          <w:szCs w:val="22"/>
        </w:rPr>
        <w:t>Category 3:</w:t>
      </w:r>
      <w:r w:rsidR="00D50CF7">
        <w:rPr>
          <w:b/>
          <w:szCs w:val="22"/>
        </w:rPr>
        <w:t xml:space="preserve">  </w:t>
      </w:r>
      <w:r w:rsidRPr="007E7F14" w:rsidR="00D50CF7">
        <w:rPr>
          <w:szCs w:val="22"/>
        </w:rPr>
        <w:t>Section</w:t>
      </w:r>
      <w:r w:rsidR="00D50CF7">
        <w:rPr>
          <w:color w:val="161616"/>
          <w:szCs w:val="22"/>
        </w:rPr>
        <w:t xml:space="preserve"> 271(c)(2)(B)(iii)’s RBOC-specific competitive checklist item regarding</w:t>
      </w:r>
      <w:r w:rsidR="00500A42">
        <w:rPr>
          <w:color w:val="161616"/>
          <w:szCs w:val="22"/>
        </w:rPr>
        <w:t xml:space="preserve"> </w:t>
      </w:r>
      <w:r w:rsidR="00D50CF7">
        <w:rPr>
          <w:color w:val="161616"/>
          <w:szCs w:val="22"/>
        </w:rPr>
        <w:t>access to poles, ducts, conduit, and rights-of-way.</w:t>
      </w:r>
      <w:r>
        <w:rPr>
          <w:rStyle w:val="FootnoteReference"/>
          <w:color w:val="161616"/>
          <w:szCs w:val="22"/>
        </w:rPr>
        <w:footnoteReference w:id="8"/>
      </w:r>
    </w:p>
    <w:p w:rsidR="0025359C" w:rsidRPr="00443249" w:rsidP="00FB0980" w14:paraId="20EE4920" w14:textId="60777184">
      <w:pPr>
        <w:spacing w:after="120"/>
        <w:ind w:firstLine="720"/>
        <w:rPr>
          <w:rFonts w:eastAsia="Calibri"/>
          <w:color w:val="000000"/>
          <w:szCs w:val="22"/>
        </w:rPr>
      </w:pPr>
      <w:r>
        <w:rPr>
          <w:rFonts w:eastAsia="Calibri"/>
          <w:color w:val="000000"/>
          <w:szCs w:val="22"/>
        </w:rPr>
        <w:t xml:space="preserve">Interested parties may file comments or oppositions to </w:t>
      </w:r>
      <w:r w:rsidR="00BF688C">
        <w:rPr>
          <w:rFonts w:eastAsia="Calibri"/>
          <w:color w:val="000000"/>
          <w:szCs w:val="22"/>
        </w:rPr>
        <w:t xml:space="preserve">the </w:t>
      </w:r>
      <w:r>
        <w:rPr>
          <w:rFonts w:eastAsia="Calibri"/>
          <w:color w:val="000000"/>
          <w:szCs w:val="22"/>
        </w:rPr>
        <w:t xml:space="preserve">Petition on or before </w:t>
      </w:r>
      <w:r w:rsidR="00A85563">
        <w:rPr>
          <w:rFonts w:eastAsia="Calibri"/>
          <w:b/>
          <w:color w:val="000000"/>
          <w:szCs w:val="22"/>
        </w:rPr>
        <w:t>June</w:t>
      </w:r>
      <w:r w:rsidR="0044567B">
        <w:rPr>
          <w:rFonts w:eastAsia="Calibri"/>
          <w:b/>
          <w:color w:val="000000"/>
          <w:szCs w:val="22"/>
        </w:rPr>
        <w:t xml:space="preserve"> </w:t>
      </w:r>
      <w:r w:rsidR="00A85563">
        <w:rPr>
          <w:rFonts w:eastAsia="Calibri"/>
          <w:b/>
          <w:color w:val="000000"/>
          <w:szCs w:val="22"/>
        </w:rPr>
        <w:t>7</w:t>
      </w:r>
      <w:r w:rsidRPr="00EB46B4">
        <w:rPr>
          <w:rFonts w:eastAsia="Calibri"/>
          <w:b/>
          <w:color w:val="000000"/>
          <w:szCs w:val="22"/>
        </w:rPr>
        <w:t>, 201</w:t>
      </w:r>
      <w:r w:rsidR="00A85563">
        <w:rPr>
          <w:rFonts w:eastAsia="Calibri"/>
          <w:b/>
          <w:color w:val="000000"/>
          <w:szCs w:val="22"/>
        </w:rPr>
        <w:t>8</w:t>
      </w:r>
      <w:r>
        <w:rPr>
          <w:rFonts w:eastAsia="Calibri"/>
          <w:color w:val="000000"/>
          <w:szCs w:val="22"/>
        </w:rPr>
        <w:t xml:space="preserve"> and reply comments on or before </w:t>
      </w:r>
      <w:r w:rsidR="00A85563">
        <w:rPr>
          <w:rFonts w:eastAsia="Calibri"/>
          <w:b/>
          <w:color w:val="000000"/>
          <w:szCs w:val="22"/>
        </w:rPr>
        <w:t>June</w:t>
      </w:r>
      <w:r w:rsidR="0044567B">
        <w:rPr>
          <w:rFonts w:eastAsia="Calibri"/>
          <w:b/>
          <w:color w:val="000000"/>
          <w:szCs w:val="22"/>
        </w:rPr>
        <w:t xml:space="preserve"> </w:t>
      </w:r>
      <w:r w:rsidR="00A85563">
        <w:rPr>
          <w:rFonts w:eastAsia="Calibri"/>
          <w:b/>
          <w:color w:val="000000"/>
          <w:szCs w:val="22"/>
        </w:rPr>
        <w:t>22</w:t>
      </w:r>
      <w:r w:rsidR="0044567B">
        <w:rPr>
          <w:rFonts w:eastAsia="Calibri"/>
          <w:b/>
          <w:color w:val="000000"/>
          <w:szCs w:val="22"/>
        </w:rPr>
        <w:t>,</w:t>
      </w:r>
      <w:r w:rsidR="00A85563">
        <w:rPr>
          <w:rFonts w:eastAsia="Calibri"/>
          <w:b/>
          <w:color w:val="000000"/>
          <w:szCs w:val="22"/>
        </w:rPr>
        <w:t xml:space="preserve"> 2018</w:t>
      </w:r>
      <w:r>
        <w:rPr>
          <w:rFonts w:eastAsia="Calibri"/>
          <w:color w:val="000000"/>
          <w:szCs w:val="22"/>
        </w:rPr>
        <w:t xml:space="preserve">.  </w:t>
      </w:r>
      <w:r w:rsidRPr="00443249">
        <w:rPr>
          <w:rFonts w:eastAsia="Calibri"/>
          <w:color w:val="000000"/>
          <w:szCs w:val="22"/>
        </w:rPr>
        <w:t xml:space="preserve">Comments </w:t>
      </w:r>
      <w:r w:rsidR="0095457F">
        <w:rPr>
          <w:rFonts w:eastAsia="Calibri"/>
          <w:color w:val="000000"/>
          <w:szCs w:val="22"/>
        </w:rPr>
        <w:t>or</w:t>
      </w:r>
      <w:r>
        <w:rPr>
          <w:rFonts w:eastAsia="Calibri"/>
          <w:color w:val="000000"/>
          <w:szCs w:val="22"/>
        </w:rPr>
        <w:t xml:space="preserve"> oppositions</w:t>
      </w:r>
      <w:r w:rsidR="0095457F">
        <w:rPr>
          <w:rFonts w:eastAsia="Calibri"/>
          <w:color w:val="000000"/>
          <w:szCs w:val="22"/>
        </w:rPr>
        <w:t>, and replies thereto,</w:t>
      </w:r>
      <w:r>
        <w:rPr>
          <w:rFonts w:eastAsia="Calibri"/>
          <w:color w:val="000000"/>
          <w:szCs w:val="22"/>
        </w:rPr>
        <w:t xml:space="preserve"> </w:t>
      </w:r>
      <w:r w:rsidRPr="00443249">
        <w:rPr>
          <w:rFonts w:eastAsia="Calibri"/>
          <w:color w:val="000000"/>
          <w:szCs w:val="22"/>
        </w:rPr>
        <w:t xml:space="preserve">should reference </w:t>
      </w:r>
      <w:r w:rsidRPr="0095457F">
        <w:rPr>
          <w:rFonts w:eastAsia="Calibri"/>
          <w:b/>
          <w:szCs w:val="22"/>
        </w:rPr>
        <w:t xml:space="preserve">WC Docket No. </w:t>
      </w:r>
      <w:r w:rsidRPr="0095457F" w:rsidR="00BF688C">
        <w:rPr>
          <w:rFonts w:eastAsia="Calibri"/>
          <w:b/>
          <w:szCs w:val="22"/>
        </w:rPr>
        <w:t>18</w:t>
      </w:r>
      <w:r w:rsidRPr="0095457F" w:rsidR="00EB46B4">
        <w:rPr>
          <w:rFonts w:eastAsia="Calibri"/>
          <w:b/>
          <w:szCs w:val="22"/>
        </w:rPr>
        <w:t>-</w:t>
      </w:r>
      <w:r w:rsidRPr="0095457F" w:rsidR="00BF688C">
        <w:rPr>
          <w:rFonts w:eastAsia="Calibri"/>
          <w:b/>
          <w:szCs w:val="22"/>
        </w:rPr>
        <w:t>141</w:t>
      </w:r>
      <w:r w:rsidRPr="00443249">
        <w:rPr>
          <w:rFonts w:eastAsia="Calibri"/>
          <w:szCs w:val="22"/>
        </w:rPr>
        <w:t xml:space="preserve"> and </w:t>
      </w:r>
      <w:r w:rsidRPr="00443249">
        <w:rPr>
          <w:rFonts w:eastAsia="Calibri"/>
          <w:color w:val="000000"/>
          <w:szCs w:val="22"/>
        </w:rPr>
        <w:t xml:space="preserve">may be filed using the Commission’s Electronic Comment Filing System (ECFS).  </w:t>
      </w:r>
      <w:r w:rsidRPr="00443249">
        <w:rPr>
          <w:rFonts w:eastAsia="Calibri"/>
          <w:i/>
          <w:color w:val="000000"/>
          <w:szCs w:val="22"/>
        </w:rPr>
        <w:t>See</w:t>
      </w:r>
      <w:r w:rsidRPr="00443249">
        <w:rPr>
          <w:rFonts w:eastAsia="Calibri"/>
          <w:color w:val="000000"/>
          <w:szCs w:val="22"/>
        </w:rPr>
        <w:t xml:space="preserve"> </w:t>
      </w:r>
      <w:r w:rsidRPr="00443249">
        <w:rPr>
          <w:rFonts w:eastAsia="Calibri"/>
          <w:i/>
          <w:color w:val="000000"/>
          <w:szCs w:val="22"/>
        </w:rPr>
        <w:t>Electronic Filing of Documents in Rulemaking Proceedings</w:t>
      </w:r>
      <w:r w:rsidRPr="00443249">
        <w:rPr>
          <w:rFonts w:eastAsia="Calibri"/>
          <w:color w:val="000000"/>
          <w:szCs w:val="22"/>
        </w:rPr>
        <w:t>, 63 FR 24121 (1998).</w:t>
      </w:r>
      <w:r w:rsidR="0095457F">
        <w:rPr>
          <w:rFonts w:eastAsia="Calibri"/>
          <w:color w:val="000000"/>
          <w:szCs w:val="22"/>
        </w:rPr>
        <w:t xml:space="preserve">  Parties should also clearly identify in the table of contents and/or opening summary of their comments</w:t>
      </w:r>
      <w:r w:rsidR="00BF2D4D">
        <w:rPr>
          <w:rFonts w:eastAsia="Calibri"/>
          <w:color w:val="000000"/>
          <w:szCs w:val="22"/>
        </w:rPr>
        <w:t>,</w:t>
      </w:r>
      <w:r w:rsidR="0095457F">
        <w:rPr>
          <w:rFonts w:eastAsia="Calibri"/>
          <w:color w:val="000000"/>
          <w:szCs w:val="22"/>
        </w:rPr>
        <w:t xml:space="preserve"> opposition</w:t>
      </w:r>
      <w:r w:rsidR="00B76B77">
        <w:rPr>
          <w:rFonts w:eastAsia="Calibri"/>
          <w:color w:val="000000"/>
          <w:szCs w:val="22"/>
        </w:rPr>
        <w:t>,</w:t>
      </w:r>
      <w:r w:rsidR="00BF2D4D">
        <w:rPr>
          <w:rFonts w:eastAsia="Calibri"/>
          <w:color w:val="000000"/>
          <w:szCs w:val="22"/>
        </w:rPr>
        <w:t xml:space="preserve"> and/or</w:t>
      </w:r>
      <w:r w:rsidR="0095457F">
        <w:rPr>
          <w:rFonts w:eastAsia="Calibri"/>
          <w:color w:val="000000"/>
          <w:szCs w:val="22"/>
        </w:rPr>
        <w:t xml:space="preserve"> reply comments which o</w:t>
      </w:r>
      <w:r w:rsidR="00D51B36">
        <w:rPr>
          <w:rFonts w:eastAsia="Calibri"/>
          <w:color w:val="000000"/>
          <w:szCs w:val="22"/>
        </w:rPr>
        <w:t xml:space="preserve">f the three </w:t>
      </w:r>
      <w:r w:rsidR="0095457F">
        <w:rPr>
          <w:rFonts w:eastAsia="Calibri"/>
          <w:color w:val="000000"/>
          <w:szCs w:val="22"/>
        </w:rPr>
        <w:t>regulatory categories their comments address.</w:t>
      </w:r>
      <w:r>
        <w:rPr>
          <w:rStyle w:val="FootnoteReference"/>
          <w:rFonts w:eastAsia="Calibri"/>
          <w:color w:val="000000"/>
          <w:szCs w:val="22"/>
        </w:rPr>
        <w:footnoteReference w:id="9"/>
      </w:r>
      <w:r w:rsidR="00BF2D4D">
        <w:rPr>
          <w:rFonts w:eastAsia="Calibri"/>
          <w:color w:val="000000"/>
          <w:szCs w:val="22"/>
        </w:rPr>
        <w:t xml:space="preserve">  For example, if a party files </w:t>
      </w:r>
      <w:r w:rsidR="00D51B36">
        <w:rPr>
          <w:rFonts w:eastAsia="Calibri"/>
          <w:color w:val="000000"/>
          <w:szCs w:val="22"/>
        </w:rPr>
        <w:t>comments relating to unbundling and resale mandates in section 251(c)(3) and (4) and associated section 251 and 252 obligations</w:t>
      </w:r>
      <w:r w:rsidRPr="00D51B36" w:rsidR="00BF2D4D">
        <w:rPr>
          <w:rFonts w:eastAsia="Calibri"/>
          <w:color w:val="000000"/>
          <w:szCs w:val="22"/>
        </w:rPr>
        <w:t>,</w:t>
      </w:r>
      <w:r w:rsidR="00BF2D4D">
        <w:rPr>
          <w:rFonts w:eastAsia="Calibri"/>
          <w:color w:val="000000"/>
          <w:szCs w:val="22"/>
        </w:rPr>
        <w:t xml:space="preserve"> the caption should reference WC Docket No. 18-141, and the table of content and/or opening summary should clearly state that the comments respond to “Category 1.”</w:t>
      </w:r>
    </w:p>
    <w:p w:rsidR="0025359C" w:rsidRPr="00416470" w:rsidP="00FB0980" w14:paraId="70782238" w14:textId="24DEBE7A">
      <w:pPr>
        <w:numPr>
          <w:ilvl w:val="0"/>
          <w:numId w:val="13"/>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ECFS:  </w:t>
      </w:r>
      <w:r>
        <w:fldChar w:fldCharType="begin"/>
      </w:r>
      <w:r>
        <w:instrText xml:space="preserve"> HYPERLINK "http://apps.fcc.gov/ecfs/" </w:instrText>
      </w:r>
      <w:r>
        <w:fldChar w:fldCharType="separate"/>
      </w:r>
      <w:r w:rsidRPr="00237323" w:rsidR="00237323">
        <w:rPr>
          <w:rStyle w:val="Hyperlink"/>
          <w:rFonts w:eastAsia="Calibri"/>
          <w:szCs w:val="22"/>
        </w:rPr>
        <w:t>http://apps.fcc.gov/ecfs/</w:t>
      </w:r>
      <w:r>
        <w:fldChar w:fldCharType="end"/>
      </w:r>
      <w:r w:rsidRPr="00443249">
        <w:rPr>
          <w:rFonts w:eastAsia="Calibri"/>
          <w:szCs w:val="22"/>
        </w:rPr>
        <w:t>.</w:t>
      </w:r>
    </w:p>
    <w:p w:rsidR="0025359C" w:rsidRPr="00416470" w:rsidP="00FB0980" w14:paraId="4BC5B721" w14:textId="77777777">
      <w:pPr>
        <w:numPr>
          <w:ilvl w:val="0"/>
          <w:numId w:val="13"/>
        </w:numPr>
        <w:spacing w:after="120"/>
        <w:rPr>
          <w:rFonts w:eastAsia="Calibri"/>
          <w:szCs w:val="22"/>
        </w:rPr>
      </w:pPr>
      <w:r w:rsidRPr="00443249">
        <w:rPr>
          <w:rFonts w:eastAsia="Calibri"/>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25359C" w:rsidRPr="00416470" w:rsidP="00C8756C" w14:paraId="7B0F3F55" w14:textId="77777777">
      <w:pPr>
        <w:numPr>
          <w:ilvl w:val="0"/>
          <w:numId w:val="13"/>
        </w:numPr>
        <w:spacing w:after="120"/>
        <w:rPr>
          <w:rFonts w:eastAsia="Calibri"/>
          <w:szCs w:val="22"/>
        </w:rPr>
      </w:pPr>
      <w:r w:rsidRPr="00443249">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443249">
        <w:rPr>
          <w:rFonts w:eastAsia="Calibri"/>
          <w:szCs w:val="22"/>
          <w:u w:val="single"/>
        </w:rPr>
        <w:t>before</w:t>
      </w:r>
      <w:r w:rsidRPr="00443249">
        <w:rPr>
          <w:rFonts w:eastAsia="Calibri"/>
          <w:szCs w:val="22"/>
        </w:rPr>
        <w:t xml:space="preserve"> entering the building.</w:t>
      </w:r>
    </w:p>
    <w:p w:rsidR="0025359C" w:rsidRPr="00416470" w:rsidP="00237323" w14:paraId="12FD91A0" w14:textId="2AE1BBD5">
      <w:pPr>
        <w:numPr>
          <w:ilvl w:val="0"/>
          <w:numId w:val="14"/>
        </w:numPr>
        <w:spacing w:after="120"/>
        <w:rPr>
          <w:rFonts w:eastAsia="Calibri"/>
          <w:szCs w:val="22"/>
        </w:rPr>
      </w:pPr>
      <w:r w:rsidRPr="00443249">
        <w:rPr>
          <w:rFonts w:eastAsia="Calibri"/>
          <w:szCs w:val="22"/>
        </w:rPr>
        <w:t xml:space="preserve">Commercial overnight mail (other than U.S. Postal Service Express Mail and Priority Mail) must be sent to </w:t>
      </w:r>
      <w:r w:rsidRPr="00237323" w:rsidR="00237323">
        <w:rPr>
          <w:rFonts w:eastAsia="Calibri"/>
          <w:szCs w:val="22"/>
        </w:rPr>
        <w:t>9050 Junction Drive, Annapolis Junction, MD 20701</w:t>
      </w:r>
      <w:r w:rsidRPr="00443249">
        <w:rPr>
          <w:rFonts w:eastAsia="Calibri"/>
          <w:szCs w:val="22"/>
        </w:rPr>
        <w:t>.</w:t>
      </w:r>
    </w:p>
    <w:p w:rsidR="0025359C" w:rsidRPr="00443249" w:rsidP="00C8756C" w14:paraId="24C8506A" w14:textId="77777777">
      <w:pPr>
        <w:numPr>
          <w:ilvl w:val="0"/>
          <w:numId w:val="13"/>
        </w:numPr>
        <w:spacing w:after="120"/>
        <w:rPr>
          <w:rFonts w:eastAsia="Calibri"/>
          <w:szCs w:val="22"/>
        </w:rPr>
      </w:pPr>
      <w:r w:rsidRPr="00443249">
        <w:rPr>
          <w:rFonts w:eastAsia="Calibri"/>
          <w:szCs w:val="22"/>
        </w:rPr>
        <w:t>U.S. Postal Service first-class, Express, and Priority mail must be addressed to 445 12th Street, SW, Washington DC 20554.</w:t>
      </w:r>
    </w:p>
    <w:p w:rsidR="0025359C" w:rsidRPr="00443249" w:rsidP="00500A42" w14:paraId="33C1A935" w14:textId="434E9559">
      <w:pPr>
        <w:spacing w:after="120"/>
        <w:ind w:firstLine="720"/>
        <w:rPr>
          <w:rFonts w:eastAsia="Calibri"/>
          <w:szCs w:val="22"/>
        </w:rPr>
      </w:pPr>
      <w:r w:rsidRPr="00443249">
        <w:rPr>
          <w:rFonts w:eastAsia="Calibri"/>
          <w:szCs w:val="22"/>
        </w:rPr>
        <w:t>People with Disabilities:  To request materials in accessible formats for people with disabilities</w:t>
      </w:r>
      <w:r w:rsidR="00500A42">
        <w:rPr>
          <w:rFonts w:eastAsia="Calibri"/>
          <w:szCs w:val="22"/>
        </w:rPr>
        <w:t xml:space="preserve"> </w:t>
      </w:r>
      <w:r w:rsidRPr="00443249">
        <w:rPr>
          <w:rFonts w:eastAsia="Calibri"/>
          <w:szCs w:val="22"/>
        </w:rPr>
        <w:t xml:space="preserve">(Braille, large print, electronic files, audio format), send an e-mail to </w:t>
      </w:r>
      <w:r>
        <w:fldChar w:fldCharType="begin"/>
      </w:r>
      <w:r>
        <w:instrText xml:space="preserve"> HYPERLINK "fcc504@fcc.gov" </w:instrText>
      </w:r>
      <w:r>
        <w:fldChar w:fldCharType="separate"/>
      </w:r>
      <w:r w:rsidRPr="00237323">
        <w:rPr>
          <w:rStyle w:val="Hyperlink"/>
          <w:rFonts w:eastAsia="Calibri"/>
          <w:szCs w:val="22"/>
        </w:rPr>
        <w:t>fcc504@fcc.gov</w:t>
      </w:r>
      <w:r>
        <w:fldChar w:fldCharType="end"/>
      </w:r>
      <w:r w:rsidRPr="00A14B49">
        <w:rPr>
          <w:rFonts w:eastAsia="Calibri"/>
          <w:szCs w:val="22"/>
        </w:rPr>
        <w:t xml:space="preserve"> </w:t>
      </w:r>
      <w:r w:rsidRPr="00443249">
        <w:rPr>
          <w:rFonts w:eastAsia="Calibri"/>
          <w:szCs w:val="22"/>
        </w:rPr>
        <w:t>or call the Consumer &amp; Governmental Affairs Bureau at (202) 418-0530 (voice) or (202) 418-0432 (tty).</w:t>
      </w:r>
    </w:p>
    <w:p w:rsidR="0025359C" w:rsidRPr="006147A5" w:rsidP="00FB0980" w14:paraId="278520A9" w14:textId="77777777">
      <w:pPr>
        <w:spacing w:after="120"/>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10"/>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xml:space="preserve">, .doc, .xml, .ppt, searchable .pdf).  Participants in this proceeding should familiarize themselves with the Commission’s </w:t>
      </w:r>
      <w:r w:rsidRPr="006147A5">
        <w:rPr>
          <w:i/>
          <w:iCs/>
          <w:szCs w:val="22"/>
        </w:rPr>
        <w:t xml:space="preserve">ex parte </w:t>
      </w:r>
      <w:r w:rsidRPr="006147A5">
        <w:rPr>
          <w:szCs w:val="22"/>
        </w:rPr>
        <w:t>rules.</w:t>
      </w:r>
    </w:p>
    <w:p w:rsidR="0025359C" w:rsidRPr="00443249" w:rsidP="00FB0980" w14:paraId="3942B508" w14:textId="6CDB52E8">
      <w:pPr>
        <w:spacing w:after="120"/>
        <w:ind w:firstLine="720"/>
        <w:rPr>
          <w:rFonts w:eastAsia="Calibri"/>
          <w:szCs w:val="22"/>
        </w:rPr>
      </w:pPr>
      <w:r w:rsidRPr="006147A5">
        <w:rPr>
          <w:rFonts w:eastAsia="Calibri"/>
          <w:szCs w:val="22"/>
        </w:rPr>
        <w:t xml:space="preserve">For further information, </w:t>
      </w:r>
      <w:r w:rsidRPr="00116983">
        <w:rPr>
          <w:rFonts w:eastAsia="Calibri"/>
          <w:szCs w:val="22"/>
        </w:rPr>
        <w:t>please contact</w:t>
      </w:r>
      <w:r w:rsidRPr="00116983" w:rsidR="00CB7F0B">
        <w:rPr>
          <w:rFonts w:eastAsia="Calibri"/>
          <w:szCs w:val="22"/>
        </w:rPr>
        <w:t xml:space="preserve"> </w:t>
      </w:r>
      <w:r w:rsidR="001771E5">
        <w:rPr>
          <w:rFonts w:eastAsia="Calibri"/>
          <w:szCs w:val="22"/>
        </w:rPr>
        <w:t>Terri Natoli</w:t>
      </w:r>
      <w:r w:rsidRPr="00116983">
        <w:rPr>
          <w:rFonts w:eastAsia="Calibri"/>
          <w:szCs w:val="22"/>
        </w:rPr>
        <w:t xml:space="preserve">, </w:t>
      </w:r>
      <w:r w:rsidRPr="00116983" w:rsidR="00A85563">
        <w:rPr>
          <w:rFonts w:eastAsia="Calibri"/>
          <w:szCs w:val="22"/>
        </w:rPr>
        <w:t xml:space="preserve">Competition </w:t>
      </w:r>
      <w:r w:rsidRPr="00116983">
        <w:rPr>
          <w:rFonts w:eastAsia="Calibri"/>
          <w:szCs w:val="22"/>
        </w:rPr>
        <w:t>Policy Division, Wireline Competition Bureau, at (202) 418-</w:t>
      </w:r>
      <w:r w:rsidR="001771E5">
        <w:rPr>
          <w:rFonts w:eastAsia="Calibri"/>
          <w:szCs w:val="22"/>
        </w:rPr>
        <w:t>2732</w:t>
      </w:r>
      <w:r w:rsidRPr="00116983">
        <w:rPr>
          <w:rFonts w:eastAsia="Calibri"/>
          <w:szCs w:val="22"/>
        </w:rPr>
        <w:t xml:space="preserve"> or via e-mail at </w:t>
      </w:r>
      <w:r>
        <w:fldChar w:fldCharType="begin"/>
      </w:r>
      <w:r>
        <w:instrText xml:space="preserve"> HYPERLINK "Terri.Natoli@fcc.gov" </w:instrText>
      </w:r>
      <w:r>
        <w:fldChar w:fldCharType="separate"/>
      </w:r>
      <w:r w:rsidRPr="00237323" w:rsidR="001771E5">
        <w:rPr>
          <w:rStyle w:val="Hyperlink"/>
          <w:rFonts w:eastAsia="Calibri"/>
          <w:szCs w:val="22"/>
        </w:rPr>
        <w:t>Terri.Natoli</w:t>
      </w:r>
      <w:r w:rsidRPr="00237323">
        <w:rPr>
          <w:rStyle w:val="Hyperlink"/>
          <w:rFonts w:eastAsia="Calibri"/>
          <w:szCs w:val="22"/>
        </w:rPr>
        <w:t>@fcc.gov</w:t>
      </w:r>
      <w:r>
        <w:fldChar w:fldCharType="end"/>
      </w:r>
      <w:r w:rsidRPr="006147A5">
        <w:rPr>
          <w:rFonts w:eastAsia="Calibri"/>
          <w:szCs w:val="22"/>
        </w:rPr>
        <w:t>.</w:t>
      </w:r>
    </w:p>
    <w:p w:rsidR="0025359C" w:rsidRPr="00443249" w:rsidP="00FB0980" w14:paraId="4F27D23E" w14:textId="77777777">
      <w:pPr>
        <w:spacing w:after="120"/>
        <w:rPr>
          <w:rFonts w:eastAsia="Calibri"/>
          <w:szCs w:val="22"/>
        </w:rPr>
      </w:pPr>
    </w:p>
    <w:p w:rsidR="0025359C" w:rsidRPr="004659D6" w:rsidP="00FB0980" w14:paraId="45B9624D" w14:textId="77777777">
      <w:pPr>
        <w:spacing w:after="120"/>
        <w:jc w:val="center"/>
        <w:rPr>
          <w:szCs w:val="22"/>
        </w:rPr>
      </w:pPr>
      <w:r w:rsidRPr="00443249">
        <w:rPr>
          <w:rFonts w:eastAsia="Calibri"/>
          <w:b/>
          <w:szCs w:val="22"/>
        </w:rPr>
        <w:t>- FCC -</w:t>
      </w:r>
    </w:p>
    <w:p w:rsidR="00602577" w:rsidRPr="0025359C" w:rsidP="00FB0980" w14:paraId="73FCEC47" w14:textId="77777777">
      <w:pPr>
        <w:spacing w:after="120"/>
      </w:pPr>
    </w:p>
    <w:sectPr>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E7" w14:paraId="38457E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59C" w14:paraId="52A486C3" w14:textId="6043867E">
    <w:pPr>
      <w:pStyle w:val="Footer"/>
      <w:jc w:val="center"/>
    </w:pPr>
    <w:r>
      <w:fldChar w:fldCharType="begin"/>
    </w:r>
    <w:r>
      <w:instrText xml:space="preserve"> PAGE   \* MERGEFORMAT </w:instrText>
    </w:r>
    <w:r>
      <w:fldChar w:fldCharType="separate"/>
    </w:r>
    <w:r w:rsidR="00A038D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E7" w14:paraId="35F817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2DC" w14:paraId="018A1726" w14:textId="77777777">
      <w:r>
        <w:separator/>
      </w:r>
    </w:p>
  </w:footnote>
  <w:footnote w:type="continuationSeparator" w:id="1">
    <w:p w:rsidR="00AA22DC" w14:paraId="7BD82B16" w14:textId="77777777">
      <w:r>
        <w:continuationSeparator/>
      </w:r>
    </w:p>
  </w:footnote>
  <w:footnote w:id="2">
    <w:p w:rsidR="0025359C" w:rsidRPr="00EB46B4" w:rsidP="00627384" w14:paraId="65DE3BF8" w14:textId="77777777">
      <w:pPr>
        <w:pStyle w:val="FootnoteText"/>
        <w:spacing w:after="120"/>
        <w:rPr>
          <w:sz w:val="20"/>
        </w:rPr>
      </w:pPr>
      <w:r w:rsidRPr="001B64A7">
        <w:rPr>
          <w:rStyle w:val="FootnoteReference"/>
          <w:sz w:val="20"/>
        </w:rPr>
        <w:footnoteRef/>
      </w:r>
      <w:r w:rsidR="001B777E">
        <w:rPr>
          <w:sz w:val="20"/>
        </w:rPr>
        <w:t xml:space="preserve"> </w:t>
      </w:r>
      <w:r w:rsidRPr="00094905" w:rsidR="00094905">
        <w:rPr>
          <w:sz w:val="20"/>
        </w:rPr>
        <w:t>Petition of USTelecom for Forbearance Pursuant to 47 U.S.C. § 160(c) to Accelerate</w:t>
      </w:r>
      <w:r w:rsidR="00627384">
        <w:rPr>
          <w:sz w:val="20"/>
        </w:rPr>
        <w:t xml:space="preserve"> </w:t>
      </w:r>
      <w:r w:rsidRPr="00094905" w:rsidR="00094905">
        <w:rPr>
          <w:sz w:val="20"/>
        </w:rPr>
        <w:t>Investment in Broadband and Next-Generation Networks</w:t>
      </w:r>
      <w:r w:rsidRPr="00EB46B4">
        <w:rPr>
          <w:sz w:val="20"/>
        </w:rPr>
        <w:t xml:space="preserve">, WC Docket No. </w:t>
      </w:r>
      <w:r w:rsidR="001B777E">
        <w:rPr>
          <w:sz w:val="20"/>
        </w:rPr>
        <w:t>18-141</w:t>
      </w:r>
      <w:r w:rsidRPr="00EB46B4">
        <w:rPr>
          <w:sz w:val="20"/>
        </w:rPr>
        <w:t xml:space="preserve"> (filed </w:t>
      </w:r>
      <w:r w:rsidR="001B777E">
        <w:rPr>
          <w:sz w:val="20"/>
        </w:rPr>
        <w:t>May 4, 2018</w:t>
      </w:r>
      <w:r w:rsidRPr="00EB46B4" w:rsidR="00697082">
        <w:rPr>
          <w:sz w:val="20"/>
        </w:rPr>
        <w:t xml:space="preserve">) </w:t>
      </w:r>
      <w:r w:rsidRPr="00EB46B4">
        <w:rPr>
          <w:sz w:val="20"/>
        </w:rPr>
        <w:t>(Petition).</w:t>
      </w:r>
    </w:p>
  </w:footnote>
  <w:footnote w:id="3">
    <w:p w:rsidR="0025359C" w:rsidRPr="00EB46B4" w:rsidP="00FB0980" w14:paraId="19AF94BA" w14:textId="77777777">
      <w:pPr>
        <w:pStyle w:val="FootnoteText"/>
        <w:tabs>
          <w:tab w:val="clear" w:pos="720"/>
        </w:tabs>
        <w:spacing w:after="120"/>
        <w:rPr>
          <w:sz w:val="20"/>
        </w:rPr>
      </w:pPr>
      <w:r w:rsidRPr="00EB46B4">
        <w:rPr>
          <w:rStyle w:val="FootnoteReference"/>
          <w:sz w:val="20"/>
        </w:rPr>
        <w:footnoteRef/>
      </w:r>
      <w:r w:rsidRPr="00EB46B4">
        <w:rPr>
          <w:sz w:val="20"/>
        </w:rPr>
        <w:t xml:space="preserve"> </w:t>
      </w:r>
      <w:r w:rsidRPr="00EB46B4">
        <w:rPr>
          <w:i/>
          <w:sz w:val="20"/>
        </w:rPr>
        <w:t>See</w:t>
      </w:r>
      <w:r w:rsidRPr="00EB46B4">
        <w:rPr>
          <w:sz w:val="20"/>
        </w:rPr>
        <w:t xml:space="preserve"> 47 U.S.C. § 160.</w:t>
      </w:r>
    </w:p>
  </w:footnote>
  <w:footnote w:id="4">
    <w:p w:rsidR="00697082" w:rsidP="00FB0980" w14:paraId="7FE9722B" w14:textId="77777777">
      <w:pPr>
        <w:pStyle w:val="FootnoteText"/>
        <w:spacing w:after="120"/>
      </w:pPr>
      <w:r w:rsidRPr="00EB46B4">
        <w:rPr>
          <w:rStyle w:val="FootnoteReference"/>
          <w:sz w:val="20"/>
        </w:rPr>
        <w:footnoteRef/>
      </w:r>
      <w:r w:rsidRPr="00EB46B4">
        <w:rPr>
          <w:sz w:val="20"/>
        </w:rPr>
        <w:t xml:space="preserve"> Petition </w:t>
      </w:r>
      <w:r w:rsidR="00EE58B6">
        <w:rPr>
          <w:sz w:val="20"/>
        </w:rPr>
        <w:t>at 1-3</w:t>
      </w:r>
      <w:r w:rsidRPr="00BF2D4D">
        <w:rPr>
          <w:sz w:val="20"/>
        </w:rPr>
        <w:t>.</w:t>
      </w:r>
      <w:r>
        <w:t xml:space="preserve"> </w:t>
      </w:r>
    </w:p>
  </w:footnote>
  <w:footnote w:id="5">
    <w:p w:rsidR="00D51B36" w:rsidRPr="00AD5EB4" w:rsidP="00FB0980" w14:paraId="39CDCA37" w14:textId="492B0B0B">
      <w:pPr>
        <w:autoSpaceDE w:val="0"/>
        <w:autoSpaceDN w:val="0"/>
        <w:adjustRightInd w:val="0"/>
        <w:spacing w:after="120"/>
        <w:rPr>
          <w:color w:val="161616"/>
          <w:szCs w:val="22"/>
        </w:rPr>
      </w:pPr>
      <w:r w:rsidRPr="00D51B36">
        <w:rPr>
          <w:rStyle w:val="FootnoteReference"/>
          <w:sz w:val="20"/>
        </w:rPr>
        <w:footnoteRef/>
      </w:r>
      <w:r w:rsidRPr="00D51B36">
        <w:rPr>
          <w:sz w:val="20"/>
        </w:rPr>
        <w:t xml:space="preserve"> </w:t>
      </w:r>
      <w:r w:rsidRPr="00C867ED">
        <w:rPr>
          <w:sz w:val="20"/>
        </w:rPr>
        <w:t>USTelecom states</w:t>
      </w:r>
      <w:r w:rsidRPr="00C867ED" w:rsidR="00C867ED">
        <w:rPr>
          <w:sz w:val="20"/>
        </w:rPr>
        <w:t xml:space="preserve"> </w:t>
      </w:r>
      <w:r w:rsidR="00C867ED">
        <w:rPr>
          <w:sz w:val="20"/>
        </w:rPr>
        <w:t>forbearance “[r]</w:t>
      </w:r>
      <w:r w:rsidRPr="00C867ED" w:rsidR="00C867ED">
        <w:rPr>
          <w:color w:val="161616"/>
          <w:sz w:val="20"/>
        </w:rPr>
        <w:t xml:space="preserve">elief is sought for all </w:t>
      </w:r>
      <w:r w:rsidR="00C52275">
        <w:rPr>
          <w:color w:val="161616"/>
          <w:sz w:val="20"/>
        </w:rPr>
        <w:t>[Regional Bell Operating Companies (RBOCs)]</w:t>
      </w:r>
      <w:r w:rsidRPr="00C867ED" w:rsidR="00C867ED">
        <w:rPr>
          <w:color w:val="161616"/>
          <w:sz w:val="20"/>
        </w:rPr>
        <w:t xml:space="preserve"> or all </w:t>
      </w:r>
      <w:r w:rsidR="00C52275">
        <w:rPr>
          <w:color w:val="161616"/>
          <w:sz w:val="20"/>
        </w:rPr>
        <w:t>[incumbent local exchange carriers (LECs)]</w:t>
      </w:r>
      <w:r w:rsidRPr="00C867ED" w:rsidR="00C867ED">
        <w:rPr>
          <w:color w:val="161616"/>
          <w:sz w:val="20"/>
        </w:rPr>
        <w:t>, depending on the class to which the specific obligation at issue applies</w:t>
      </w:r>
      <w:r w:rsidRPr="00C867ED">
        <w:rPr>
          <w:sz w:val="20"/>
        </w:rPr>
        <w:t>.</w:t>
      </w:r>
      <w:r w:rsidR="00C867ED">
        <w:rPr>
          <w:sz w:val="20"/>
        </w:rPr>
        <w:t>”</w:t>
      </w:r>
      <w:r w:rsidRPr="00C867ED">
        <w:rPr>
          <w:sz w:val="20"/>
        </w:rPr>
        <w:t xml:space="preserve">  </w:t>
      </w:r>
      <w:r w:rsidRPr="00C867ED">
        <w:rPr>
          <w:i/>
          <w:sz w:val="20"/>
        </w:rPr>
        <w:t>Id</w:t>
      </w:r>
      <w:r w:rsidRPr="00C867ED">
        <w:rPr>
          <w:sz w:val="20"/>
        </w:rPr>
        <w:t xml:space="preserve">. at 2 n.3. </w:t>
      </w:r>
      <w:r w:rsidR="00F62ED3">
        <w:rPr>
          <w:sz w:val="20"/>
        </w:rPr>
        <w:t xml:space="preserve"> </w:t>
      </w:r>
      <w:r w:rsidRPr="00C867ED" w:rsidR="00AD5EB4">
        <w:rPr>
          <w:sz w:val="20"/>
        </w:rPr>
        <w:t xml:space="preserve">The specific regulations and </w:t>
      </w:r>
      <w:r w:rsidRPr="00C867ED">
        <w:rPr>
          <w:sz w:val="20"/>
        </w:rPr>
        <w:t xml:space="preserve">the associated relief that USTelecom seeks </w:t>
      </w:r>
      <w:r w:rsidRPr="00C867ED" w:rsidR="00AD5EB4">
        <w:rPr>
          <w:sz w:val="20"/>
        </w:rPr>
        <w:t>as well</w:t>
      </w:r>
      <w:r w:rsidRPr="00AD5EB4" w:rsidR="00AD5EB4">
        <w:rPr>
          <w:sz w:val="20"/>
        </w:rPr>
        <w:t xml:space="preserve"> as </w:t>
      </w:r>
      <w:r w:rsidRPr="00AD5EB4" w:rsidR="00AD5EB4">
        <w:rPr>
          <w:color w:val="161616"/>
          <w:sz w:val="20"/>
        </w:rPr>
        <w:t>a list of pending proceedings in which USTelecom has taken a position regarding relief that is identical to, or comparable to, the relief sought in this Petition</w:t>
      </w:r>
      <w:r w:rsidRPr="00AD5EB4" w:rsidR="00AD5EB4">
        <w:rPr>
          <w:sz w:val="20"/>
        </w:rPr>
        <w:t xml:space="preserve"> </w:t>
      </w:r>
      <w:r w:rsidRPr="00AD5EB4">
        <w:rPr>
          <w:sz w:val="20"/>
        </w:rPr>
        <w:t>are detailed in Appendix A to the Petition.</w:t>
      </w:r>
      <w:r w:rsidRPr="00D50CF7">
        <w:rPr>
          <w:sz w:val="20"/>
        </w:rPr>
        <w:t xml:space="preserve"> </w:t>
      </w:r>
      <w:r w:rsidR="00AD5EB4">
        <w:rPr>
          <w:sz w:val="20"/>
        </w:rPr>
        <w:t xml:space="preserve"> </w:t>
      </w:r>
      <w:r w:rsidR="00AD5EB4">
        <w:rPr>
          <w:i/>
          <w:sz w:val="20"/>
        </w:rPr>
        <w:t>Id.</w:t>
      </w:r>
      <w:r w:rsidR="00AD5EB4">
        <w:rPr>
          <w:sz w:val="20"/>
        </w:rPr>
        <w:t xml:space="preserve"> </w:t>
      </w:r>
    </w:p>
  </w:footnote>
  <w:footnote w:id="6">
    <w:p w:rsidR="006F7C8C" w:rsidRPr="00D50CF7" w:rsidP="00FB0980" w14:paraId="26D37DB8" w14:textId="77777777">
      <w:pPr>
        <w:pStyle w:val="FootnoteText"/>
        <w:spacing w:after="120"/>
        <w:rPr>
          <w:sz w:val="20"/>
        </w:rPr>
      </w:pPr>
      <w:r w:rsidRPr="00D50CF7">
        <w:rPr>
          <w:rStyle w:val="FootnoteReference"/>
          <w:sz w:val="20"/>
        </w:rPr>
        <w:footnoteRef/>
      </w:r>
      <w:r w:rsidRPr="00D50CF7">
        <w:rPr>
          <w:sz w:val="20"/>
        </w:rPr>
        <w:t xml:space="preserve"> </w:t>
      </w:r>
      <w:r w:rsidR="002B40CE">
        <w:rPr>
          <w:i/>
          <w:sz w:val="20"/>
        </w:rPr>
        <w:t>See i</w:t>
      </w:r>
      <w:r w:rsidRPr="00D50CF7">
        <w:rPr>
          <w:i/>
          <w:sz w:val="20"/>
        </w:rPr>
        <w:t>d</w:t>
      </w:r>
      <w:r w:rsidR="00D50CF7">
        <w:rPr>
          <w:sz w:val="20"/>
        </w:rPr>
        <w:t>.</w:t>
      </w:r>
      <w:r w:rsidRPr="00D50CF7">
        <w:rPr>
          <w:sz w:val="20"/>
        </w:rPr>
        <w:t xml:space="preserve"> at Appx. A, 1.</w:t>
      </w:r>
    </w:p>
  </w:footnote>
  <w:footnote w:id="7">
    <w:p w:rsidR="00D50CF7" w:rsidRPr="00D50CF7" w:rsidP="00FB0980" w14:paraId="1A8AB83D" w14:textId="77777777">
      <w:pPr>
        <w:pStyle w:val="FootnoteText"/>
        <w:spacing w:after="120"/>
        <w:rPr>
          <w:sz w:val="20"/>
        </w:rPr>
      </w:pPr>
      <w:r w:rsidRPr="00D50CF7">
        <w:rPr>
          <w:rStyle w:val="FootnoteReference"/>
          <w:sz w:val="20"/>
        </w:rPr>
        <w:footnoteRef/>
      </w:r>
      <w:r w:rsidRPr="00D50CF7">
        <w:rPr>
          <w:sz w:val="20"/>
        </w:rPr>
        <w:t xml:space="preserve"> </w:t>
      </w:r>
      <w:r w:rsidR="002B40CE">
        <w:rPr>
          <w:i/>
          <w:sz w:val="20"/>
        </w:rPr>
        <w:t>See id</w:t>
      </w:r>
      <w:r>
        <w:rPr>
          <w:sz w:val="20"/>
        </w:rPr>
        <w:t>.</w:t>
      </w:r>
      <w:r w:rsidRPr="00D50CF7">
        <w:rPr>
          <w:i/>
          <w:sz w:val="20"/>
        </w:rPr>
        <w:t xml:space="preserve"> </w:t>
      </w:r>
      <w:r w:rsidR="00FB0980">
        <w:rPr>
          <w:sz w:val="20"/>
        </w:rPr>
        <w:t xml:space="preserve">at </w:t>
      </w:r>
      <w:r w:rsidR="002B40CE">
        <w:rPr>
          <w:sz w:val="20"/>
        </w:rPr>
        <w:t xml:space="preserve">Appx. A, </w:t>
      </w:r>
      <w:r w:rsidRPr="00D50CF7">
        <w:rPr>
          <w:sz w:val="20"/>
        </w:rPr>
        <w:t>1-2.</w:t>
      </w:r>
    </w:p>
  </w:footnote>
  <w:footnote w:id="8">
    <w:p w:rsidR="00D50CF7" w:rsidRPr="00D50CF7" w:rsidP="00FB0980" w14:paraId="56CABF12" w14:textId="77777777">
      <w:pPr>
        <w:pStyle w:val="FootnoteText"/>
        <w:spacing w:after="120"/>
      </w:pPr>
      <w:r w:rsidRPr="00D50CF7">
        <w:rPr>
          <w:rStyle w:val="FootnoteReference"/>
          <w:sz w:val="20"/>
        </w:rPr>
        <w:footnoteRef/>
      </w:r>
      <w:r w:rsidRPr="00D50CF7">
        <w:rPr>
          <w:sz w:val="20"/>
        </w:rPr>
        <w:t xml:space="preserve"> </w:t>
      </w:r>
      <w:r w:rsidRPr="002B40CE" w:rsidR="002B40CE">
        <w:rPr>
          <w:i/>
          <w:sz w:val="20"/>
        </w:rPr>
        <w:t>See id</w:t>
      </w:r>
      <w:r w:rsidRPr="002B40CE" w:rsidR="002B40CE">
        <w:rPr>
          <w:sz w:val="20"/>
        </w:rPr>
        <w:t xml:space="preserve">. at </w:t>
      </w:r>
      <w:r w:rsidR="002B40CE">
        <w:rPr>
          <w:sz w:val="20"/>
        </w:rPr>
        <w:t>Appx. A, 1.</w:t>
      </w:r>
    </w:p>
  </w:footnote>
  <w:footnote w:id="9">
    <w:p w:rsidR="0095457F" w:rsidRPr="0095457F" w:rsidP="00FB0980" w14:paraId="3B10F73F" w14:textId="77777777">
      <w:pPr>
        <w:pStyle w:val="FootnoteText"/>
        <w:spacing w:after="120"/>
        <w:rPr>
          <w:sz w:val="20"/>
        </w:rPr>
      </w:pPr>
      <w:r>
        <w:rPr>
          <w:rStyle w:val="FootnoteReference"/>
        </w:rPr>
        <w:footnoteRef/>
      </w:r>
      <w:r>
        <w:t xml:space="preserve"> </w:t>
      </w:r>
      <w:r w:rsidRPr="0095457F">
        <w:rPr>
          <w:sz w:val="20"/>
        </w:rPr>
        <w:t xml:space="preserve">Parties </w:t>
      </w:r>
      <w:r>
        <w:rPr>
          <w:sz w:val="20"/>
        </w:rPr>
        <w:t xml:space="preserve">filing brief comments that do not contain a table of contents or opening summary may identify the category their comments are addressing in their opening paragraph. </w:t>
      </w:r>
    </w:p>
  </w:footnote>
  <w:footnote w:id="10">
    <w:p w:rsidR="0025359C" w:rsidRPr="001B64A7" w:rsidP="00FB0980" w14:paraId="14EA0055" w14:textId="77777777">
      <w:pPr>
        <w:pStyle w:val="FootnoteText"/>
        <w:spacing w:after="120"/>
        <w:rPr>
          <w:sz w:val="20"/>
        </w:rPr>
      </w:pPr>
      <w:r w:rsidRPr="001B64A7">
        <w:rPr>
          <w:rStyle w:val="FootnoteReference"/>
          <w:sz w:val="20"/>
        </w:rPr>
        <w:footnoteRef/>
      </w:r>
      <w:r w:rsidRPr="001B64A7">
        <w:rPr>
          <w:sz w:val="20"/>
        </w:rPr>
        <w:t xml:space="preserve"> 47 CFR § 1.1200 </w:t>
      </w:r>
      <w:r w:rsidRPr="001B64A7">
        <w:rPr>
          <w:i/>
          <w:iCs/>
          <w:sz w:val="20"/>
        </w:rPr>
        <w:t>et seq</w:t>
      </w:r>
      <w:r w:rsidRPr="001B64A7">
        <w:rPr>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E7" w14:paraId="3F5F32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E7" w14:paraId="175FC0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59C" w14:paraId="0B988C0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Pr>
        <w:rFonts w:ascii="News Gothic MT" w:hAnsi="News Gothic MT"/>
        <w:b/>
        <w:kern w:val="28"/>
        <w:sz w:val="96"/>
      </w:rPr>
      <w:t xml:space="preserve">  PUBLIC NOTICE</w:t>
    </w:r>
  </w:p>
  <w:p w:rsidR="0025359C" w:rsidRPr="00AA3770" w:rsidP="00AA3770" w14:paraId="763F8B80" w14:textId="77777777">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63360"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25359C" w14:paraId="6BC595C8" w14:textId="77777777">
                <w:pPr>
                  <w:rPr>
                    <w:rFonts w:ascii="Arial" w:hAnsi="Arial"/>
                    <w:b/>
                  </w:rPr>
                </w:pPr>
                <w:r>
                  <w:rPr>
                    <w:rFonts w:ascii="Arial" w:hAnsi="Arial"/>
                    <w:b/>
                  </w:rPr>
                  <w:t>Federal Communications Commission</w:t>
                </w:r>
              </w:p>
              <w:p w:rsidR="0025359C" w14:paraId="161019B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59C" w14:paraId="02B71EEE" w14:textId="77777777">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5359C" w14:paraId="60B36662" w14:textId="77777777">
                <w:pPr>
                  <w:spacing w:before="40"/>
                  <w:jc w:val="right"/>
                  <w:rPr>
                    <w:rFonts w:ascii="Arial" w:hAnsi="Arial"/>
                    <w:b/>
                    <w:sz w:val="16"/>
                  </w:rPr>
                </w:pPr>
                <w:r>
                  <w:rPr>
                    <w:rFonts w:ascii="Arial" w:hAnsi="Arial"/>
                    <w:b/>
                    <w:sz w:val="16"/>
                  </w:rPr>
                  <w:t>News Media Information 202 / 418-0500</w:t>
                </w:r>
              </w:p>
              <w:p w:rsidR="0025359C" w14:paraId="5D6BA7C6" w14:textId="77777777">
                <w:pPr>
                  <w:jc w:val="right"/>
                  <w:rPr>
                    <w:rFonts w:ascii="Arial" w:hAnsi="Arial"/>
                    <w:b/>
                    <w:sz w:val="16"/>
                  </w:rPr>
                </w:pPr>
                <w:r>
                  <w:rPr>
                    <w:rFonts w:ascii="Arial" w:hAnsi="Arial"/>
                    <w:b/>
                    <w:sz w:val="16"/>
                  </w:rPr>
                  <w:tab/>
                  <w:t>Internet: http://www.fcc.gov</w:t>
                </w:r>
              </w:p>
              <w:p w:rsidR="0025359C" w14:paraId="06103F89" w14:textId="77777777">
                <w:pPr>
                  <w:jc w:val="right"/>
                  <w:rPr>
                    <w:rFonts w:ascii="Arial" w:hAnsi="Arial"/>
                    <w:b/>
                    <w:sz w:val="16"/>
                  </w:rPr>
                </w:pPr>
                <w:r>
                  <w:rPr>
                    <w:rFonts w:ascii="Arial" w:hAnsi="Arial"/>
                    <w:b/>
                    <w:sz w:val="16"/>
                  </w:rPr>
                  <w:t>TTY: 1-888-835-5322</w:t>
                </w:r>
              </w:p>
              <w:p w:rsidR="0025359C" w14:paraId="38620DC3" w14:textId="77777777">
                <w:pPr>
                  <w:jc w:val="right"/>
                </w:pP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682F3A8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76E4410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4"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width:244.8pt;height:50.4pt;margin-top:0.4pt;margin-left:30pt;position:absolute;z-index:251658240" o:allowincell="f" stroked="f">
          <v:textbox>
            <w:txbxContent>
              <w:p w:rsidR="00602577" w14:paraId="12B0CF65" w14:textId="77777777">
                <w:pPr>
                  <w:rPr>
                    <w:rFonts w:ascii="Arial" w:hAnsi="Arial"/>
                    <w:b/>
                  </w:rPr>
                </w:pPr>
                <w:r>
                  <w:rPr>
                    <w:rFonts w:ascii="Arial" w:hAnsi="Arial"/>
                    <w:b/>
                  </w:rPr>
                  <w:t>Federal Communications Commission</w:t>
                </w:r>
              </w:p>
              <w:p w:rsidR="00602577" w14:paraId="24111E3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FC143F4"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6" type="#_x0000_t202" style="width:207.95pt;height:43.2pt;margin-top:10.25pt;margin-left:301.5pt;position:absolute;z-index:251660288" o:allowincell="f" stroked="f">
          <v:textbox inset=",0,,0">
            <w:txbxContent>
              <w:p w:rsidR="00602577" w14:paraId="0AE10A6C" w14:textId="77777777">
                <w:pPr>
                  <w:spacing w:before="40"/>
                  <w:jc w:val="right"/>
                  <w:rPr>
                    <w:rFonts w:ascii="Arial" w:hAnsi="Arial"/>
                    <w:b/>
                    <w:sz w:val="16"/>
                  </w:rPr>
                </w:pPr>
                <w:r>
                  <w:rPr>
                    <w:rFonts w:ascii="Arial" w:hAnsi="Arial"/>
                    <w:b/>
                    <w:sz w:val="16"/>
                  </w:rPr>
                  <w:t>News Media Information 202 / 418-0500</w:t>
                </w:r>
              </w:p>
              <w:p w:rsidR="00602577" w14:paraId="76597E90"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14:paraId="62595664" w14:textId="77777777">
                <w:pPr>
                  <w:jc w:val="right"/>
                  <w:rPr>
                    <w:rFonts w:ascii="Arial" w:hAnsi="Arial"/>
                    <w:b/>
                    <w:sz w:val="16"/>
                  </w:rPr>
                </w:pPr>
                <w:r>
                  <w:rPr>
                    <w:rFonts w:ascii="Arial" w:hAnsi="Arial"/>
                    <w:b/>
                    <w:sz w:val="16"/>
                  </w:rPr>
                  <w:t>TTY: 1-888-835-5322</w:t>
                </w:r>
              </w:p>
              <w:p w:rsidR="00602577" w14:paraId="185432BE" w14:textId="77777777">
                <w:pPr>
                  <w:jc w:val="right"/>
                </w:pPr>
              </w:p>
            </w:txbxContent>
          </v:textbox>
        </v:shape>
      </w:pict>
    </w:r>
  </w:p>
  <w:p w:rsidR="00602577" w14:paraId="2D9E8A8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linkStyles/>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9C"/>
    <w:rsid w:val="000265AE"/>
    <w:rsid w:val="00094905"/>
    <w:rsid w:val="000A2F51"/>
    <w:rsid w:val="000A7890"/>
    <w:rsid w:val="000C159F"/>
    <w:rsid w:val="00106E8A"/>
    <w:rsid w:val="00116983"/>
    <w:rsid w:val="001771E5"/>
    <w:rsid w:val="001B64A7"/>
    <w:rsid w:val="001B777E"/>
    <w:rsid w:val="00237323"/>
    <w:rsid w:val="0025359C"/>
    <w:rsid w:val="002B40CE"/>
    <w:rsid w:val="002D002D"/>
    <w:rsid w:val="002E4059"/>
    <w:rsid w:val="00376151"/>
    <w:rsid w:val="003E10CA"/>
    <w:rsid w:val="00416470"/>
    <w:rsid w:val="00434A3F"/>
    <w:rsid w:val="00443249"/>
    <w:rsid w:val="0044567B"/>
    <w:rsid w:val="004659D6"/>
    <w:rsid w:val="00467A11"/>
    <w:rsid w:val="00500A42"/>
    <w:rsid w:val="00516A37"/>
    <w:rsid w:val="005F1178"/>
    <w:rsid w:val="00602577"/>
    <w:rsid w:val="006147A5"/>
    <w:rsid w:val="00627384"/>
    <w:rsid w:val="00646484"/>
    <w:rsid w:val="006524B5"/>
    <w:rsid w:val="00691EB6"/>
    <w:rsid w:val="00697082"/>
    <w:rsid w:val="006D7D85"/>
    <w:rsid w:val="006F7C8C"/>
    <w:rsid w:val="007029C0"/>
    <w:rsid w:val="00733937"/>
    <w:rsid w:val="007B1F28"/>
    <w:rsid w:val="007D6D37"/>
    <w:rsid w:val="007E7F14"/>
    <w:rsid w:val="008356A2"/>
    <w:rsid w:val="00850FE2"/>
    <w:rsid w:val="008632EF"/>
    <w:rsid w:val="00891D28"/>
    <w:rsid w:val="00947161"/>
    <w:rsid w:val="0095457F"/>
    <w:rsid w:val="009C47F6"/>
    <w:rsid w:val="009D65CC"/>
    <w:rsid w:val="009E0779"/>
    <w:rsid w:val="009F4AD6"/>
    <w:rsid w:val="00A038DF"/>
    <w:rsid w:val="00A14B49"/>
    <w:rsid w:val="00A85563"/>
    <w:rsid w:val="00AA22DC"/>
    <w:rsid w:val="00AA3770"/>
    <w:rsid w:val="00AD01C6"/>
    <w:rsid w:val="00AD5EB4"/>
    <w:rsid w:val="00AF6B3E"/>
    <w:rsid w:val="00B76B77"/>
    <w:rsid w:val="00BB306C"/>
    <w:rsid w:val="00BF2D4D"/>
    <w:rsid w:val="00BF688C"/>
    <w:rsid w:val="00C52275"/>
    <w:rsid w:val="00C65AE9"/>
    <w:rsid w:val="00C867ED"/>
    <w:rsid w:val="00C8756C"/>
    <w:rsid w:val="00CB7ABD"/>
    <w:rsid w:val="00CB7F0B"/>
    <w:rsid w:val="00CE641C"/>
    <w:rsid w:val="00D17DC0"/>
    <w:rsid w:val="00D50CF7"/>
    <w:rsid w:val="00D51B36"/>
    <w:rsid w:val="00D60EFF"/>
    <w:rsid w:val="00DF7BE7"/>
    <w:rsid w:val="00E24D6A"/>
    <w:rsid w:val="00E66287"/>
    <w:rsid w:val="00EA03BC"/>
    <w:rsid w:val="00EB46B4"/>
    <w:rsid w:val="00EC6E04"/>
    <w:rsid w:val="00EE508E"/>
    <w:rsid w:val="00EE58B6"/>
    <w:rsid w:val="00F13E44"/>
    <w:rsid w:val="00F57139"/>
    <w:rsid w:val="00F574D9"/>
    <w:rsid w:val="00F62ED3"/>
    <w:rsid w:val="00F827FD"/>
    <w:rsid w:val="00F9488C"/>
    <w:rsid w:val="00FB0980"/>
    <w:rsid w:val="00FD06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F6"/>
    <w:rPr>
      <w:sz w:val="22"/>
    </w:rPr>
  </w:style>
  <w:style w:type="paragraph" w:styleId="Heading1">
    <w:name w:val="heading 1"/>
    <w:basedOn w:val="Normal"/>
    <w:next w:val="Normal"/>
    <w:qFormat/>
    <w:rsid w:val="009C47F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C47F6"/>
    <w:pPr>
      <w:keepNext/>
      <w:widowControl w:val="0"/>
      <w:numPr>
        <w:ilvl w:val="1"/>
        <w:numId w:val="2"/>
      </w:numPr>
      <w:spacing w:after="220"/>
      <w:jc w:val="both"/>
      <w:outlineLvl w:val="1"/>
    </w:pPr>
    <w:rPr>
      <w:b/>
    </w:rPr>
  </w:style>
  <w:style w:type="paragraph" w:styleId="Heading3">
    <w:name w:val="heading 3"/>
    <w:basedOn w:val="Normal"/>
    <w:next w:val="Normal"/>
    <w:qFormat/>
    <w:rsid w:val="009C47F6"/>
    <w:pPr>
      <w:keepNext/>
      <w:widowControl w:val="0"/>
      <w:numPr>
        <w:ilvl w:val="2"/>
        <w:numId w:val="2"/>
      </w:numPr>
      <w:spacing w:after="220"/>
      <w:jc w:val="both"/>
      <w:outlineLvl w:val="2"/>
    </w:pPr>
    <w:rPr>
      <w:b/>
    </w:rPr>
  </w:style>
  <w:style w:type="paragraph" w:styleId="Heading4">
    <w:name w:val="heading 4"/>
    <w:basedOn w:val="Normal"/>
    <w:next w:val="Normal"/>
    <w:qFormat/>
    <w:rsid w:val="009C47F6"/>
    <w:pPr>
      <w:keepNext/>
      <w:widowControl w:val="0"/>
      <w:numPr>
        <w:ilvl w:val="3"/>
        <w:numId w:val="2"/>
      </w:numPr>
      <w:spacing w:after="220"/>
      <w:jc w:val="both"/>
      <w:outlineLvl w:val="3"/>
    </w:pPr>
    <w:rPr>
      <w:b/>
    </w:rPr>
  </w:style>
  <w:style w:type="paragraph" w:styleId="Heading5">
    <w:name w:val="heading 5"/>
    <w:basedOn w:val="Normal"/>
    <w:next w:val="Normal"/>
    <w:qFormat/>
    <w:rsid w:val="009C47F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C47F6"/>
    <w:pPr>
      <w:widowControl w:val="0"/>
      <w:numPr>
        <w:ilvl w:val="5"/>
        <w:numId w:val="2"/>
      </w:numPr>
      <w:spacing w:after="220"/>
      <w:jc w:val="both"/>
      <w:outlineLvl w:val="5"/>
    </w:pPr>
    <w:rPr>
      <w:b/>
    </w:rPr>
  </w:style>
  <w:style w:type="paragraph" w:styleId="Heading7">
    <w:name w:val="heading 7"/>
    <w:basedOn w:val="Normal"/>
    <w:next w:val="Normal"/>
    <w:qFormat/>
    <w:rsid w:val="009C47F6"/>
    <w:pPr>
      <w:widowControl w:val="0"/>
      <w:numPr>
        <w:ilvl w:val="7"/>
        <w:numId w:val="2"/>
      </w:numPr>
      <w:spacing w:after="220"/>
      <w:jc w:val="both"/>
      <w:outlineLvl w:val="6"/>
    </w:pPr>
    <w:rPr>
      <w:b/>
    </w:rPr>
  </w:style>
  <w:style w:type="paragraph" w:styleId="Heading8">
    <w:name w:val="heading 8"/>
    <w:basedOn w:val="Normal"/>
    <w:next w:val="Normal"/>
    <w:qFormat/>
    <w:rsid w:val="009C47F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C47F6"/>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C47F6"/>
    <w:pPr>
      <w:tabs>
        <w:tab w:val="center" w:pos="4320"/>
        <w:tab w:val="right" w:pos="8640"/>
      </w:tabs>
    </w:pPr>
  </w:style>
  <w:style w:type="paragraph" w:styleId="Footer">
    <w:name w:val="footer"/>
    <w:basedOn w:val="Normal"/>
    <w:link w:val="FooterChar"/>
    <w:rsid w:val="009C47F6"/>
    <w:pPr>
      <w:tabs>
        <w:tab w:val="center" w:pos="4320"/>
        <w:tab w:val="right" w:pos="8640"/>
      </w:tabs>
    </w:pPr>
  </w:style>
  <w:style w:type="character" w:styleId="Hyperlink">
    <w:name w:val="Hyperlink"/>
    <w:semiHidden/>
    <w:rsid w:val="009C47F6"/>
    <w:rPr>
      <w:color w:val="0000FF"/>
      <w:u w:val="single"/>
    </w:rPr>
  </w:style>
  <w:style w:type="paragraph" w:styleId="BlockText">
    <w:name w:val="Block Text"/>
    <w:basedOn w:val="Normal"/>
    <w:semiHidden/>
    <w:rsid w:val="009C47F6"/>
    <w:pPr>
      <w:widowControl w:val="0"/>
      <w:spacing w:after="220"/>
      <w:ind w:left="1440" w:right="1440"/>
      <w:jc w:val="both"/>
    </w:pPr>
  </w:style>
  <w:style w:type="paragraph" w:customStyle="1" w:styleId="Bullet">
    <w:name w:val="Bullet"/>
    <w:basedOn w:val="Normal"/>
    <w:rsid w:val="009C47F6"/>
    <w:pPr>
      <w:widowControl w:val="0"/>
      <w:numPr>
        <w:numId w:val="1"/>
      </w:numPr>
      <w:tabs>
        <w:tab w:val="clear" w:pos="2520"/>
      </w:tabs>
      <w:spacing w:after="220"/>
      <w:ind w:left="2160" w:hanging="720"/>
      <w:jc w:val="both"/>
    </w:pPr>
  </w:style>
  <w:style w:type="paragraph" w:styleId="Caption">
    <w:name w:val="caption"/>
    <w:basedOn w:val="Normal"/>
    <w:next w:val="Normal"/>
    <w:qFormat/>
    <w:rsid w:val="009C47F6"/>
    <w:pPr>
      <w:spacing w:before="120" w:after="120"/>
    </w:pPr>
    <w:rPr>
      <w:b/>
    </w:rPr>
  </w:style>
  <w:style w:type="character" w:styleId="FootnoteReference">
    <w:name w:val="footnote reference"/>
    <w:semiHidden/>
    <w:rsid w:val="009C47F6"/>
    <w:rPr>
      <w:vertAlign w:val="superscript"/>
    </w:rPr>
  </w:style>
  <w:style w:type="paragraph" w:styleId="FootnoteText">
    <w:name w:val="footnote text"/>
    <w:aliases w:val="ALTS FOOTNOTE"/>
    <w:basedOn w:val="Normal"/>
    <w:link w:val="FootnoteTextChar"/>
    <w:semiHidden/>
    <w:rsid w:val="009C47F6"/>
    <w:pPr>
      <w:tabs>
        <w:tab w:val="left" w:pos="720"/>
      </w:tabs>
      <w:spacing w:after="200"/>
    </w:pPr>
  </w:style>
  <w:style w:type="paragraph" w:customStyle="1" w:styleId="NumberedList">
    <w:name w:val="Numbered List"/>
    <w:basedOn w:val="Normal"/>
    <w:rsid w:val="009C47F6"/>
    <w:pPr>
      <w:numPr>
        <w:numId w:val="11"/>
      </w:numPr>
      <w:tabs>
        <w:tab w:val="clear" w:pos="1080"/>
      </w:tabs>
      <w:spacing w:after="220"/>
      <w:ind w:firstLine="0"/>
    </w:pPr>
  </w:style>
  <w:style w:type="paragraph" w:customStyle="1" w:styleId="Paranum">
    <w:name w:val="Paranum"/>
    <w:basedOn w:val="Normal"/>
    <w:rsid w:val="009C47F6"/>
    <w:pPr>
      <w:widowControl w:val="0"/>
      <w:numPr>
        <w:numId w:val="12"/>
      </w:numPr>
      <w:tabs>
        <w:tab w:val="clear" w:pos="1080"/>
      </w:tabs>
      <w:spacing w:after="220"/>
      <w:jc w:val="both"/>
    </w:pPr>
  </w:style>
  <w:style w:type="paragraph" w:customStyle="1" w:styleId="TableFormat">
    <w:name w:val="Table Format"/>
    <w:basedOn w:val="Normal"/>
    <w:rsid w:val="009C47F6"/>
    <w:pPr>
      <w:widowControl w:val="0"/>
      <w:tabs>
        <w:tab w:val="left" w:pos="5040"/>
      </w:tabs>
      <w:spacing w:after="220"/>
      <w:ind w:left="5040" w:hanging="3600"/>
      <w:jc w:val="both"/>
    </w:pPr>
  </w:style>
  <w:style w:type="paragraph" w:styleId="TOC1">
    <w:name w:val="toc 1"/>
    <w:basedOn w:val="Normal"/>
    <w:next w:val="Normal"/>
    <w:autoRedefine/>
    <w:semiHidden/>
    <w:rsid w:val="009C47F6"/>
    <w:rPr>
      <w:caps/>
    </w:rPr>
  </w:style>
  <w:style w:type="character" w:styleId="FollowedHyperlink">
    <w:name w:val="FollowedHyperlink"/>
    <w:semiHidden/>
    <w:rsid w:val="009C47F6"/>
    <w:rPr>
      <w:color w:val="800080"/>
      <w:u w:val="single"/>
    </w:rPr>
  </w:style>
  <w:style w:type="character" w:customStyle="1" w:styleId="HeaderChar">
    <w:name w:val="Header Char"/>
    <w:link w:val="Header"/>
    <w:semiHidden/>
    <w:rsid w:val="0025359C"/>
    <w:rPr>
      <w:sz w:val="22"/>
    </w:rPr>
  </w:style>
  <w:style w:type="character" w:customStyle="1" w:styleId="FootnoteTextChar">
    <w:name w:val="Footnote Text Char"/>
    <w:aliases w:val="ALTS FOOTNOTE Char"/>
    <w:link w:val="FootnoteText"/>
    <w:semiHidden/>
    <w:rsid w:val="0025359C"/>
    <w:rPr>
      <w:sz w:val="22"/>
    </w:rPr>
  </w:style>
  <w:style w:type="character" w:customStyle="1" w:styleId="FooterChar">
    <w:name w:val="Footer Char"/>
    <w:link w:val="Footer"/>
    <w:rsid w:val="0025359C"/>
    <w:rPr>
      <w:sz w:val="22"/>
    </w:rPr>
  </w:style>
  <w:style w:type="character" w:styleId="CommentReference">
    <w:name w:val="annotation reference"/>
    <w:uiPriority w:val="99"/>
    <w:semiHidden/>
    <w:unhideWhenUsed/>
    <w:rsid w:val="00947161"/>
    <w:rPr>
      <w:sz w:val="16"/>
      <w:szCs w:val="16"/>
    </w:rPr>
  </w:style>
  <w:style w:type="paragraph" w:styleId="CommentText">
    <w:name w:val="annotation text"/>
    <w:basedOn w:val="Normal"/>
    <w:link w:val="CommentTextChar"/>
    <w:uiPriority w:val="99"/>
    <w:semiHidden/>
    <w:unhideWhenUsed/>
    <w:rsid w:val="00947161"/>
    <w:rPr>
      <w:sz w:val="20"/>
    </w:rPr>
  </w:style>
  <w:style w:type="character" w:customStyle="1" w:styleId="CommentTextChar">
    <w:name w:val="Comment Text Char"/>
    <w:basedOn w:val="DefaultParagraphFont"/>
    <w:link w:val="CommentText"/>
    <w:uiPriority w:val="99"/>
    <w:semiHidden/>
    <w:rsid w:val="00947161"/>
  </w:style>
  <w:style w:type="paragraph" w:styleId="CommentSubject">
    <w:name w:val="annotation subject"/>
    <w:basedOn w:val="CommentText"/>
    <w:next w:val="CommentText"/>
    <w:link w:val="CommentSubjectChar"/>
    <w:uiPriority w:val="99"/>
    <w:semiHidden/>
    <w:unhideWhenUsed/>
    <w:rsid w:val="00947161"/>
    <w:rPr>
      <w:b/>
      <w:bCs/>
    </w:rPr>
  </w:style>
  <w:style w:type="character" w:customStyle="1" w:styleId="CommentSubjectChar">
    <w:name w:val="Comment Subject Char"/>
    <w:link w:val="CommentSubject"/>
    <w:uiPriority w:val="99"/>
    <w:semiHidden/>
    <w:rsid w:val="00947161"/>
    <w:rPr>
      <w:b/>
      <w:bCs/>
    </w:rPr>
  </w:style>
  <w:style w:type="paragraph" w:styleId="BalloonText">
    <w:name w:val="Balloon Text"/>
    <w:basedOn w:val="Normal"/>
    <w:link w:val="BalloonTextChar"/>
    <w:uiPriority w:val="99"/>
    <w:semiHidden/>
    <w:unhideWhenUsed/>
    <w:rsid w:val="00947161"/>
    <w:rPr>
      <w:rFonts w:ascii="Segoe UI" w:hAnsi="Segoe UI" w:cs="Segoe UI"/>
      <w:sz w:val="18"/>
      <w:szCs w:val="18"/>
    </w:rPr>
  </w:style>
  <w:style w:type="character" w:customStyle="1" w:styleId="BalloonTextChar">
    <w:name w:val="Balloon Text Char"/>
    <w:link w:val="BalloonText"/>
    <w:uiPriority w:val="99"/>
    <w:semiHidden/>
    <w:rsid w:val="00947161"/>
    <w:rPr>
      <w:rFonts w:ascii="Segoe UI" w:hAnsi="Segoe UI" w:cs="Segoe UI"/>
      <w:sz w:val="18"/>
      <w:szCs w:val="18"/>
    </w:rPr>
  </w:style>
  <w:style w:type="character" w:customStyle="1" w:styleId="UnresolvedMention">
    <w:name w:val="Unresolved Mention"/>
    <w:uiPriority w:val="99"/>
    <w:semiHidden/>
    <w:unhideWhenUsed/>
    <w:rsid w:val="00237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C88F-AF7E-42A4-BFAE-D70C4E36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2018-05-08T20:43:15Z</dcterms:created>
  <dcterms:modified xsi:type="dcterms:W3CDTF">2018-05-08T20:43:15Z</dcterms:modified>
</cp:coreProperties>
</file>