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E5884" w:rsidP="00C82B6B" w14:paraId="5BA02E88" w14:textId="77777777">
      <w:pPr>
        <w:jc w:val="right"/>
        <w:rPr>
          <w:sz w:val="24"/>
        </w:rPr>
      </w:pPr>
      <w:bookmarkStart w:id="0" w:name="_GoBack"/>
      <w:bookmarkEnd w:id="0"/>
    </w:p>
    <w:p w:rsidR="00C82B6B" w:rsidRPr="00854B58" w:rsidP="00C82B6B" w14:paraId="2B260F38" w14:textId="6C11E71F">
      <w:pPr>
        <w:jc w:val="right"/>
        <w:rPr>
          <w:b/>
          <w:sz w:val="24"/>
        </w:rPr>
      </w:pPr>
      <w:r>
        <w:rPr>
          <w:b/>
          <w:sz w:val="24"/>
        </w:rPr>
        <w:t>DA 18-</w:t>
      </w:r>
      <w:r w:rsidR="00421C48">
        <w:rPr>
          <w:b/>
          <w:sz w:val="24"/>
        </w:rPr>
        <w:t>484</w:t>
      </w:r>
    </w:p>
    <w:p w:rsidR="00C82B6B" w:rsidRPr="00854B58" w:rsidP="00C82B6B" w14:paraId="6E229BD3" w14:textId="4F872AAF">
      <w:pPr>
        <w:spacing w:before="60"/>
        <w:jc w:val="right"/>
        <w:rPr>
          <w:b/>
          <w:sz w:val="24"/>
        </w:rPr>
      </w:pPr>
      <w:r>
        <w:rPr>
          <w:b/>
          <w:sz w:val="24"/>
        </w:rPr>
        <w:t xml:space="preserve">May </w:t>
      </w:r>
      <w:r w:rsidR="002350C2">
        <w:rPr>
          <w:b/>
          <w:sz w:val="24"/>
        </w:rPr>
        <w:t>14</w:t>
      </w:r>
      <w:r>
        <w:rPr>
          <w:b/>
          <w:sz w:val="24"/>
        </w:rPr>
        <w:t>, 2018</w:t>
      </w:r>
    </w:p>
    <w:p w:rsidR="00C82B6B" w:rsidRPr="00854B58" w:rsidP="00C82B6B" w14:paraId="40C0EE9B" w14:textId="77777777">
      <w:pPr>
        <w:jc w:val="right"/>
        <w:rPr>
          <w:b/>
          <w:sz w:val="24"/>
        </w:rPr>
      </w:pPr>
    </w:p>
    <w:p w:rsidR="00C82B6B" w:rsidP="00BB2930" w14:paraId="448E7B03" w14:textId="77777777">
      <w:pPr>
        <w:jc w:val="center"/>
        <w:rPr>
          <w:b/>
          <w:sz w:val="24"/>
        </w:rPr>
      </w:pPr>
      <w:r>
        <w:rPr>
          <w:b/>
          <w:sz w:val="24"/>
        </w:rPr>
        <w:t>CONNECT AMERICA FUND PHASE II AUCTION</w:t>
      </w:r>
    </w:p>
    <w:p w:rsidR="00C82B6B" w:rsidP="00C82B6B" w14:paraId="2911FF9A" w14:textId="51916432">
      <w:pPr>
        <w:spacing w:after="240"/>
        <w:jc w:val="center"/>
        <w:rPr>
          <w:b/>
          <w:sz w:val="24"/>
        </w:rPr>
      </w:pPr>
      <w:r>
        <w:rPr>
          <w:b/>
          <w:sz w:val="24"/>
        </w:rPr>
        <w:t>STATUS OF SHORT-FORM APPLICATIONS TO PARTICIPATE IN AUCTION 903</w:t>
      </w:r>
      <w:r w:rsidR="003033D2">
        <w:rPr>
          <w:b/>
          <w:sz w:val="24"/>
        </w:rPr>
        <w:t>; CORRECTIONS DUE JUNE 5, 2018</w:t>
      </w:r>
    </w:p>
    <w:p w:rsidR="008D1E89" w:rsidRPr="00B168F5" w:rsidP="008D1E89" w14:paraId="328784CC" w14:textId="77777777">
      <w:pPr>
        <w:jc w:val="center"/>
        <w:rPr>
          <w:b/>
          <w:sz w:val="24"/>
        </w:rPr>
      </w:pPr>
      <w:r w:rsidRPr="00B168F5">
        <w:rPr>
          <w:b/>
          <w:sz w:val="24"/>
        </w:rPr>
        <w:t>AU Docket No. 17-182</w:t>
      </w:r>
    </w:p>
    <w:p w:rsidR="00C82B6B" w:rsidRPr="00B168F5" w:rsidP="008D1E89" w14:paraId="13FE5563" w14:textId="77777777">
      <w:pPr>
        <w:jc w:val="center"/>
        <w:rPr>
          <w:b/>
          <w:sz w:val="24"/>
        </w:rPr>
      </w:pPr>
      <w:r w:rsidRPr="00B168F5">
        <w:rPr>
          <w:b/>
          <w:sz w:val="24"/>
        </w:rPr>
        <w:t>WC Docket No. 10-90</w:t>
      </w:r>
    </w:p>
    <w:p w:rsidR="00C82B6B" w:rsidP="00C82B6B" w14:paraId="1F1E7130" w14:textId="77777777">
      <w:pPr>
        <w:jc w:val="center"/>
        <w:rPr>
          <w:sz w:val="24"/>
        </w:rPr>
      </w:pPr>
    </w:p>
    <w:p w:rsidR="00122BD5" w:rsidP="00412FC5" w14:paraId="382B4308" w14:textId="77777777">
      <w:bookmarkStart w:id="1" w:name="start_here"/>
      <w:bookmarkEnd w:id="1"/>
    </w:p>
    <w:p w:rsidR="004F4D29" w:rsidRPr="005B2B43" w:rsidP="00E92B8D" w14:paraId="6EB76B16" w14:textId="5E8B9087">
      <w:pPr>
        <w:pStyle w:val="ParaNum"/>
        <w:tabs>
          <w:tab w:val="clear" w:pos="1080"/>
          <w:tab w:val="num" w:pos="1440"/>
        </w:tabs>
      </w:pPr>
      <w:r w:rsidRPr="0038667B">
        <w:t>By this Public Notice, the</w:t>
      </w:r>
      <w:r w:rsidR="00A4223D">
        <w:t xml:space="preserve"> Rural Broadband Auctions Task Force,</w:t>
      </w:r>
      <w:r w:rsidRPr="0038667B">
        <w:t xml:space="preserve"> Wireless Telecommunications </w:t>
      </w:r>
      <w:r>
        <w:t>Bureau</w:t>
      </w:r>
      <w:r w:rsidR="00A4223D">
        <w:t>,</w:t>
      </w:r>
      <w:r>
        <w:t xml:space="preserve"> </w:t>
      </w:r>
      <w:r w:rsidRPr="0038667B">
        <w:t xml:space="preserve">and </w:t>
      </w:r>
      <w:r>
        <w:t xml:space="preserve">Wireline Competition Bureau </w:t>
      </w:r>
      <w:r w:rsidRPr="0038667B">
        <w:t xml:space="preserve">announce the status of </w:t>
      </w:r>
      <w:r w:rsidR="007A76AB">
        <w:t>the</w:t>
      </w:r>
      <w:r w:rsidR="00BB2930">
        <w:rPr>
          <w:rStyle w:val="CommentReference"/>
        </w:rPr>
        <w:t xml:space="preserve"> </w:t>
      </w:r>
      <w:r w:rsidR="00BB2930">
        <w:rPr>
          <w:rStyle w:val="CommentReference"/>
          <w:sz w:val="22"/>
          <w:szCs w:val="22"/>
        </w:rPr>
        <w:t>277 s</w:t>
      </w:r>
      <w:r w:rsidRPr="0038667B">
        <w:t xml:space="preserve">hort-form applications </w:t>
      </w:r>
      <w:r>
        <w:t>received for Auction 903.</w:t>
      </w:r>
      <w:r w:rsidRPr="0038667B">
        <w:t xml:space="preserve"> </w:t>
      </w:r>
      <w:r>
        <w:t xml:space="preserve"> </w:t>
      </w:r>
      <w:r w:rsidR="00790FA4">
        <w:t>T</w:t>
      </w:r>
      <w:r w:rsidRPr="0038667B" w:rsidR="00790FA4">
        <w:t>h</w:t>
      </w:r>
      <w:r w:rsidR="00790FA4">
        <w:t>e</w:t>
      </w:r>
      <w:r w:rsidRPr="0038667B" w:rsidR="00790FA4">
        <w:t xml:space="preserve"> </w:t>
      </w:r>
      <w:r w:rsidRPr="0038667B">
        <w:t xml:space="preserve">auction, </w:t>
      </w:r>
      <w:r>
        <w:t xml:space="preserve">which </w:t>
      </w:r>
      <w:r w:rsidRPr="0038667B">
        <w:t xml:space="preserve">is scheduled to </w:t>
      </w:r>
      <w:r>
        <w:t>be</w:t>
      </w:r>
      <w:r w:rsidR="007A76AB">
        <w:t>gin</w:t>
      </w:r>
      <w:r>
        <w:t xml:space="preserve"> on Tuesday, July 24, 2018</w:t>
      </w:r>
      <w:r w:rsidR="003375F1">
        <w:t>,</w:t>
      </w:r>
      <w:r>
        <w:t xml:space="preserve"> will award up to $1</w:t>
      </w:r>
      <w:r w:rsidR="005E31F8">
        <w:t>.</w:t>
      </w:r>
      <w:r>
        <w:t xml:space="preserve">98 </w:t>
      </w:r>
      <w:r w:rsidR="005E31F8">
        <w:t>b</w:t>
      </w:r>
      <w:r>
        <w:t xml:space="preserve">illion </w:t>
      </w:r>
      <w:r w:rsidR="005E31F8">
        <w:t>over</w:t>
      </w:r>
      <w:r>
        <w:t xml:space="preserve"> 10 years to service providers that commit to </w:t>
      </w:r>
      <w:r w:rsidRPr="00AE4A97">
        <w:t>offer</w:t>
      </w:r>
      <w:r>
        <w:t xml:space="preserve"> voice and broadband services to fixed locations in unserved high-cost areas.</w:t>
      </w:r>
      <w:r>
        <w:rPr>
          <w:rStyle w:val="FootnoteReference"/>
        </w:rPr>
        <w:footnoteReference w:id="3"/>
      </w:r>
      <w:r w:rsidRPr="0038667B">
        <w:t xml:space="preserve"> </w:t>
      </w:r>
      <w:r>
        <w:t xml:space="preserve"> </w:t>
      </w:r>
      <w:r w:rsidRPr="0038667B">
        <w:t xml:space="preserve">This Public Notice also provides important information </w:t>
      </w:r>
      <w:r w:rsidR="00C01363">
        <w:t xml:space="preserve">regarding the modification and resubmission of short-form applications </w:t>
      </w:r>
      <w:r w:rsidRPr="0038667B">
        <w:t>and</w:t>
      </w:r>
      <w:r w:rsidR="00C01363">
        <w:t xml:space="preserve"> </w:t>
      </w:r>
      <w:r w:rsidRPr="0038667B">
        <w:t xml:space="preserve">reminds </w:t>
      </w:r>
      <w:r w:rsidR="00C01363">
        <w:t xml:space="preserve">applicants of certain procedures the Commission adopted for this </w:t>
      </w:r>
      <w:r w:rsidRPr="0038667B">
        <w:t xml:space="preserve">auction. </w:t>
      </w:r>
    </w:p>
    <w:p w:rsidR="004F4D29" w:rsidRPr="0038667B" w:rsidP="004F4D29" w14:paraId="0D941B63" w14:textId="756B1E16">
      <w:pPr>
        <w:pStyle w:val="Heading1"/>
        <w:tabs>
          <w:tab w:val="num" w:pos="720"/>
        </w:tabs>
        <w:jc w:val="both"/>
      </w:pPr>
      <w:r w:rsidRPr="0038667B">
        <w:t xml:space="preserve">Short-Form Applications </w:t>
      </w:r>
    </w:p>
    <w:p w:rsidR="004F4D29" w:rsidRPr="0038667B" w:rsidP="004F4D29" w14:paraId="05EB6A21" w14:textId="77777777">
      <w:pPr>
        <w:pStyle w:val="Heading2"/>
      </w:pPr>
      <w:r w:rsidRPr="0038667B">
        <w:t xml:space="preserve">Status of Short-Form Applications </w:t>
      </w:r>
    </w:p>
    <w:p w:rsidR="004F4D29" w:rsidRPr="0038667B" w:rsidP="00E92B8D" w14:paraId="33531A34" w14:textId="6A86C52B">
      <w:pPr>
        <w:pStyle w:val="ParaNum"/>
        <w:tabs>
          <w:tab w:val="clear" w:pos="1080"/>
          <w:tab w:val="num" w:pos="1440"/>
        </w:tabs>
      </w:pPr>
      <w:r w:rsidRPr="0038667B">
        <w:t xml:space="preserve">The short-form applications for Auction </w:t>
      </w:r>
      <w:r>
        <w:t>903</w:t>
      </w:r>
      <w:r w:rsidR="005F274A">
        <w:t xml:space="preserve"> </w:t>
      </w:r>
      <w:r w:rsidRPr="0038667B" w:rsidR="005F274A">
        <w:t xml:space="preserve">(FCC Forms </w:t>
      </w:r>
      <w:r w:rsidR="005F274A">
        <w:t>183</w:t>
      </w:r>
      <w:r w:rsidRPr="0038667B" w:rsidR="005F274A">
        <w:t>)</w:t>
      </w:r>
      <w:r w:rsidRPr="0038667B">
        <w:t xml:space="preserve"> have been reviewed and </w:t>
      </w:r>
      <w:r w:rsidRPr="00AE4A97">
        <w:t>classified</w:t>
      </w:r>
      <w:r w:rsidRPr="0038667B">
        <w:t xml:space="preserve"> into the categories listed below.</w:t>
      </w:r>
    </w:p>
    <w:p w:rsidR="004F4D29" w:rsidRPr="0038667B" w:rsidP="004F4D29" w14:paraId="162108CC" w14:textId="5107C651">
      <w:pPr>
        <w:widowControl/>
        <w:tabs>
          <w:tab w:val="right" w:leader="dot" w:pos="7920"/>
        </w:tabs>
        <w:suppressAutoHyphens/>
        <w:spacing w:after="120"/>
        <w:ind w:left="720" w:firstLine="720"/>
      </w:pPr>
      <w:r w:rsidRPr="0038667B">
        <w:rPr>
          <w:b/>
        </w:rPr>
        <w:t>Complete</w:t>
      </w:r>
      <w:r w:rsidRPr="0038667B">
        <w:tab/>
      </w:r>
      <w:r w:rsidRPr="004B6980" w:rsidR="00421C48">
        <w:rPr>
          <w:b/>
        </w:rPr>
        <w:t>4</w:t>
      </w:r>
      <w:r w:rsidR="00261122">
        <w:rPr>
          <w:b/>
        </w:rPr>
        <w:t>7</w:t>
      </w:r>
      <w:r w:rsidRPr="004B6980">
        <w:rPr>
          <w:b/>
        </w:rPr>
        <w:t xml:space="preserve"> </w:t>
      </w:r>
      <w:r w:rsidRPr="0038667B">
        <w:rPr>
          <w:b/>
        </w:rPr>
        <w:t>applications</w:t>
      </w:r>
    </w:p>
    <w:p w:rsidR="004F4D29" w:rsidRPr="00B12A5D" w:rsidP="004F4D29" w14:paraId="0C5B2DAA" w14:textId="0DF1E2D6">
      <w:pPr>
        <w:widowControl/>
        <w:tabs>
          <w:tab w:val="right" w:leader="dot" w:pos="7920"/>
        </w:tabs>
        <w:suppressAutoHyphens/>
        <w:spacing w:after="240"/>
        <w:ind w:left="720" w:firstLine="720"/>
        <w:rPr>
          <w:b/>
        </w:rPr>
      </w:pPr>
      <w:r w:rsidRPr="0038667B">
        <w:rPr>
          <w:b/>
        </w:rPr>
        <w:t>Incomplete</w:t>
      </w:r>
      <w:r w:rsidRPr="0038667B">
        <w:tab/>
      </w:r>
      <w:r w:rsidRPr="004B6980" w:rsidR="00421C48">
        <w:rPr>
          <w:b/>
        </w:rPr>
        <w:t>23</w:t>
      </w:r>
      <w:r w:rsidR="00261122">
        <w:rPr>
          <w:b/>
        </w:rPr>
        <w:t>0</w:t>
      </w:r>
      <w:r w:rsidRPr="004B6980">
        <w:rPr>
          <w:b/>
        </w:rPr>
        <w:t xml:space="preserve"> </w:t>
      </w:r>
      <w:r w:rsidRPr="0038667B">
        <w:rPr>
          <w:b/>
        </w:rPr>
        <w:t>applications</w:t>
      </w:r>
      <w:r w:rsidRPr="00B12A5D">
        <w:t xml:space="preserve"> </w:t>
      </w:r>
    </w:p>
    <w:p w:rsidR="004F4D29" w:rsidRPr="0038667B" w:rsidP="00E92B8D" w14:paraId="20F38509" w14:textId="28319505">
      <w:pPr>
        <w:pStyle w:val="ParaNum"/>
        <w:tabs>
          <w:tab w:val="clear" w:pos="1080"/>
          <w:tab w:val="num" w:pos="1440"/>
        </w:tabs>
      </w:pPr>
      <w:r w:rsidRPr="00E92B8D">
        <w:rPr>
          <w:b/>
        </w:rPr>
        <w:t xml:space="preserve">Complete </w:t>
      </w:r>
      <w:r w:rsidRPr="0038667B">
        <w:rPr>
          <w:b/>
        </w:rPr>
        <w:t>Applications.</w:t>
      </w:r>
      <w:r w:rsidRPr="0038667B">
        <w:t xml:space="preserve">  Attachment A to this Public Notice lists the short-form applications for Auction </w:t>
      </w:r>
      <w:r>
        <w:t>903</w:t>
      </w:r>
      <w:r w:rsidRPr="0038667B">
        <w:t xml:space="preserve"> that are </w:t>
      </w:r>
      <w:r>
        <w:t xml:space="preserve">accepted for filing and </w:t>
      </w:r>
      <w:r w:rsidRPr="0038667B">
        <w:t xml:space="preserve">complete.  Each of these applicants will become a qualified bidder </w:t>
      </w:r>
      <w:r w:rsidR="007B0A9D">
        <w:t xml:space="preserve">in </w:t>
      </w:r>
      <w:r w:rsidR="007B0A9D">
        <w:rPr>
          <w:i/>
        </w:rPr>
        <w:t xml:space="preserve">all </w:t>
      </w:r>
      <w:r w:rsidR="007B0A9D">
        <w:t xml:space="preserve">the states it selected for </w:t>
      </w:r>
      <w:r w:rsidR="007B0A9D">
        <w:rPr>
          <w:i/>
        </w:rPr>
        <w:t xml:space="preserve">all </w:t>
      </w:r>
      <w:r w:rsidR="007B0A9D">
        <w:t>the performance tier and latency combinations it selected</w:t>
      </w:r>
      <w:r w:rsidR="00CE7B3F">
        <w:t>,</w:t>
      </w:r>
      <w:r w:rsidR="007B0A9D">
        <w:t xml:space="preserve"> </w:t>
      </w:r>
      <w:r>
        <w:t>provided that it</w:t>
      </w:r>
      <w:r w:rsidRPr="0038667B">
        <w:t xml:space="preserve"> maintain</w:t>
      </w:r>
      <w:r>
        <w:t>s</w:t>
      </w:r>
      <w:r w:rsidRPr="0038667B">
        <w:t xml:space="preserve"> the accuracy of its short-form application as required by section 1.65 of the Commission’s rules.</w:t>
      </w:r>
      <w:r>
        <w:rPr>
          <w:rStyle w:val="FootnoteReference"/>
        </w:rPr>
        <w:footnoteReference w:id="4"/>
      </w:r>
      <w:r w:rsidRPr="0038667B">
        <w:t xml:space="preserve">  </w:t>
      </w:r>
      <w:r>
        <w:t xml:space="preserve">  </w:t>
      </w:r>
    </w:p>
    <w:p w:rsidR="004F4D29" w:rsidRPr="0038667B" w:rsidP="00E92B8D" w14:paraId="39437F8A" w14:textId="39F2240F">
      <w:pPr>
        <w:pStyle w:val="ParaNum"/>
        <w:tabs>
          <w:tab w:val="clear" w:pos="1080"/>
          <w:tab w:val="num" w:pos="1440"/>
        </w:tabs>
      </w:pPr>
      <w:r w:rsidRPr="0038667B">
        <w:t xml:space="preserve">Designation of an application as complete indicates </w:t>
      </w:r>
      <w:r w:rsidR="003D4822">
        <w:t xml:space="preserve">that </w:t>
      </w:r>
      <w:r w:rsidRPr="0038667B">
        <w:t xml:space="preserve">the applicant has provided the certifications and basic information concerning its qualifications </w:t>
      </w:r>
      <w:r>
        <w:t>that are</w:t>
      </w:r>
      <w:r w:rsidRPr="0038667B">
        <w:t xml:space="preserve"> required by the Commission’s competitive bidding rules </w:t>
      </w:r>
      <w:r w:rsidR="00C65321">
        <w:t>and has been determined to be financially and operationally qualified</w:t>
      </w:r>
      <w:r w:rsidR="002B2FF5">
        <w:t xml:space="preserve"> to participate in the auction</w:t>
      </w:r>
      <w:r w:rsidRPr="0038667B">
        <w:t xml:space="preserve">.  Under the Commission’s two-phased auction application process, </w:t>
      </w:r>
      <w:r w:rsidRPr="0038667B" w:rsidR="00CE7B3F">
        <w:t>after the close of the auction</w:t>
      </w:r>
      <w:r w:rsidR="00CE7B3F">
        <w:t xml:space="preserve">, </w:t>
      </w:r>
      <w:r w:rsidRPr="0038667B">
        <w:t xml:space="preserve">a winning bidder must submit </w:t>
      </w:r>
      <w:r>
        <w:t>a long-form application</w:t>
      </w:r>
      <w:r w:rsidR="00C65321">
        <w:t xml:space="preserve"> and </w:t>
      </w:r>
      <w:r w:rsidR="008F539D">
        <w:t xml:space="preserve">meet </w:t>
      </w:r>
      <w:r w:rsidR="00C65321">
        <w:t xml:space="preserve">various other </w:t>
      </w:r>
      <w:r w:rsidR="008F539D">
        <w:t>requirements</w:t>
      </w:r>
      <w:r w:rsidR="00CE7B3F">
        <w:t xml:space="preserve"> </w:t>
      </w:r>
      <w:r w:rsidR="00C01363">
        <w:t xml:space="preserve">that are </w:t>
      </w:r>
      <w:r w:rsidR="00CE7B3F">
        <w:t xml:space="preserve">fully explained in the </w:t>
      </w:r>
      <w:r w:rsidR="00CE7B3F">
        <w:rPr>
          <w:i/>
        </w:rPr>
        <w:t>Auction 903 Procedures Public Notice</w:t>
      </w:r>
      <w:r w:rsidR="00CE7B3F">
        <w:t>.</w:t>
      </w:r>
      <w:r>
        <w:rPr>
          <w:rStyle w:val="FootnoteReference"/>
        </w:rPr>
        <w:footnoteReference w:id="5"/>
      </w:r>
      <w:r w:rsidRPr="0038667B">
        <w:t xml:space="preserve">  Thus, a determination that a short-form application is complete is not determinative of an applicant’s qualifications to </w:t>
      </w:r>
      <w:r>
        <w:t xml:space="preserve">receive Connect America </w:t>
      </w:r>
      <w:r w:rsidR="00731B3C">
        <w:t xml:space="preserve">Fund </w:t>
      </w:r>
      <w:r>
        <w:t>Phase II support</w:t>
      </w:r>
      <w:r w:rsidRPr="0038667B">
        <w:t xml:space="preserve">.  In the event that an applicant </w:t>
      </w:r>
      <w:r w:rsidR="00290BCD">
        <w:t xml:space="preserve">does not become authorized to receive </w:t>
      </w:r>
      <w:r>
        <w:t xml:space="preserve">Connect </w:t>
      </w:r>
      <w:r>
        <w:t>America</w:t>
      </w:r>
      <w:r w:rsidR="00731B3C">
        <w:t xml:space="preserve"> Fund</w:t>
      </w:r>
      <w:r>
        <w:t xml:space="preserve"> Phase II support</w:t>
      </w:r>
      <w:r w:rsidR="00290BCD">
        <w:t xml:space="preserve"> for any reason</w:t>
      </w:r>
      <w:r w:rsidRPr="0038667B">
        <w:t>, it will be liable for any obligations incurred as a result of its participation in the auction.</w:t>
      </w:r>
      <w:r>
        <w:rPr>
          <w:rStyle w:val="FootnoteReference"/>
        </w:rPr>
        <w:footnoteReference w:id="6"/>
      </w:r>
    </w:p>
    <w:p w:rsidR="000E1388" w:rsidRPr="00AA26F1" w:rsidP="00E92B8D" w14:paraId="1F070018" w14:textId="3E683427">
      <w:pPr>
        <w:pStyle w:val="ParaNum"/>
        <w:tabs>
          <w:tab w:val="clear" w:pos="1080"/>
          <w:tab w:val="num" w:pos="1440"/>
        </w:tabs>
      </w:pPr>
      <w:r w:rsidRPr="00261D6D">
        <w:rPr>
          <w:b/>
        </w:rPr>
        <w:t>Incomplete Applications.</w:t>
      </w:r>
      <w:r w:rsidRPr="0038667B">
        <w:t xml:space="preserve">  Attachment B to this Public Notice lists the short-form applications for Auction </w:t>
      </w:r>
      <w:r>
        <w:t>903</w:t>
      </w:r>
      <w:r w:rsidRPr="0038667B">
        <w:t xml:space="preserve"> </w:t>
      </w:r>
      <w:r>
        <w:t xml:space="preserve">that are accepted for filing but </w:t>
      </w:r>
      <w:r w:rsidRPr="0038667B">
        <w:t>found to be incomplete or otherwise deficient.</w:t>
      </w:r>
      <w:r w:rsidR="00A30650">
        <w:t xml:space="preserve">  </w:t>
      </w:r>
      <w:r w:rsidR="008339F1">
        <w:t>That is</w:t>
      </w:r>
      <w:r w:rsidR="00A30650">
        <w:t xml:space="preserve">, </w:t>
      </w:r>
      <w:r w:rsidR="0015219D">
        <w:t xml:space="preserve">each </w:t>
      </w:r>
      <w:r w:rsidR="00385030">
        <w:t xml:space="preserve">of these </w:t>
      </w:r>
      <w:r w:rsidR="0015219D">
        <w:t>application</w:t>
      </w:r>
      <w:r w:rsidR="00385030">
        <w:t>s</w:t>
      </w:r>
      <w:r w:rsidR="0015219D">
        <w:t xml:space="preserve"> </w:t>
      </w:r>
      <w:r w:rsidR="00A30650">
        <w:t>do</w:t>
      </w:r>
      <w:r w:rsidR="0015219D">
        <w:t>es</w:t>
      </w:r>
      <w:r w:rsidR="00A30650">
        <w:t xml:space="preserve"> not </w:t>
      </w:r>
      <w:r w:rsidRPr="0038667B" w:rsidR="00A30650">
        <w:t>provide the certifications and basic information required by the Commission’s competitive bidding rules for participation in the auction</w:t>
      </w:r>
      <w:r w:rsidR="003033D2">
        <w:t>,</w:t>
      </w:r>
      <w:r w:rsidR="00A30650">
        <w:t xml:space="preserve"> and/or the applicant has not been determined to be financially and</w:t>
      </w:r>
      <w:r w:rsidR="00967452">
        <w:t>/or</w:t>
      </w:r>
      <w:r w:rsidR="00A30650">
        <w:t xml:space="preserve"> operationally qualified</w:t>
      </w:r>
      <w:r w:rsidR="0015219D">
        <w:t xml:space="preserve"> to bid </w:t>
      </w:r>
      <w:r w:rsidR="00200412">
        <w:t>in</w:t>
      </w:r>
      <w:r w:rsidR="0015219D">
        <w:t xml:space="preserve"> all the states or </w:t>
      </w:r>
      <w:r w:rsidR="00200412">
        <w:t xml:space="preserve">for </w:t>
      </w:r>
      <w:r w:rsidR="00C01363">
        <w:t xml:space="preserve">all </w:t>
      </w:r>
      <w:r w:rsidR="00200412">
        <w:t xml:space="preserve">the </w:t>
      </w:r>
      <w:r w:rsidR="0015219D">
        <w:t>performance tier and latency combinations it selected.</w:t>
      </w:r>
      <w:r w:rsidRPr="0038667B">
        <w:t xml:space="preserve">  </w:t>
      </w:r>
      <w:r w:rsidR="00385030">
        <w:t>T</w:t>
      </w:r>
      <w:r w:rsidRPr="0038667B">
        <w:t xml:space="preserve">hese applicants will </w:t>
      </w:r>
      <w:r w:rsidR="00385030">
        <w:t xml:space="preserve">each </w:t>
      </w:r>
      <w:r w:rsidRPr="0038667B">
        <w:t xml:space="preserve">receive </w:t>
      </w:r>
      <w:r>
        <w:t xml:space="preserve">a letter identifying the deficiency(ies) in its application.  This letter will be sent </w:t>
      </w:r>
      <w:r w:rsidR="003033D2">
        <w:t xml:space="preserve">via overnight delivery </w:t>
      </w:r>
      <w:r>
        <w:t xml:space="preserve">to </w:t>
      </w:r>
      <w:r w:rsidRPr="00261D6D">
        <w:rPr>
          <w:szCs w:val="22"/>
        </w:rPr>
        <w:t xml:space="preserve">the contact person and contact address listed </w:t>
      </w:r>
      <w:r w:rsidRPr="00261D6D" w:rsidR="008339F1">
        <w:rPr>
          <w:szCs w:val="22"/>
        </w:rPr>
        <w:t xml:space="preserve">in </w:t>
      </w:r>
      <w:r w:rsidRPr="00261D6D">
        <w:rPr>
          <w:szCs w:val="22"/>
        </w:rPr>
        <w:t>the application</w:t>
      </w:r>
      <w:r>
        <w:t>, along with a copy of this Public Notice</w:t>
      </w:r>
      <w:r w:rsidRPr="0038667B">
        <w:t xml:space="preserve">.  </w:t>
      </w:r>
      <w:r w:rsidR="00920C78">
        <w:rPr>
          <w:rFonts w:ascii="TimesNewRomanPSMT" w:hAnsi="TimesNewRomanPSMT" w:cs="TimesNewRomanPSMT"/>
          <w:snapToGrid/>
          <w:kern w:val="0"/>
          <w:szCs w:val="22"/>
        </w:rPr>
        <w:t xml:space="preserve">  </w:t>
      </w:r>
    </w:p>
    <w:p w:rsidR="00B74C2F" w:rsidRPr="0038667B" w:rsidP="00B74C2F" w14:paraId="7E4D806F" w14:textId="19E60AFB">
      <w:pPr>
        <w:pStyle w:val="ParaNum"/>
        <w:tabs>
          <w:tab w:val="clear" w:pos="1080"/>
          <w:tab w:val="num" w:pos="1440"/>
        </w:tabs>
      </w:pPr>
      <w:r w:rsidRPr="0038667B">
        <w:t xml:space="preserve">Each applicant whose application for Auction </w:t>
      </w:r>
      <w:r>
        <w:t>903</w:t>
      </w:r>
      <w:r w:rsidRPr="0038667B">
        <w:t xml:space="preserve"> has been identified as incomplete must address </w:t>
      </w:r>
      <w:r w:rsidR="00A933BE">
        <w:t xml:space="preserve">the identified deficiencies </w:t>
      </w:r>
      <w:r w:rsidRPr="0038667B">
        <w:t xml:space="preserve">in its application during the resubmission window, which </w:t>
      </w:r>
      <w:r>
        <w:t>will</w:t>
      </w:r>
      <w:r w:rsidRPr="0038667B">
        <w:t xml:space="preserve"> open</w:t>
      </w:r>
      <w:r>
        <w:t xml:space="preserve"> at 10:00 a.m. ET on May 15, 2018</w:t>
      </w:r>
      <w:r w:rsidRPr="0038667B">
        <w:rPr>
          <w:szCs w:val="22"/>
        </w:rPr>
        <w:t xml:space="preserve">.  </w:t>
      </w:r>
      <w:r w:rsidRPr="0038667B">
        <w:t xml:space="preserve">Corrected applications must be filed </w:t>
      </w:r>
      <w:r w:rsidRPr="0038667B">
        <w:rPr>
          <w:b/>
        </w:rPr>
        <w:t>prior to</w:t>
      </w:r>
      <w:r w:rsidRPr="0038667B">
        <w:t xml:space="preserve"> </w:t>
      </w:r>
      <w:r w:rsidRPr="0038667B">
        <w:rPr>
          <w:b/>
        </w:rPr>
        <w:t>6:00 p.m. ET on</w:t>
      </w:r>
      <w:r>
        <w:rPr>
          <w:b/>
        </w:rPr>
        <w:t xml:space="preserve"> Tuesday, June 5, 2018</w:t>
      </w:r>
      <w:r w:rsidRPr="0038667B">
        <w:rPr>
          <w:b/>
        </w:rPr>
        <w:t xml:space="preserve">.  </w:t>
      </w:r>
      <w:r>
        <w:t xml:space="preserve">Any short-form application corrections must be made electronically using the Auction Application System.  </w:t>
      </w:r>
      <w:r w:rsidRPr="0038667B">
        <w:t>This will be the only opportunity to cure application d</w:t>
      </w:r>
      <w:r w:rsidR="00A933BE">
        <w:t>eficiencies</w:t>
      </w:r>
      <w:r w:rsidRPr="0038667B">
        <w:t xml:space="preserve">.  Late resubmissions will not be accepted.  If an application is incomplete or otherwise deficient after the resubmission deadline has passed, the applicant will not be </w:t>
      </w:r>
      <w:r>
        <w:t>qualified</w:t>
      </w:r>
      <w:r w:rsidRPr="0038667B">
        <w:t xml:space="preserve"> to participate in bidding.</w:t>
      </w:r>
      <w:r>
        <w:rPr>
          <w:rStyle w:val="FootnoteReference"/>
        </w:rPr>
        <w:footnoteReference w:id="7"/>
      </w:r>
    </w:p>
    <w:p w:rsidR="004F4D29" w:rsidRPr="0038667B" w:rsidP="00E92B8D" w14:paraId="6D809FBB" w14:textId="5D9FCDE1">
      <w:pPr>
        <w:pStyle w:val="ParaNum"/>
        <w:tabs>
          <w:tab w:val="clear" w:pos="1080"/>
          <w:tab w:val="num" w:pos="1440"/>
        </w:tabs>
      </w:pPr>
      <w:r>
        <w:t>When the resubmission window opens on May 15, non-confidential portions of all submitted applications will be publicly available through the application search feature, which can be accessed through the application tab on the Auction 903 web page.</w:t>
      </w:r>
      <w:r>
        <w:rPr>
          <w:rStyle w:val="FootnoteReference"/>
        </w:rPr>
        <w:footnoteReference w:id="8"/>
      </w:r>
      <w:r>
        <w:t xml:space="preserve">  In addition, e</w:t>
      </w:r>
      <w:r w:rsidRPr="00261D6D">
        <w:rPr>
          <w:rFonts w:ascii="TimesNewRomanPSMT" w:hAnsi="TimesNewRomanPSMT" w:cs="TimesNewRomanPSMT"/>
          <w:snapToGrid/>
          <w:kern w:val="0"/>
          <w:szCs w:val="22"/>
        </w:rPr>
        <w:t xml:space="preserve">ach applicant will be able to </w:t>
      </w:r>
      <w:r>
        <w:rPr>
          <w:rFonts w:ascii="TimesNewRomanPSMT" w:hAnsi="TimesNewRomanPSMT" w:cs="TimesNewRomanPSMT"/>
          <w:snapToGrid/>
          <w:kern w:val="0"/>
          <w:szCs w:val="22"/>
        </w:rPr>
        <w:t>access its submitted application and view the initial</w:t>
      </w:r>
      <w:r w:rsidRPr="00261D6D">
        <w:rPr>
          <w:rFonts w:ascii="TimesNewRomanPSMT" w:hAnsi="TimesNewRomanPSMT" w:cs="TimesNewRomanPSMT"/>
          <w:snapToGrid/>
          <w:kern w:val="0"/>
          <w:szCs w:val="22"/>
        </w:rPr>
        <w:t xml:space="preserve"> eligibility determination for each </w:t>
      </w:r>
      <w:r>
        <w:rPr>
          <w:rFonts w:ascii="TimesNewRomanPSMT" w:hAnsi="TimesNewRomanPSMT" w:cs="TimesNewRomanPSMT"/>
          <w:snapToGrid/>
          <w:kern w:val="0"/>
          <w:szCs w:val="22"/>
        </w:rPr>
        <w:t>selected</w:t>
      </w:r>
      <w:r w:rsidRPr="00261D6D">
        <w:rPr>
          <w:rFonts w:ascii="TimesNewRomanPSMT" w:hAnsi="TimesNewRomanPSMT" w:cs="TimesNewRomanPSMT"/>
          <w:snapToGrid/>
          <w:kern w:val="0"/>
          <w:szCs w:val="22"/>
        </w:rPr>
        <w:t xml:space="preserve"> performance tier and latency combination </w:t>
      </w:r>
      <w:r>
        <w:rPr>
          <w:rFonts w:ascii="TimesNewRomanPSMT" w:hAnsi="TimesNewRomanPSMT" w:cs="TimesNewRomanPSMT"/>
          <w:snapToGrid/>
          <w:kern w:val="0"/>
          <w:szCs w:val="22"/>
        </w:rPr>
        <w:t>directly in</w:t>
      </w:r>
      <w:r w:rsidRPr="00261D6D">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 xml:space="preserve">the </w:t>
      </w:r>
      <w:r w:rsidRPr="00261D6D">
        <w:rPr>
          <w:rFonts w:ascii="TimesNewRomanPSMT" w:hAnsi="TimesNewRomanPSMT" w:cs="TimesNewRomanPSMT"/>
          <w:snapToGrid/>
          <w:kern w:val="0"/>
          <w:szCs w:val="22"/>
        </w:rPr>
        <w:t>Auction Application System</w:t>
      </w:r>
      <w:r>
        <w:rPr>
          <w:rFonts w:ascii="TimesNewRomanPSMT" w:hAnsi="TimesNewRomanPSMT" w:cs="TimesNewRomanPSMT"/>
          <w:snapToGrid/>
          <w:kern w:val="0"/>
          <w:szCs w:val="22"/>
        </w:rPr>
        <w:t xml:space="preserve"> on the </w:t>
      </w:r>
      <w:r w:rsidRPr="00920C78">
        <w:rPr>
          <w:rFonts w:ascii="TimesNewRomanPSMT" w:hAnsi="TimesNewRomanPSMT" w:cs="TimesNewRomanPSMT"/>
          <w:i/>
          <w:snapToGrid/>
          <w:kern w:val="0"/>
          <w:szCs w:val="22"/>
        </w:rPr>
        <w:t xml:space="preserve">View Eligibility Determinations </w:t>
      </w:r>
      <w:r>
        <w:rPr>
          <w:rFonts w:ascii="TimesNewRomanPSMT" w:hAnsi="TimesNewRomanPSMT" w:cs="TimesNewRomanPSMT"/>
          <w:snapToGrid/>
          <w:kern w:val="0"/>
          <w:szCs w:val="22"/>
        </w:rPr>
        <w:t>page.</w:t>
      </w:r>
      <w:r>
        <w:rPr>
          <w:rStyle w:val="FootnoteReference"/>
          <w:rFonts w:cs="TimesNewRomanPSMT"/>
          <w:snapToGrid/>
          <w:kern w:val="0"/>
          <w:szCs w:val="22"/>
        </w:rPr>
        <w:footnoteReference w:id="9"/>
      </w:r>
      <w:r>
        <w:rPr>
          <w:rFonts w:ascii="TimesNewRomanPSMT" w:hAnsi="TimesNewRomanPSMT" w:cs="TimesNewRomanPSMT"/>
          <w:snapToGrid/>
          <w:kern w:val="0"/>
          <w:szCs w:val="22"/>
        </w:rPr>
        <w:t xml:space="preserve">  </w:t>
      </w:r>
      <w:r>
        <w:t xml:space="preserve">Applicants with incomplete applications </w:t>
      </w:r>
      <w:r w:rsidRPr="00CC406A">
        <w:t xml:space="preserve">should contact the </w:t>
      </w:r>
      <w:r>
        <w:t xml:space="preserve">Commission </w:t>
      </w:r>
      <w:r w:rsidRPr="00BA71D6">
        <w:t>staff</w:t>
      </w:r>
      <w:r w:rsidRPr="00CC406A">
        <w:t xml:space="preserve"> </w:t>
      </w:r>
      <w:r>
        <w:t>memb</w:t>
      </w:r>
      <w:r w:rsidRPr="00CC406A">
        <w:t xml:space="preserve">er identified in </w:t>
      </w:r>
      <w:r>
        <w:t>the letter sent by overnight delivery to discuss any questions about their</w:t>
      </w:r>
      <w:r w:rsidRPr="0038667B">
        <w:t xml:space="preserve"> incomplete status or </w:t>
      </w:r>
      <w:r>
        <w:t>application deficiencies.</w:t>
      </w:r>
      <w:r w:rsidRPr="0038667B">
        <w:t xml:space="preserve"> </w:t>
      </w:r>
      <w:r>
        <w:t xml:space="preserve"> </w:t>
      </w:r>
      <w:r w:rsidRPr="0038667B">
        <w:t xml:space="preserve">To become a qualified bidder, each applicant must </w:t>
      </w:r>
      <w:r>
        <w:t xml:space="preserve">correct any deficiencies and </w:t>
      </w:r>
      <w:r w:rsidRPr="0038667B">
        <w:t xml:space="preserve">resubmit its application by </w:t>
      </w:r>
      <w:r>
        <w:t>June 5, 2018,</w:t>
      </w:r>
      <w:r w:rsidRPr="0038667B">
        <w:t xml:space="preserve"> </w:t>
      </w:r>
      <w:r>
        <w:t>as described below</w:t>
      </w:r>
      <w:r w:rsidRPr="0038667B">
        <w:t xml:space="preserve">.  Each applicant must also maintain the accuracy of its short-form </w:t>
      </w:r>
      <w:r w:rsidRPr="00AE4A97">
        <w:t>application</w:t>
      </w:r>
      <w:r w:rsidRPr="0038667B">
        <w:t xml:space="preserve"> as required by section 1.65 </w:t>
      </w:r>
      <w:r>
        <w:t>o</w:t>
      </w:r>
      <w:r w:rsidRPr="0038667B">
        <w:t>f the Commission’s rules.</w:t>
      </w:r>
      <w:r>
        <w:rPr>
          <w:rStyle w:val="FootnoteReference"/>
        </w:rPr>
        <w:footnoteReference w:id="10"/>
      </w:r>
      <w:r w:rsidRPr="00F072E3">
        <w:t xml:space="preserve"> </w:t>
      </w:r>
      <w:r>
        <w:t xml:space="preserve"> All changes are subject to review by Commission staff.</w:t>
      </w:r>
    </w:p>
    <w:p w:rsidR="004F4D29" w:rsidRPr="0038667B" w:rsidP="004F4D29" w14:paraId="7A7CB786" w14:textId="77777777">
      <w:pPr>
        <w:pStyle w:val="Heading2"/>
      </w:pPr>
      <w:r w:rsidRPr="0038667B">
        <w:t>Short-Form Application Changes and Resubmission</w:t>
      </w:r>
    </w:p>
    <w:p w:rsidR="00EA011C" w:rsidRPr="00741E68" w:rsidP="00E92B8D" w14:paraId="30336D11" w14:textId="55A10308">
      <w:pPr>
        <w:pStyle w:val="ParaNum"/>
        <w:tabs>
          <w:tab w:val="clear" w:pos="1080"/>
          <w:tab w:val="num" w:pos="1440"/>
        </w:tabs>
        <w:rPr>
          <w:szCs w:val="22"/>
        </w:rPr>
      </w:pPr>
      <w:r w:rsidRPr="00967452">
        <w:rPr>
          <w:szCs w:val="22"/>
        </w:rPr>
        <w:t>During th</w:t>
      </w:r>
      <w:r w:rsidR="00CA65A2">
        <w:rPr>
          <w:szCs w:val="22"/>
        </w:rPr>
        <w:t>e</w:t>
      </w:r>
      <w:r w:rsidRPr="00967452">
        <w:rPr>
          <w:szCs w:val="22"/>
        </w:rPr>
        <w:t xml:space="preserve"> resubmission window, all applicants may make </w:t>
      </w:r>
      <w:r w:rsidRPr="00DD1979">
        <w:rPr>
          <w:szCs w:val="22"/>
        </w:rPr>
        <w:t>minor</w:t>
      </w:r>
      <w:r w:rsidRPr="00967452">
        <w:rPr>
          <w:szCs w:val="22"/>
        </w:rPr>
        <w:t xml:space="preserve"> changes </w:t>
      </w:r>
      <w:r w:rsidRPr="00967452" w:rsidR="00967452">
        <w:rPr>
          <w:szCs w:val="22"/>
        </w:rPr>
        <w:t>to their applications</w:t>
      </w:r>
      <w:r w:rsidRPr="00967452">
        <w:rPr>
          <w:szCs w:val="22"/>
        </w:rPr>
        <w:t xml:space="preserve">.  </w:t>
      </w:r>
      <w:r w:rsidRPr="00016D38" w:rsidR="000E6FEA">
        <w:t xml:space="preserve">The </w:t>
      </w:r>
      <w:r w:rsidRPr="00F807F4" w:rsidR="000E6FEA">
        <w:t xml:space="preserve">electronic </w:t>
      </w:r>
      <w:r w:rsidR="000E6FEA">
        <w:t xml:space="preserve">FCC </w:t>
      </w:r>
      <w:r w:rsidRPr="00F807F4" w:rsidR="000E6FEA">
        <w:t xml:space="preserve">Form </w:t>
      </w:r>
      <w:r w:rsidR="000E6FEA">
        <w:t>183</w:t>
      </w:r>
      <w:r w:rsidRPr="00F807F4" w:rsidR="000E6FEA">
        <w:t xml:space="preserve"> </w:t>
      </w:r>
      <w:r w:rsidR="000E6FEA">
        <w:t xml:space="preserve">will not permit an applicant </w:t>
      </w:r>
      <w:r w:rsidRPr="00F807F4" w:rsidR="000E6FEA">
        <w:t xml:space="preserve">to make changes to </w:t>
      </w:r>
      <w:r w:rsidR="000E6FEA">
        <w:t xml:space="preserve">certain data fields in its application after the short-form </w:t>
      </w:r>
      <w:r w:rsidRPr="00CF7635" w:rsidR="000E6FEA">
        <w:t>application</w:t>
      </w:r>
      <w:r w:rsidR="000E6FEA">
        <w:t xml:space="preserve"> filing deadline</w:t>
      </w:r>
      <w:r w:rsidR="00D44B32">
        <w:t xml:space="preserve"> (March 30, 2018)</w:t>
      </w:r>
      <w:r w:rsidR="000E6FEA">
        <w:t xml:space="preserve">, including </w:t>
      </w:r>
      <w:r w:rsidRPr="00F807F4" w:rsidR="000E6FEA">
        <w:t xml:space="preserve">the applicant name, legal classification, </w:t>
      </w:r>
      <w:r w:rsidR="000E6FEA">
        <w:t xml:space="preserve">or the </w:t>
      </w:r>
      <w:r w:rsidRPr="00F807F4" w:rsidR="000E6FEA">
        <w:t>certif</w:t>
      </w:r>
      <w:r w:rsidR="000E6FEA">
        <w:t>ying official.</w:t>
      </w:r>
      <w:r>
        <w:t xml:space="preserve">  </w:t>
      </w:r>
      <w:r w:rsidRPr="00E71E31">
        <w:rPr>
          <w:szCs w:val="22"/>
        </w:rPr>
        <w:t xml:space="preserve">Administrative and minor changes can be made, </w:t>
      </w:r>
      <w:r w:rsidR="00300C89">
        <w:rPr>
          <w:szCs w:val="22"/>
        </w:rPr>
        <w:t xml:space="preserve">however.  These would </w:t>
      </w:r>
      <w:r w:rsidRPr="00E71E31">
        <w:rPr>
          <w:szCs w:val="22"/>
        </w:rPr>
        <w:t>includ</w:t>
      </w:r>
      <w:r w:rsidR="00300C89">
        <w:rPr>
          <w:szCs w:val="22"/>
        </w:rPr>
        <w:t>e</w:t>
      </w:r>
      <w:r w:rsidRPr="00E71E31">
        <w:rPr>
          <w:szCs w:val="22"/>
        </w:rPr>
        <w:t>, for example, deletion and addition of authorized bidders (to a maximum of three), revision of addresses and telephone numbers of the applicant and its contact person, and change</w:t>
      </w:r>
      <w:r w:rsidRPr="00565843">
        <w:rPr>
          <w:szCs w:val="22"/>
        </w:rPr>
        <w:t xml:space="preserve">s to responsible party.  </w:t>
      </w:r>
      <w:r w:rsidRPr="00565843" w:rsidR="00967452">
        <w:rPr>
          <w:szCs w:val="22"/>
        </w:rPr>
        <w:t xml:space="preserve">An applicant may also </w:t>
      </w:r>
      <w:r w:rsidRPr="006C6761" w:rsidR="00967452">
        <w:rPr>
          <w:szCs w:val="22"/>
        </w:rPr>
        <w:t>attach amended documents to its application, including</w:t>
      </w:r>
      <w:r w:rsidRPr="006C6761" w:rsidR="004F68BA">
        <w:rPr>
          <w:szCs w:val="22"/>
        </w:rPr>
        <w:t xml:space="preserve"> </w:t>
      </w:r>
      <w:r w:rsidRPr="00574272" w:rsidR="00DB0F18">
        <w:rPr>
          <w:szCs w:val="22"/>
        </w:rPr>
        <w:t xml:space="preserve">revisions or additions to </w:t>
      </w:r>
      <w:r w:rsidR="00091AC7">
        <w:rPr>
          <w:szCs w:val="22"/>
        </w:rPr>
        <w:t xml:space="preserve">its </w:t>
      </w:r>
      <w:r w:rsidRPr="005861C4" w:rsidR="00DB0F18">
        <w:rPr>
          <w:szCs w:val="22"/>
        </w:rPr>
        <w:t xml:space="preserve">financial statements and </w:t>
      </w:r>
      <w:r w:rsidRPr="005861C4" w:rsidR="004F68BA">
        <w:rPr>
          <w:szCs w:val="22"/>
        </w:rPr>
        <w:t>n</w:t>
      </w:r>
      <w:r w:rsidRPr="005861C4" w:rsidR="00967452">
        <w:rPr>
          <w:szCs w:val="22"/>
        </w:rPr>
        <w:t xml:space="preserve">etwork </w:t>
      </w:r>
      <w:r w:rsidRPr="005861C4" w:rsidR="004F68BA">
        <w:rPr>
          <w:szCs w:val="22"/>
        </w:rPr>
        <w:t>i</w:t>
      </w:r>
      <w:r w:rsidRPr="005861C4" w:rsidR="00967452">
        <w:rPr>
          <w:szCs w:val="22"/>
        </w:rPr>
        <w:t>nformation</w:t>
      </w:r>
      <w:r w:rsidRPr="005861C4" w:rsidR="00DB0F18">
        <w:rPr>
          <w:szCs w:val="22"/>
        </w:rPr>
        <w:t xml:space="preserve"> a</w:t>
      </w:r>
      <w:r w:rsidRPr="00C01363" w:rsidR="00DB0F18">
        <w:rPr>
          <w:szCs w:val="22"/>
        </w:rPr>
        <w:t xml:space="preserve">nd </w:t>
      </w:r>
      <w:r w:rsidRPr="00C01363" w:rsidR="004F68BA">
        <w:rPr>
          <w:szCs w:val="22"/>
        </w:rPr>
        <w:t xml:space="preserve">spectrum </w:t>
      </w:r>
      <w:r w:rsidRPr="00091AC7" w:rsidR="004F68BA">
        <w:rPr>
          <w:szCs w:val="22"/>
        </w:rPr>
        <w:t>access</w:t>
      </w:r>
      <w:r w:rsidRPr="00091AC7" w:rsidR="00DB0F18">
        <w:rPr>
          <w:szCs w:val="22"/>
        </w:rPr>
        <w:t xml:space="preserve"> attachments</w:t>
      </w:r>
      <w:r w:rsidRPr="001F50AF" w:rsidR="004F68BA">
        <w:rPr>
          <w:szCs w:val="22"/>
        </w:rPr>
        <w:t>.</w:t>
      </w:r>
      <w:r w:rsidRPr="00E71E31" w:rsidR="004F68BA">
        <w:rPr>
          <w:szCs w:val="22"/>
        </w:rPr>
        <w:t xml:space="preserve">  </w:t>
      </w:r>
      <w:r w:rsidR="00FB62C4">
        <w:t xml:space="preserve">Originally filed attachments cannot be removed from the application.  We recommend that the revised attachments be red-lined or </w:t>
      </w:r>
      <w:r w:rsidR="00300C89">
        <w:t xml:space="preserve">that changes be </w:t>
      </w:r>
      <w:r w:rsidR="00FB62C4">
        <w:t xml:space="preserve">otherwise highlighted </w:t>
      </w:r>
      <w:r w:rsidR="00F711FD">
        <w:t xml:space="preserve">if </w:t>
      </w:r>
      <w:r w:rsidR="00300C89">
        <w:t>they</w:t>
      </w:r>
      <w:r w:rsidR="00F711FD">
        <w:t xml:space="preserve"> are not too extensive</w:t>
      </w:r>
      <w:r w:rsidR="00300C89">
        <w:t>,</w:t>
      </w:r>
      <w:r w:rsidR="00F711FD">
        <w:t xml:space="preserve"> </w:t>
      </w:r>
      <w:r w:rsidR="00FB62C4">
        <w:t xml:space="preserve">so that Commission staff can easily discern the differences between the </w:t>
      </w:r>
      <w:r w:rsidR="00300C89">
        <w:t xml:space="preserve">original and revised </w:t>
      </w:r>
      <w:r w:rsidR="00FB62C4">
        <w:t>documents.</w:t>
      </w:r>
    </w:p>
    <w:p w:rsidR="00871C62" w:rsidP="00E92B8D" w14:paraId="71F062D5" w14:textId="423A11C2">
      <w:pPr>
        <w:pStyle w:val="ParaNum"/>
        <w:tabs>
          <w:tab w:val="clear" w:pos="1080"/>
          <w:tab w:val="num" w:pos="1440"/>
        </w:tabs>
      </w:pPr>
      <w:r>
        <w:t>An applicant m</w:t>
      </w:r>
      <w:r w:rsidR="00CA0EBE">
        <w:t>ay</w:t>
      </w:r>
      <w:r w:rsidR="005E2807">
        <w:t>, with certain limits,</w:t>
      </w:r>
      <w:r w:rsidR="008409EB">
        <w:t xml:space="preserve"> </w:t>
      </w:r>
      <w:r w:rsidR="00CA0EBE">
        <w:t>modify</w:t>
      </w:r>
      <w:r w:rsidRPr="00FB57AA" w:rsidR="00CA0EBE">
        <w:t xml:space="preserve"> </w:t>
      </w:r>
      <w:r>
        <w:t>its</w:t>
      </w:r>
      <w:r w:rsidRPr="00FB57AA" w:rsidR="00CA0EBE">
        <w:t xml:space="preserve"> </w:t>
      </w:r>
      <w:r w:rsidR="00CA0EBE">
        <w:t>initial state, performance tier, latency, and technology combination(s)</w:t>
      </w:r>
      <w:r w:rsidRPr="00FB57AA" w:rsidR="00CA0EBE">
        <w:t xml:space="preserve"> </w:t>
      </w:r>
      <w:r w:rsidRPr="00E60D71" w:rsidR="00CA0EBE">
        <w:t>(includin</w:t>
      </w:r>
      <w:r w:rsidR="00CA0EBE">
        <w:t xml:space="preserve">g, if applicable, the spectrum band(s) and </w:t>
      </w:r>
      <w:r w:rsidRPr="00CA0EBE" w:rsidR="00CA0EBE">
        <w:t>bandwidth</w:t>
      </w:r>
      <w:r w:rsidRPr="00E60D71" w:rsidR="00CA0EBE">
        <w:t>)</w:t>
      </w:r>
      <w:r w:rsidR="00CA0EBE">
        <w:t xml:space="preserve"> during the resubmission filing w</w:t>
      </w:r>
      <w:r w:rsidRPr="00FB57AA" w:rsidR="00CA0EBE">
        <w:t>indow</w:t>
      </w:r>
      <w:r w:rsidR="00CA0EBE">
        <w:t>.</w:t>
      </w:r>
      <w:r>
        <w:rPr>
          <w:rStyle w:val="FootnoteReference"/>
        </w:rPr>
        <w:footnoteReference w:id="11"/>
      </w:r>
      <w:r w:rsidR="00CA0EBE">
        <w:t xml:space="preserve">  </w:t>
      </w:r>
      <w:r w:rsidR="00D578E6">
        <w:t>An applicant</w:t>
      </w:r>
      <w:r w:rsidRPr="00102B51" w:rsidR="008409EB">
        <w:t xml:space="preserve"> will be permitted to remove</w:t>
      </w:r>
      <w:r w:rsidR="00D578E6">
        <w:t xml:space="preserve"> any</w:t>
      </w:r>
      <w:r w:rsidRPr="00102B51" w:rsidR="008409EB">
        <w:t xml:space="preserve"> state and remove or modify </w:t>
      </w:r>
      <w:r w:rsidR="00D578E6">
        <w:t>any</w:t>
      </w:r>
      <w:r w:rsidRPr="00102B51" w:rsidR="008409EB">
        <w:t xml:space="preserve"> performance tier, latency, and technology (including, if applicable, the spectrum band(s)/bandwidth) combination(s).  </w:t>
      </w:r>
      <w:r w:rsidR="00D578E6">
        <w:t xml:space="preserve">An applicant will </w:t>
      </w:r>
      <w:r w:rsidRPr="00102B51" w:rsidR="008409EB">
        <w:t xml:space="preserve">also be permitted to add new combinations.  However, </w:t>
      </w:r>
      <w:r w:rsidR="005E2807">
        <w:t xml:space="preserve">an </w:t>
      </w:r>
      <w:r w:rsidR="00814CC3">
        <w:t>applicant</w:t>
      </w:r>
      <w:r w:rsidRPr="00102B51" w:rsidR="008409EB">
        <w:t xml:space="preserve"> will not be able to add any new states.  </w:t>
      </w:r>
      <w:r w:rsidRPr="00BD7EE6">
        <w:t xml:space="preserve"> </w:t>
      </w:r>
    </w:p>
    <w:p w:rsidR="00967452" w:rsidRPr="00E71E31" w:rsidP="00E92B8D" w14:paraId="4A867BD2" w14:textId="36D329DB">
      <w:pPr>
        <w:pStyle w:val="ParaNum"/>
        <w:tabs>
          <w:tab w:val="clear" w:pos="1080"/>
          <w:tab w:val="num" w:pos="1440"/>
        </w:tabs>
      </w:pPr>
      <w:r w:rsidRPr="00E71E31">
        <w:t xml:space="preserve">While changes can </w:t>
      </w:r>
      <w:r w:rsidRPr="00E71E31" w:rsidR="00DB0F18">
        <w:t xml:space="preserve">also </w:t>
      </w:r>
      <w:r w:rsidRPr="00E71E31">
        <w:t xml:space="preserve">be made to </w:t>
      </w:r>
      <w:r w:rsidR="00297023">
        <w:t xml:space="preserve">the </w:t>
      </w:r>
      <w:r w:rsidRPr="00E71E31">
        <w:t>ownership and agreement information, we remind each applicant that any changes must comply with the Commission’s rule</w:t>
      </w:r>
      <w:r w:rsidRPr="00E71E31" w:rsidR="0064081C">
        <w:t xml:space="preserve"> prohibiting major modifications of an application.</w:t>
      </w:r>
      <w:r>
        <w:rPr>
          <w:rStyle w:val="FootnoteReference"/>
        </w:rPr>
        <w:footnoteReference w:id="12"/>
      </w:r>
      <w:r w:rsidRPr="00E71E31" w:rsidR="0064081C">
        <w:t xml:space="preserve">  </w:t>
      </w:r>
      <w:r w:rsidR="0064081C">
        <w:t>Any m</w:t>
      </w:r>
      <w:r w:rsidRPr="00C60499" w:rsidR="00DB0F18">
        <w:t xml:space="preserve">ajor modification to an </w:t>
      </w:r>
      <w:r w:rsidR="0064081C">
        <w:t xml:space="preserve">application </w:t>
      </w:r>
      <w:r w:rsidRPr="00C60499" w:rsidR="00DB0F18">
        <w:t>(e.g., certain changes in ownership that would constitute an assignment or transfer of control of the applicant) will not be permitted.</w:t>
      </w:r>
      <w:r>
        <w:rPr>
          <w:rStyle w:val="FootnoteReference"/>
        </w:rPr>
        <w:footnoteReference w:id="13"/>
      </w:r>
      <w:r w:rsidRPr="00C60499" w:rsidR="00DB0F18">
        <w:t xml:space="preserve">  </w:t>
      </w:r>
      <w:r w:rsidRPr="00E71E31">
        <w:t xml:space="preserve">If any application is changed to effect a major amendment, </w:t>
      </w:r>
      <w:r w:rsidRPr="00C60499" w:rsidR="0099399F">
        <w:t>the major amendment will not be accepted and may result in the dismissal of the application</w:t>
      </w:r>
      <w:r w:rsidRPr="00E71E31">
        <w:t xml:space="preserve">. </w:t>
      </w:r>
    </w:p>
    <w:p w:rsidR="004F4D29" w:rsidP="00E92B8D" w14:paraId="1C8EC182" w14:textId="4123106E">
      <w:pPr>
        <w:pStyle w:val="ParaNum"/>
        <w:tabs>
          <w:tab w:val="clear" w:pos="1080"/>
          <w:tab w:val="num" w:pos="1440"/>
        </w:tabs>
      </w:pPr>
      <w:r w:rsidRPr="0038667B">
        <w:t xml:space="preserve">We remind </w:t>
      </w:r>
      <w:r w:rsidRPr="005B2B43">
        <w:t>applicants</w:t>
      </w:r>
      <w:r w:rsidRPr="0038667B">
        <w:t xml:space="preserve"> that section 1.65 of the Commission’s rules require an applicant to maintain the accuracy and completeness of information furnished in its pending short-form application.</w:t>
      </w:r>
      <w:r>
        <w:rPr>
          <w:rStyle w:val="FootnoteReference"/>
          <w:szCs w:val="22"/>
        </w:rPr>
        <w:footnoteReference w:id="14"/>
      </w:r>
      <w:r w:rsidRPr="0038667B">
        <w:t xml:space="preserve">  Each </w:t>
      </w:r>
      <w:r w:rsidRPr="002F4692">
        <w:t>applicant</w:t>
      </w:r>
      <w:r w:rsidRPr="0038667B">
        <w:t xml:space="preserve"> should amend its short-form application to furnish additional or corrected information within five days of a significant occurrence, or no more than five days after the applicant becomes aware of the need for </w:t>
      </w:r>
      <w:r w:rsidRPr="005B2B43">
        <w:t>amendment</w:t>
      </w:r>
      <w:r w:rsidRPr="0038667B">
        <w:t>.</w:t>
      </w:r>
      <w:r>
        <w:rPr>
          <w:rStyle w:val="FootnoteReference"/>
        </w:rPr>
        <w:footnoteReference w:id="15"/>
      </w:r>
      <w:r w:rsidRPr="0038667B">
        <w:t xml:space="preserve">  To the extent that changes may be made directly in the electronic </w:t>
      </w:r>
      <w:r>
        <w:t xml:space="preserve">FCC </w:t>
      </w:r>
      <w:r w:rsidRPr="0038667B">
        <w:t xml:space="preserve">Form </w:t>
      </w:r>
      <w:r>
        <w:t>183</w:t>
      </w:r>
      <w:r w:rsidRPr="0038667B">
        <w:t xml:space="preserve"> at the time of the amendment, an applicant must modify its short-form application electronically.  An applicant seeking to report changes outside of the resubmission window must submit a summar</w:t>
      </w:r>
      <w:r>
        <w:t xml:space="preserve">y of </w:t>
      </w:r>
      <w:r w:rsidRPr="0038667B">
        <w:t>the changes by email to the attention of Margaret Wiener, Chief, Auctions and Spectrum Access Division,</w:t>
      </w:r>
      <w:r>
        <w:t xml:space="preserve"> Wireless Telecommunications Bureau,</w:t>
      </w:r>
      <w:r w:rsidRPr="0038667B">
        <w:t xml:space="preserve"> at the following address: </w:t>
      </w:r>
      <w:r>
        <w:fldChar w:fldCharType="begin"/>
      </w:r>
      <w:r>
        <w:instrText xml:space="preserve"> HYPERLINK "mailto:auction903@fcc.gov" </w:instrText>
      </w:r>
      <w:r>
        <w:fldChar w:fldCharType="separate"/>
      </w:r>
      <w:r>
        <w:rPr>
          <w:rStyle w:val="Hyperlink"/>
        </w:rPr>
        <w:t>auction903@fcc.gov</w:t>
      </w:r>
      <w:r>
        <w:fldChar w:fldCharType="end"/>
      </w:r>
      <w:r>
        <w:t>.</w:t>
      </w:r>
      <w:r w:rsidRPr="0038667B">
        <w:t xml:space="preserve">  Questions about changes should be directed to the Auctions and Spectrum Access Division at (202) 418-0660.</w:t>
      </w:r>
    </w:p>
    <w:p w:rsidR="00DB5FB4" w:rsidRPr="005B2B43" w:rsidP="00E92B8D" w14:paraId="793A2D37" w14:textId="7EE49C40">
      <w:pPr>
        <w:pStyle w:val="ParaNum"/>
        <w:tabs>
          <w:tab w:val="clear" w:pos="1080"/>
          <w:tab w:val="num" w:pos="1440"/>
        </w:tabs>
      </w:pPr>
      <w:r w:rsidRPr="00C60499">
        <w:t xml:space="preserve">For </w:t>
      </w:r>
      <w:r>
        <w:t xml:space="preserve">any </w:t>
      </w:r>
      <w:r w:rsidRPr="00C60499">
        <w:t xml:space="preserve">change to be submitted and considered by the Commission, an applicant must click on the </w:t>
      </w:r>
      <w:r w:rsidR="005B599F">
        <w:t xml:space="preserve">CERTIFY &amp; </w:t>
      </w:r>
      <w:r w:rsidRPr="00C60499">
        <w:t>SUBMIT button</w:t>
      </w:r>
      <w:r w:rsidR="00AD7E9F">
        <w:t xml:space="preserve"> in the Auction Application System</w:t>
      </w:r>
      <w:r w:rsidRPr="00C60499">
        <w:t>.  Any application amendment</w:t>
      </w:r>
      <w:r>
        <w:t>(s)</w:t>
      </w:r>
      <w:r w:rsidRPr="00C60499">
        <w:t xml:space="preserve"> and related statements of fact must be certified by an authorized representative of the applicant with authority to bind the applicant.  </w:t>
      </w:r>
      <w:r w:rsidR="00CD74D5">
        <w:t>The</w:t>
      </w:r>
      <w:r w:rsidRPr="00C60499">
        <w:t xml:space="preserve"> submission of any such amendment or related statement of fact constitutes a representation by the person certifying that he or she is an authorized representative with such authority, and that the contents of the amendment or statement of fact are true and correct</w:t>
      </w:r>
      <w:r>
        <w:t xml:space="preserve">.  </w:t>
      </w:r>
    </w:p>
    <w:p w:rsidR="004F4D29" w:rsidRPr="0038667B" w:rsidP="004F4D29" w14:paraId="2BA24F73" w14:textId="77777777">
      <w:pPr>
        <w:pStyle w:val="Heading1"/>
        <w:widowControl/>
        <w:tabs>
          <w:tab w:val="num" w:pos="720"/>
        </w:tabs>
      </w:pPr>
      <w:r w:rsidRPr="0038667B">
        <w:t>O</w:t>
      </w:r>
      <w:r>
        <w:t>ther</w:t>
      </w:r>
      <w:r w:rsidRPr="0038667B">
        <w:t xml:space="preserve"> I</w:t>
      </w:r>
      <w:r>
        <w:t>mportant</w:t>
      </w:r>
      <w:r w:rsidRPr="0038667B">
        <w:t xml:space="preserve"> </w:t>
      </w:r>
      <w:r>
        <w:t>A</w:t>
      </w:r>
      <w:r w:rsidRPr="0038667B">
        <w:t xml:space="preserve">uction </w:t>
      </w:r>
      <w:r>
        <w:t>903</w:t>
      </w:r>
      <w:r w:rsidRPr="0038667B">
        <w:t xml:space="preserve"> I</w:t>
      </w:r>
      <w:r>
        <w:t>nformation</w:t>
      </w:r>
    </w:p>
    <w:p w:rsidR="004F4D29" w:rsidRPr="00152B41" w:rsidP="00E92B8D" w14:paraId="0CCEC39A" w14:textId="78BA76D2">
      <w:pPr>
        <w:pStyle w:val="ParaNum"/>
        <w:tabs>
          <w:tab w:val="clear" w:pos="1080"/>
          <w:tab w:val="num" w:pos="1440"/>
        </w:tabs>
      </w:pPr>
      <w:r>
        <w:rPr>
          <w:b/>
        </w:rPr>
        <w:t xml:space="preserve">Announcement of </w:t>
      </w:r>
      <w:r w:rsidRPr="0038667B">
        <w:rPr>
          <w:b/>
        </w:rPr>
        <w:t>Qualified Bidders.</w:t>
      </w:r>
      <w:r w:rsidRPr="0038667B">
        <w:t xml:space="preserve">  </w:t>
      </w:r>
      <w:r w:rsidR="007730DE">
        <w:t>F</w:t>
      </w:r>
      <w:r w:rsidRPr="0038667B">
        <w:t xml:space="preserve">ollowing Commission review of resubmitted short-form applications, a public notice listing </w:t>
      </w:r>
      <w:r w:rsidRPr="002F4692">
        <w:t>all</w:t>
      </w:r>
      <w:r w:rsidRPr="0038667B">
        <w:t xml:space="preserve"> applicants qualified to bid in Auction </w:t>
      </w:r>
      <w:r>
        <w:t>903</w:t>
      </w:r>
      <w:r w:rsidRPr="0038667B">
        <w:t xml:space="preserve"> will be released.</w:t>
      </w:r>
      <w:r>
        <w:rPr>
          <w:rStyle w:val="FootnoteReference"/>
        </w:rPr>
        <w:footnoteReference w:id="16"/>
      </w:r>
      <w:r w:rsidRPr="0038667B">
        <w:t xml:space="preserve">  The same public </w:t>
      </w:r>
      <w:r w:rsidRPr="00F072E3">
        <w:t xml:space="preserve">notice will also include bidding schedules for both the mock auction </w:t>
      </w:r>
      <w:r w:rsidRPr="00152B41">
        <w:t>and the first day of bidding.</w:t>
      </w:r>
    </w:p>
    <w:p w:rsidR="004F4D29" w:rsidRPr="005B2B43" w:rsidP="00E92B8D" w14:paraId="75C10040" w14:textId="3ED5A571">
      <w:pPr>
        <w:pStyle w:val="ParaNum"/>
        <w:tabs>
          <w:tab w:val="clear" w:pos="1080"/>
          <w:tab w:val="num" w:pos="1440"/>
        </w:tabs>
        <w:rPr>
          <w:snapToGrid/>
        </w:rPr>
      </w:pPr>
      <w:r w:rsidRPr="0038667B">
        <w:rPr>
          <w:b/>
        </w:rPr>
        <w:t>Prohibition of Certain Communications.</w:t>
      </w:r>
      <w:r w:rsidRPr="0038667B">
        <w:t xml:space="preserve">  </w:t>
      </w:r>
      <w:r w:rsidR="00F967B1">
        <w:t>We</w:t>
      </w:r>
      <w:r w:rsidRPr="0038667B">
        <w:t xml:space="preserve"> remind applicants that </w:t>
      </w:r>
      <w:r>
        <w:t xml:space="preserve">the rule prohibiting certain communications set forth in </w:t>
      </w:r>
      <w:r w:rsidRPr="0038667B">
        <w:t xml:space="preserve">section </w:t>
      </w:r>
      <w:r>
        <w:t>1.21002</w:t>
      </w:r>
      <w:r w:rsidRPr="0038667B">
        <w:t xml:space="preserve"> of the Commission’s rules </w:t>
      </w:r>
      <w:r>
        <w:t>appl</w:t>
      </w:r>
      <w:r w:rsidR="00E93EDE">
        <w:t>ies</w:t>
      </w:r>
      <w:r>
        <w:t xml:space="preserve"> to each applicant that filed a short-form </w:t>
      </w:r>
      <w:r w:rsidRPr="002F4692">
        <w:t>application</w:t>
      </w:r>
      <w:r>
        <w:t xml:space="preserve"> in Auction 903.</w:t>
      </w:r>
      <w:r>
        <w:rPr>
          <w:rStyle w:val="FootnoteReference"/>
        </w:rPr>
        <w:footnoteReference w:id="17"/>
      </w:r>
      <w:r>
        <w:t xml:space="preserve">  Section 1.21002 provides that, subject to specified exceptions, after the deadline for filing a short-form application, </w:t>
      </w:r>
      <w:r w:rsidR="00F967B1">
        <w:t xml:space="preserve">an applicant </w:t>
      </w:r>
      <w:r>
        <w:t>“</w:t>
      </w:r>
      <w:r w:rsidR="00F967B1">
        <w:t xml:space="preserve">is </w:t>
      </w:r>
      <w:r>
        <w:t xml:space="preserve">prohibited from communicating with </w:t>
      </w:r>
      <w:r w:rsidR="00F967B1">
        <w:t xml:space="preserve">any other applicant in any manner the substance </w:t>
      </w:r>
      <w:r>
        <w:t xml:space="preserve">of </w:t>
      </w:r>
      <w:r w:rsidR="00F967B1">
        <w:t xml:space="preserve">its </w:t>
      </w:r>
      <w:r>
        <w:t xml:space="preserve">own, or </w:t>
      </w:r>
      <w:r w:rsidR="00F967B1">
        <w:t>one another’s</w:t>
      </w:r>
      <w:r>
        <w:t xml:space="preserve">, or any </w:t>
      </w:r>
      <w:r w:rsidR="00F967B1">
        <w:t xml:space="preserve">competing </w:t>
      </w:r>
      <w:r>
        <w:t>applicant</w:t>
      </w:r>
      <w:r w:rsidR="00F967B1">
        <w:t>’s</w:t>
      </w:r>
      <w:r>
        <w:t xml:space="preserve"> bids or bidding strategies, until after the </w:t>
      </w:r>
      <w:r w:rsidR="00F967B1">
        <w:t>post-auction deadline for winning bidders to submit application</w:t>
      </w:r>
      <w:r w:rsidR="002B4580">
        <w:t>s</w:t>
      </w:r>
      <w:r w:rsidR="00F967B1">
        <w:t xml:space="preserve"> for support.</w:t>
      </w:r>
      <w:r>
        <w:t>”</w:t>
      </w:r>
      <w:r>
        <w:rPr>
          <w:rStyle w:val="FootnoteReference"/>
        </w:rPr>
        <w:footnoteReference w:id="18"/>
      </w:r>
      <w:r w:rsidRPr="008067FE" w:rsidR="008067FE">
        <w:rPr>
          <w:b/>
        </w:rPr>
        <w:t xml:space="preserve"> </w:t>
      </w:r>
    </w:p>
    <w:p w:rsidR="004F4D29" w:rsidRPr="0038667B" w:rsidP="00E92B8D" w14:paraId="08339941" w14:textId="0AE92A7D">
      <w:pPr>
        <w:pStyle w:val="ParaNum"/>
        <w:tabs>
          <w:tab w:val="clear" w:pos="1080"/>
          <w:tab w:val="num" w:pos="1440"/>
        </w:tabs>
      </w:pPr>
      <w:r w:rsidRPr="0038667B">
        <w:t xml:space="preserve">This prohibition took effect </w:t>
      </w:r>
      <w:r w:rsidRPr="005B2B43">
        <w:rPr>
          <w:szCs w:val="22"/>
        </w:rPr>
        <w:t>as</w:t>
      </w:r>
      <w:r w:rsidRPr="0038667B">
        <w:t xml:space="preserve"> of the short-form application filing deadline, </w:t>
      </w:r>
      <w:r w:rsidR="003A1F08">
        <w:t xml:space="preserve">i.e., </w:t>
      </w:r>
      <w:r>
        <w:t>March 30, 2018</w:t>
      </w:r>
      <w:r w:rsidRPr="0038667B">
        <w:t xml:space="preserve">, at 6:00 p.m. ET, and </w:t>
      </w:r>
      <w:r>
        <w:t xml:space="preserve">extends until the long-form application deadline.  As discussed in the </w:t>
      </w:r>
      <w:r w:rsidRPr="00CC406A">
        <w:rPr>
          <w:i/>
        </w:rPr>
        <w:t>Auction 903 Procedures Public Notice</w:t>
      </w:r>
      <w:r>
        <w:t xml:space="preserve">, </w:t>
      </w:r>
      <w:r w:rsidRPr="001639E0">
        <w:t>long-form applications will be due within 10 business days after release of the Auction 903 closing public notice, unless otherwise provided by public notice</w:t>
      </w:r>
      <w:r>
        <w:t>.</w:t>
      </w:r>
      <w:r>
        <w:rPr>
          <w:sz w:val="20"/>
          <w:vertAlign w:val="superscript"/>
        </w:rPr>
        <w:footnoteReference w:id="19"/>
      </w:r>
      <w:r w:rsidRPr="001639E0">
        <w:rPr>
          <w:szCs w:val="22"/>
        </w:rPr>
        <w:t xml:space="preserve"> </w:t>
      </w:r>
      <w:r w:rsidRPr="0038667B">
        <w:t xml:space="preserve"> </w:t>
      </w:r>
    </w:p>
    <w:p w:rsidR="008067FE" w:rsidP="00D95962" w14:paraId="0DDD12D5" w14:textId="77777777">
      <w:pPr>
        <w:pStyle w:val="ParaNum"/>
        <w:widowControl/>
        <w:tabs>
          <w:tab w:val="clear" w:pos="1080"/>
          <w:tab w:val="num" w:pos="1440"/>
        </w:tabs>
      </w:pPr>
      <w:r>
        <w:rPr>
          <w:b/>
        </w:rPr>
        <w:t>T</w:t>
      </w:r>
      <w:r w:rsidRPr="0038667B">
        <w:rPr>
          <w:b/>
        </w:rPr>
        <w:t>h</w:t>
      </w:r>
      <w:r>
        <w:rPr>
          <w:b/>
        </w:rPr>
        <w:t>is</w:t>
      </w:r>
      <w:r w:rsidRPr="0038667B">
        <w:rPr>
          <w:b/>
        </w:rPr>
        <w:t xml:space="preserve"> prohibition applies to all applicants regardless of whether such applicants become qualified bidders or actually bid.</w:t>
      </w:r>
      <w:r>
        <w:rPr>
          <w:rStyle w:val="FootnoteReference"/>
          <w:szCs w:val="22"/>
        </w:rPr>
        <w:footnoteReference w:id="20"/>
      </w:r>
      <w:r>
        <w:rPr>
          <w:b/>
        </w:rPr>
        <w:t xml:space="preserve">  </w:t>
      </w:r>
      <w:r w:rsidRPr="0038667B" w:rsidR="004F4D29">
        <w:t xml:space="preserve">We also emphasize that, for purposes of this prohibition, an “applicant” includes </w:t>
      </w:r>
      <w:r w:rsidR="002B4580">
        <w:t xml:space="preserve">the entity filing the application, each party capable </w:t>
      </w:r>
      <w:r w:rsidRPr="002F4692" w:rsidR="002B4580">
        <w:t>of</w:t>
      </w:r>
      <w:r w:rsidR="002B4580">
        <w:t xml:space="preserve"> controlling the applicant, and each party that may be controlled by the applicant or by a party capable of controlling the applicant.</w:t>
      </w:r>
      <w:r>
        <w:rPr>
          <w:rStyle w:val="FootnoteReference"/>
        </w:rPr>
        <w:footnoteReference w:id="21"/>
      </w:r>
    </w:p>
    <w:p w:rsidR="004F4D29" w:rsidRPr="0038667B" w:rsidP="00E92B8D" w14:paraId="774FE832" w14:textId="296F4AFE">
      <w:pPr>
        <w:pStyle w:val="ParaNum"/>
        <w:tabs>
          <w:tab w:val="clear" w:pos="1080"/>
          <w:tab w:val="num" w:pos="1440"/>
        </w:tabs>
      </w:pPr>
      <w:r>
        <w:rPr>
          <w:szCs w:val="22"/>
        </w:rPr>
        <w:t>The prohibition of “communicating in any manner” includes public disclosures as well as private communications and indirect or implicit communications, as well as express statements of bids and bidding strategies.</w:t>
      </w:r>
      <w:r>
        <w:rPr>
          <w:rStyle w:val="FootnoteReference"/>
          <w:szCs w:val="22"/>
        </w:rPr>
        <w:footnoteReference w:id="22"/>
      </w:r>
      <w:r>
        <w:rPr>
          <w:szCs w:val="22"/>
        </w:rPr>
        <w:t xml:space="preserve">  Consequently, </w:t>
      </w:r>
      <w:r>
        <w:t>an applicant must take care to determine whether its auction-related communications may reach another applicant.</w:t>
      </w:r>
    </w:p>
    <w:p w:rsidR="004F4D29" w:rsidRPr="0038667B" w:rsidP="00E92B8D" w14:paraId="4F8BBF9F" w14:textId="0883FF3E">
      <w:pPr>
        <w:pStyle w:val="ParaNum"/>
        <w:tabs>
          <w:tab w:val="clear" w:pos="1080"/>
          <w:tab w:val="num" w:pos="1440"/>
        </w:tabs>
      </w:pPr>
      <w:r w:rsidRPr="0038667B">
        <w:rPr>
          <w:b/>
        </w:rPr>
        <w:t>Disclosure Obligations</w:t>
      </w:r>
      <w:r w:rsidRPr="0038667B">
        <w:rPr>
          <w:b/>
          <w:i/>
        </w:rPr>
        <w:t>.</w:t>
      </w:r>
      <w:r w:rsidRPr="0038667B">
        <w:t xml:space="preserve">  </w:t>
      </w:r>
      <w:r w:rsidR="00A477B7">
        <w:t>Section 1.21002(c) provides that any applicant that makes or receives a communication that appears to violate section 1.</w:t>
      </w:r>
      <w:r w:rsidRPr="002F4692" w:rsidR="00A477B7">
        <w:t>21002</w:t>
      </w:r>
      <w:r w:rsidR="00A477B7">
        <w:t xml:space="preserve"> must report such communication in writing to the Commission immediately, and in no case later than five business days after the communication occurs.</w:t>
      </w:r>
      <w:r>
        <w:rPr>
          <w:rStyle w:val="FootnoteReference"/>
          <w:szCs w:val="22"/>
        </w:rPr>
        <w:footnoteReference w:id="23"/>
      </w:r>
      <w:r w:rsidR="00A477B7">
        <w:t xml:space="preserve">  An applicant’s obligation to make such a report continues until the report has been made.</w:t>
      </w:r>
      <w:r>
        <w:rPr>
          <w:rStyle w:val="FootnoteReference"/>
        </w:rPr>
        <w:footnoteReference w:id="24"/>
      </w:r>
      <w:r w:rsidRPr="0038667B">
        <w:t xml:space="preserve">  </w:t>
      </w:r>
    </w:p>
    <w:p w:rsidR="008067FE" w:rsidP="00E92B8D" w14:paraId="6859FDCB" w14:textId="3DCC3C8F">
      <w:pPr>
        <w:pStyle w:val="ParaNum"/>
        <w:tabs>
          <w:tab w:val="clear" w:pos="1080"/>
          <w:tab w:val="num" w:pos="1440"/>
        </w:tabs>
      </w:pPr>
      <w:r w:rsidRPr="0038667B">
        <w:rPr>
          <w:b/>
        </w:rPr>
        <w:t>Reporting Prohibited Communications</w:t>
      </w:r>
      <w:r w:rsidRPr="0038667B">
        <w:t xml:space="preserve">.  </w:t>
      </w:r>
      <w:r w:rsidRPr="00AA3671">
        <w:t>Parties must file only a single report concerning a prohibited communication and must file that report with the Commission personnel expressly charged with administering the Commission’s auctions.</w:t>
      </w:r>
      <w:r>
        <w:rPr>
          <w:rStyle w:val="FootnoteReference"/>
          <w:szCs w:val="22"/>
        </w:rPr>
        <w:footnoteReference w:id="25"/>
      </w:r>
      <w:r w:rsidRPr="00AA3671">
        <w:t xml:space="preserve">  This rule is designed to minimize the risk of inadvertent dissemination of information in such reports.</w:t>
      </w:r>
      <w:r>
        <w:rPr>
          <w:rStyle w:val="FootnoteReference"/>
        </w:rPr>
        <w:footnoteReference w:id="26"/>
      </w:r>
      <w:r w:rsidRPr="00AA3671">
        <w:t xml:space="preserve">  Any reports required by section 1.21002(c) must be filed consistent with the instructions set forth in th</w:t>
      </w:r>
      <w:r>
        <w:t xml:space="preserve">e </w:t>
      </w:r>
      <w:r w:rsidRPr="008067FE">
        <w:rPr>
          <w:i/>
        </w:rPr>
        <w:t>Auction 903 Procedures Public Notice</w:t>
      </w:r>
      <w:r w:rsidRPr="00AA3671">
        <w:t>.</w:t>
      </w:r>
      <w:r>
        <w:rPr>
          <w:rStyle w:val="FootnoteReference"/>
          <w:szCs w:val="22"/>
        </w:rPr>
        <w:footnoteReference w:id="27"/>
      </w:r>
      <w:r w:rsidRPr="00AA3671">
        <w:t xml:space="preserve">  </w:t>
      </w:r>
      <w:r w:rsidR="006C41D8">
        <w:t>In particular</w:t>
      </w:r>
      <w:r w:rsidRPr="00AA3671">
        <w:t xml:space="preserve">, such reports </w:t>
      </w:r>
      <w:r w:rsidR="006C41D8">
        <w:t xml:space="preserve">for Auction 903 </w:t>
      </w:r>
      <w:r w:rsidRPr="00AA3671">
        <w:t xml:space="preserve">must be filed with Margaret W. Wiener, the Chief of the Auctions and Spectrum Access Division, Wireless Telecommunications Bureau, by the most expeditious means available.  Any such report should be submitted by </w:t>
      </w:r>
      <w:r>
        <w:t>email</w:t>
      </w:r>
      <w:r w:rsidRPr="00AA3671">
        <w:t xml:space="preserve"> to Ms. Wiener at the following </w:t>
      </w:r>
      <w:r>
        <w:t>email</w:t>
      </w:r>
      <w:r w:rsidRPr="00AA3671">
        <w:t xml:space="preserve"> address: </w:t>
      </w:r>
      <w:r>
        <w:t xml:space="preserve"> </w:t>
      </w:r>
      <w:r>
        <w:fldChar w:fldCharType="begin"/>
      </w:r>
      <w:r>
        <w:instrText xml:space="preserve"> HYPERLINK "mailto:auction903@fcc.gov" </w:instrText>
      </w:r>
      <w:r>
        <w:fldChar w:fldCharType="separate"/>
      </w:r>
      <w:r w:rsidRPr="00EC3EE5">
        <w:rPr>
          <w:rStyle w:val="Hyperlink"/>
          <w:szCs w:val="22"/>
        </w:rPr>
        <w:t>auction903@fcc.gov</w:t>
      </w:r>
      <w:r>
        <w:fldChar w:fldCharType="end"/>
      </w:r>
      <w:r w:rsidRPr="00AA3671">
        <w:t xml:space="preserve">.  </w:t>
      </w:r>
      <w:r w:rsidRPr="00AF763E">
        <w:t>If you choose instead to submit a report in hard copy, any such report must be delivered only to: Margaret W. Wiener, Chief, Auctions and Spectrum Access Division, Wireless Telecommunications Bureau, Federal Communications Commission, 445 12</w:t>
      </w:r>
      <w:r w:rsidRPr="00AF763E">
        <w:rPr>
          <w:vertAlign w:val="superscript"/>
        </w:rPr>
        <w:t>th</w:t>
      </w:r>
      <w:r w:rsidRPr="00AF763E">
        <w:t xml:space="preserve"> Street, SW, Room 6-C217, Washington, DC 20554.</w:t>
      </w:r>
    </w:p>
    <w:p w:rsidR="008067FE" w:rsidP="00E92B8D" w14:paraId="43B73D3F" w14:textId="77777777">
      <w:pPr>
        <w:pStyle w:val="ParaNum"/>
        <w:tabs>
          <w:tab w:val="clear" w:pos="1080"/>
          <w:tab w:val="num" w:pos="1440"/>
        </w:tabs>
      </w:pPr>
      <w:r w:rsidRPr="00657249">
        <w:t>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28"/>
      </w:r>
      <w:r w:rsidRPr="00657249">
        <w:t xml:space="preserve">  We encourage such parties to coordinate with the Auctions and Spectrum Access Division staff about the procedures for submitting such reports.</w:t>
      </w:r>
    </w:p>
    <w:p w:rsidR="004F4D29" w:rsidRPr="0038667B" w:rsidP="00E92B8D" w14:paraId="47C1AC6F" w14:textId="16B57303">
      <w:pPr>
        <w:pStyle w:val="ParaNum"/>
        <w:tabs>
          <w:tab w:val="clear" w:pos="1080"/>
          <w:tab w:val="num" w:pos="1440"/>
        </w:tabs>
      </w:pPr>
      <w:r w:rsidRPr="0038667B">
        <w:t>Any applicant found to have violated section 1.210</w:t>
      </w:r>
      <w:r>
        <w:t>02</w:t>
      </w:r>
      <w:r w:rsidRPr="0038667B">
        <w:t xml:space="preserve"> of the Commission’s rules </w:t>
      </w:r>
      <w:r w:rsidR="00AA65C5">
        <w:t>is</w:t>
      </w:r>
      <w:r w:rsidRPr="0038667B">
        <w:t xml:space="preserve"> subject to sanctions.</w:t>
      </w:r>
      <w:r>
        <w:rPr>
          <w:rStyle w:val="FootnoteReference"/>
        </w:rPr>
        <w:footnoteReference w:id="29"/>
      </w:r>
      <w:r w:rsidRPr="0038667B">
        <w:t xml:space="preserve">  In addition, we remind applicants that they are subject to the antitrust laws.</w:t>
      </w:r>
      <w:r>
        <w:rPr>
          <w:rStyle w:val="FootnoteReference"/>
        </w:rPr>
        <w:footnoteReference w:id="30"/>
      </w:r>
      <w:r w:rsidRPr="0038667B">
        <w:t xml:space="preserve">  If an </w:t>
      </w:r>
      <w:r w:rsidRPr="00657249">
        <w:t>applicant</w:t>
      </w:r>
      <w:r w:rsidRPr="0038667B">
        <w:t xml:space="preserve"> is found to have violated the antitrust laws </w:t>
      </w:r>
      <w:r>
        <w:t xml:space="preserve">or the Commission’s rules </w:t>
      </w:r>
      <w:r w:rsidRPr="0038667B">
        <w:t xml:space="preserve">in connection with its participation in the competitive bidding process, it may be subject to forfeiture and may be prohibited from participating in future </w:t>
      </w:r>
      <w:r w:rsidR="003A1F08">
        <w:t xml:space="preserve">Commission </w:t>
      </w:r>
      <w:r w:rsidRPr="0038667B">
        <w:t>auctions</w:t>
      </w:r>
      <w:r>
        <w:t>, among other sanctions</w:t>
      </w:r>
      <w:r w:rsidRPr="0038667B">
        <w:t>.</w:t>
      </w:r>
      <w:r>
        <w:rPr>
          <w:rStyle w:val="FootnoteReference"/>
        </w:rPr>
        <w:footnoteReference w:id="31"/>
      </w:r>
      <w:bookmarkStart w:id="2" w:name="_Toc495379842"/>
      <w:r w:rsidRPr="0038667B">
        <w:t xml:space="preserve">  </w:t>
      </w:r>
    </w:p>
    <w:p w:rsidR="004F4D29" w:rsidRPr="0038667B" w:rsidP="00E92B8D" w14:paraId="6C00F3D1" w14:textId="01B70367">
      <w:pPr>
        <w:pStyle w:val="ParaNum"/>
        <w:tabs>
          <w:tab w:val="clear" w:pos="1080"/>
          <w:tab w:val="num" w:pos="1440"/>
        </w:tabs>
      </w:pPr>
      <w:bookmarkEnd w:id="2"/>
      <w:r w:rsidRPr="0038667B">
        <w:rPr>
          <w:b/>
        </w:rPr>
        <w:t>Ex Parte Rule</w:t>
      </w:r>
      <w:r w:rsidR="00644A4A">
        <w:rPr>
          <w:b/>
        </w:rPr>
        <w:t>s</w:t>
      </w:r>
      <w:r w:rsidRPr="0038667B">
        <w:rPr>
          <w:b/>
        </w:rPr>
        <w:t>.</w:t>
      </w:r>
      <w:r w:rsidRPr="0038667B">
        <w:t xml:space="preserve">  Applicants should also be aware that the Commission has generally treated mutually exclusive short-form applications to participate in the auctions process as exempt proceedings and, therefore, not subject to the </w:t>
      </w:r>
      <w:r w:rsidRPr="0038667B">
        <w:rPr>
          <w:i/>
        </w:rPr>
        <w:t>ex parte</w:t>
      </w:r>
      <w:r w:rsidRPr="0038667B">
        <w:t xml:space="preserve"> prohibitions that pertain to restricted proceedings.</w:t>
      </w:r>
      <w:r>
        <w:rPr>
          <w:rStyle w:val="FootnoteReference"/>
        </w:rPr>
        <w:footnoteReference w:id="32"/>
      </w:r>
      <w:r w:rsidRPr="0038667B">
        <w:t xml:space="preserve"> </w:t>
      </w:r>
      <w:r w:rsidR="00644A4A">
        <w:t xml:space="preserve">This same treatment will apply to the mutually exclusive short-form applications in this proceeding. </w:t>
      </w:r>
      <w:r w:rsidRPr="0038667B">
        <w:t xml:space="preserve"> </w:t>
      </w:r>
    </w:p>
    <w:p w:rsidR="004F4D29" w:rsidRPr="0038667B" w:rsidP="00E92B8D" w14:paraId="7B967C6D" w14:textId="18C82278">
      <w:pPr>
        <w:pStyle w:val="ParaNum"/>
        <w:tabs>
          <w:tab w:val="clear" w:pos="1080"/>
          <w:tab w:val="num" w:pos="1440"/>
        </w:tabs>
      </w:pPr>
      <w:r w:rsidRPr="0038667B">
        <w:rPr>
          <w:b/>
        </w:rPr>
        <w:t>Mock Auction.</w:t>
      </w:r>
      <w:r w:rsidRPr="0038667B">
        <w:t xml:space="preserve">  All qualified bidders will be eligible to participate in a mock auction </w:t>
      </w:r>
      <w:r>
        <w:t>during the week of July 16, 2018</w:t>
      </w:r>
      <w:r w:rsidRPr="0038667B">
        <w:t xml:space="preserve">.  </w:t>
      </w:r>
      <w:r w:rsidR="005A1E26">
        <w:t>We</w:t>
      </w:r>
      <w:r w:rsidRPr="0038667B">
        <w:t xml:space="preserve"> encourage all </w:t>
      </w:r>
      <w:r>
        <w:t xml:space="preserve">qualified </w:t>
      </w:r>
      <w:r w:rsidRPr="0038667B">
        <w:t xml:space="preserve">bidders </w:t>
      </w:r>
      <w:r>
        <w:t xml:space="preserve">to </w:t>
      </w:r>
      <w:r w:rsidRPr="0038667B">
        <w:t xml:space="preserve">take advantage of this opportunity to become familiar with the </w:t>
      </w:r>
      <w:r w:rsidR="00554FE5">
        <w:t xml:space="preserve">CAF II Bidding </w:t>
      </w:r>
      <w:r w:rsidRPr="00657249" w:rsidR="00554FE5">
        <w:t>System</w:t>
      </w:r>
      <w:r w:rsidR="00554FE5">
        <w:t xml:space="preserve"> and to practice submitting bids prior to the auction</w:t>
      </w:r>
      <w:r w:rsidRPr="0038667B">
        <w:t xml:space="preserve">.  In the public notice announcing the qualified bidders, </w:t>
      </w:r>
      <w:r w:rsidR="005A1E26">
        <w:t xml:space="preserve">we </w:t>
      </w:r>
      <w:r w:rsidRPr="0038667B">
        <w:t xml:space="preserve">will announce the bidding schedule for the mock auction.  </w:t>
      </w:r>
    </w:p>
    <w:p w:rsidR="004F4D29" w:rsidRPr="0038667B" w:rsidP="00E92B8D" w14:paraId="745B9AD8" w14:textId="5D9E77FB">
      <w:pPr>
        <w:pStyle w:val="ParaNum"/>
        <w:tabs>
          <w:tab w:val="clear" w:pos="1080"/>
          <w:tab w:val="num" w:pos="1440"/>
        </w:tabs>
      </w:pPr>
      <w:r w:rsidRPr="00D735E4">
        <w:rPr>
          <w:b/>
        </w:rPr>
        <w:t>Post-Auction Procedures.</w:t>
      </w:r>
      <w:r w:rsidRPr="0038667B">
        <w:t xml:space="preserve">  S</w:t>
      </w:r>
      <w:r w:rsidRPr="00D735E4">
        <w:t xml:space="preserve">hortly after bidding </w:t>
      </w:r>
      <w:r w:rsidR="00817663">
        <w:t xml:space="preserve">in Auction 903 </w:t>
      </w:r>
      <w:r w:rsidRPr="00D735E4">
        <w:t xml:space="preserve">has ended, a public notice </w:t>
      </w:r>
      <w:r w:rsidR="005B044E">
        <w:t xml:space="preserve">will be released that </w:t>
      </w:r>
      <w:r w:rsidRPr="00D735E4">
        <w:t>declar</w:t>
      </w:r>
      <w:r w:rsidR="005B044E">
        <w:t>es</w:t>
      </w:r>
      <w:r w:rsidRPr="00D735E4">
        <w:t xml:space="preserve"> the auction closed, identifi</w:t>
      </w:r>
      <w:r w:rsidR="005B044E">
        <w:t>es</w:t>
      </w:r>
      <w:r w:rsidRPr="00D735E4">
        <w:t xml:space="preserve"> the winning bidders, and establish</w:t>
      </w:r>
      <w:r w:rsidR="005B044E">
        <w:t>es</w:t>
      </w:r>
      <w:r w:rsidRPr="00D735E4">
        <w:t xml:space="preserve"> deadlines</w:t>
      </w:r>
      <w:r>
        <w:t xml:space="preserve"> for filing the long-form application</w:t>
      </w:r>
      <w:r w:rsidRPr="00D735E4">
        <w:t xml:space="preserve">. </w:t>
      </w:r>
      <w:r w:rsidR="00AC2E42">
        <w:t xml:space="preserve"> </w:t>
      </w:r>
      <w:r w:rsidRPr="0038667B">
        <w:t xml:space="preserve">Further filing instructions will </w:t>
      </w:r>
      <w:r w:rsidRPr="00657249">
        <w:t>be</w:t>
      </w:r>
      <w:r w:rsidRPr="0038667B">
        <w:t xml:space="preserve"> provided to auction winners at the close of the auction.  </w:t>
      </w:r>
    </w:p>
    <w:p w:rsidR="004F4D29" w:rsidRPr="0038667B" w:rsidP="004F4D29" w14:paraId="795057DC" w14:textId="77777777">
      <w:pPr>
        <w:pStyle w:val="Heading1"/>
        <w:widowControl/>
        <w:tabs>
          <w:tab w:val="num" w:pos="720"/>
        </w:tabs>
      </w:pPr>
      <w:r w:rsidRPr="0038667B">
        <w:t>C</w:t>
      </w:r>
      <w:r>
        <w:t>ontact</w:t>
      </w:r>
      <w:r w:rsidRPr="0038667B">
        <w:t xml:space="preserve"> I</w:t>
      </w:r>
      <w:r>
        <w:t>nformation</w:t>
      </w:r>
    </w:p>
    <w:p w:rsidR="004F4D29" w:rsidRPr="0038667B" w:rsidP="00D95962" w14:paraId="1A479BD2" w14:textId="7D3943F6">
      <w:pPr>
        <w:pStyle w:val="ParaNum"/>
        <w:widowControl/>
        <w:tabs>
          <w:tab w:val="clear" w:pos="1080"/>
          <w:tab w:val="num" w:pos="1440"/>
        </w:tabs>
      </w:pPr>
      <w:r w:rsidRPr="0038667B">
        <w:t xml:space="preserve">For specific questions about an applicant’s incomplete status or its application deficiencies, </w:t>
      </w:r>
      <w:r w:rsidRPr="00CC406A">
        <w:t xml:space="preserve">the applicant should contact the </w:t>
      </w:r>
      <w:r w:rsidR="003A1F08">
        <w:t xml:space="preserve">Commission </w:t>
      </w:r>
      <w:r w:rsidRPr="00BA71D6">
        <w:t>staff</w:t>
      </w:r>
      <w:r w:rsidRPr="00CC406A">
        <w:t xml:space="preserve"> </w:t>
      </w:r>
      <w:r w:rsidR="003A1F08">
        <w:t>memb</w:t>
      </w:r>
      <w:r w:rsidRPr="00CC406A" w:rsidR="003A1F08">
        <w:t xml:space="preserve">er </w:t>
      </w:r>
      <w:r w:rsidRPr="00CC406A">
        <w:t>identified in the correspondence sent to the applicant by overnight mail</w:t>
      </w:r>
      <w:r w:rsidRPr="0038667B">
        <w:t>.</w:t>
      </w:r>
      <w:r w:rsidR="006C6761">
        <w:t xml:space="preserve">  </w:t>
      </w:r>
      <w:r w:rsidRPr="00C60499" w:rsidR="006C6761">
        <w:t>Commission staff will communicate only with an applicant’s contact person or certifying official, as designated on the applicant’s FCC Form 1</w:t>
      </w:r>
      <w:r w:rsidR="006C6761">
        <w:t>83</w:t>
      </w:r>
      <w:r w:rsidRPr="00C60499" w:rsidR="006C6761">
        <w:t>, unless the applicant’s certifying official or contact person notifies Commission staff in writing that another representative is authorized to speak on the applicant’s behalf.</w:t>
      </w:r>
      <w:r w:rsidR="006C6761">
        <w:t xml:space="preserve">  </w:t>
      </w:r>
      <w:r w:rsidRPr="00C60499" w:rsidR="006C6761">
        <w:t xml:space="preserve">Authorizations may be sent by </w:t>
      </w:r>
      <w:r w:rsidR="006C6761">
        <w:t>email</w:t>
      </w:r>
      <w:r w:rsidRPr="00C60499" w:rsidR="006C6761">
        <w:t xml:space="preserve"> to </w:t>
      </w:r>
      <w:r>
        <w:fldChar w:fldCharType="begin"/>
      </w:r>
      <w:r>
        <w:instrText xml:space="preserve"> HYPERLINK "mailto:auction903@fcc.gov" </w:instrText>
      </w:r>
      <w:r>
        <w:fldChar w:fldCharType="separate"/>
      </w:r>
      <w:r w:rsidRPr="00290A68" w:rsidR="006C6761">
        <w:rPr>
          <w:rStyle w:val="Hyperlink"/>
        </w:rPr>
        <w:t>auction903@fcc.gov</w:t>
      </w:r>
      <w:r>
        <w:fldChar w:fldCharType="end"/>
      </w:r>
      <w:r w:rsidR="00FB62C4">
        <w:t xml:space="preserve"> </w:t>
      </w:r>
      <w:r w:rsidR="00281D9E">
        <w:t xml:space="preserve">and </w:t>
      </w:r>
      <w:r w:rsidR="00FB62C4">
        <w:t>the Commission staff member identified in the correspondence</w:t>
      </w:r>
      <w:r w:rsidR="00FE395C">
        <w:t xml:space="preserve"> sent to the applicant</w:t>
      </w:r>
      <w:r w:rsidR="00FB62C4">
        <w:t>.</w:t>
      </w:r>
      <w:r w:rsidRPr="0038667B">
        <w:t xml:space="preserve"> </w:t>
      </w:r>
    </w:p>
    <w:p w:rsidR="004F4D29" w:rsidRPr="0038667B" w:rsidP="00E92B8D" w14:paraId="4831755F" w14:textId="77777777">
      <w:pPr>
        <w:pStyle w:val="ParaNum"/>
        <w:tabs>
          <w:tab w:val="clear" w:pos="1080"/>
          <w:tab w:val="num" w:pos="1440"/>
        </w:tabs>
      </w:pPr>
      <w:r w:rsidRPr="0038667B">
        <w:t xml:space="preserve">For further information concerning Auction </w:t>
      </w:r>
      <w:r>
        <w:t>903</w:t>
      </w:r>
      <w:r w:rsidRPr="0038667B">
        <w:t xml:space="preserve">, </w:t>
      </w:r>
      <w:r w:rsidRPr="00657249">
        <w:t>contact</w:t>
      </w:r>
      <w:r w:rsidRPr="0038667B">
        <w:t xml:space="preserve">:  </w:t>
      </w:r>
    </w:p>
    <w:p w:rsidR="004F4D29" w:rsidRPr="0038667B" w:rsidP="004F4D29" w14:paraId="2C708C30" w14:textId="77777777">
      <w:pPr>
        <w:widowControl/>
      </w:pPr>
    </w:p>
    <w:tbl>
      <w:tblPr>
        <w:tblW w:w="9828" w:type="dxa"/>
        <w:tblInd w:w="0" w:type="dxa"/>
        <w:tblLayout w:type="fixed"/>
        <w:tblCellMar>
          <w:top w:w="0" w:type="dxa"/>
          <w:left w:w="108" w:type="dxa"/>
          <w:bottom w:w="0" w:type="dxa"/>
          <w:right w:w="108" w:type="dxa"/>
        </w:tblCellMar>
        <w:tblLook w:val="0000"/>
      </w:tblPr>
      <w:tblGrid>
        <w:gridCol w:w="4968"/>
        <w:gridCol w:w="4860"/>
      </w:tblGrid>
      <w:tr w14:paraId="36C62426"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RPr="0038667B" w:rsidP="009C2912" w14:paraId="74BEDCA2"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General Auction Information</w:t>
            </w:r>
          </w:p>
          <w:p w:rsidR="004F4D29" w:rsidRPr="0038667B" w:rsidP="009C2912" w14:paraId="592332D4" w14:textId="77777777">
            <w:pPr>
              <w:widowControl/>
              <w:ind w:left="360"/>
              <w:rPr>
                <w:rStyle w:val="DefaultParagraphFont"/>
                <w:snapToGrid w:val="0"/>
                <w:kern w:val="28"/>
                <w:sz w:val="22"/>
                <w:szCs w:val="22"/>
                <w:lang w:val="en-US" w:eastAsia="en-US" w:bidi="ar-SA"/>
              </w:rPr>
            </w:pPr>
            <w:r w:rsidRPr="0038667B">
              <w:rPr>
                <w:snapToGrid w:val="0"/>
                <w:kern w:val="28"/>
                <w:sz w:val="22"/>
                <w:szCs w:val="22"/>
                <w:lang w:val="en-US" w:eastAsia="en-US" w:bidi="ar-SA"/>
              </w:rPr>
              <w:t>General Auction Questions</w:t>
            </w:r>
          </w:p>
          <w:p w:rsidR="004F4D29" w:rsidRPr="0038667B" w:rsidP="009C2912" w14:paraId="3661D226" w14:textId="77777777">
            <w:pPr>
              <w:widowControl/>
              <w:ind w:left="360"/>
              <w:rPr>
                <w:rStyle w:val="DefaultParagraphFont"/>
                <w:b/>
                <w:snapToGrid w:val="0"/>
                <w:kern w:val="28"/>
                <w:sz w:val="22"/>
                <w:szCs w:val="22"/>
                <w:lang w:val="en-US" w:eastAsia="en-US" w:bidi="ar-SA"/>
              </w:rPr>
            </w:pPr>
          </w:p>
        </w:tc>
        <w:tc>
          <w:tcPr>
            <w:tcW w:w="4860" w:type="dxa"/>
          </w:tcPr>
          <w:p w:rsidR="004F4D29" w:rsidRPr="0038667B" w:rsidP="009C2912" w14:paraId="61C7BB31"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 xml:space="preserve">FCC Auctions Hotline </w:t>
            </w:r>
          </w:p>
          <w:p w:rsidR="004F4D29" w:rsidRPr="0038667B" w:rsidP="009C2912" w14:paraId="46653A44"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(888) 225-5322, option two; or</w:t>
            </w:r>
          </w:p>
          <w:p w:rsidR="004F4D29" w:rsidRPr="0038667B" w:rsidP="009C2912" w14:paraId="34791906"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(717) 338-2868</w:t>
            </w:r>
          </w:p>
          <w:p w:rsidR="004F4D29" w:rsidRPr="0038667B" w:rsidP="009C2912" w14:paraId="24C1B840" w14:textId="77777777">
            <w:pPr>
              <w:widowControl/>
              <w:rPr>
                <w:rStyle w:val="DefaultParagraphFont"/>
                <w:b/>
                <w:snapToGrid w:val="0"/>
                <w:kern w:val="28"/>
                <w:sz w:val="22"/>
                <w:szCs w:val="22"/>
                <w:lang w:val="en-US" w:eastAsia="en-US" w:bidi="ar-SA"/>
              </w:rPr>
            </w:pPr>
          </w:p>
        </w:tc>
      </w:tr>
      <w:tr w14:paraId="36124234"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P="009C2912" w14:paraId="6A65A8C8"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 xml:space="preserve">Auction </w:t>
            </w:r>
            <w:r>
              <w:rPr>
                <w:b/>
                <w:snapToGrid w:val="0"/>
                <w:kern w:val="28"/>
                <w:sz w:val="22"/>
                <w:szCs w:val="22"/>
                <w:lang w:val="en-US" w:eastAsia="en-US" w:bidi="ar-SA"/>
              </w:rPr>
              <w:t>903</w:t>
            </w:r>
            <w:r w:rsidRPr="0038667B">
              <w:rPr>
                <w:b/>
                <w:snapToGrid w:val="0"/>
                <w:kern w:val="28"/>
                <w:sz w:val="22"/>
                <w:szCs w:val="22"/>
                <w:lang w:val="en-US" w:eastAsia="en-US" w:bidi="ar-SA"/>
              </w:rPr>
              <w:t xml:space="preserve"> Process and Procedures</w:t>
            </w:r>
          </w:p>
          <w:p w:rsidR="004F4D29" w:rsidP="009C2912" w14:paraId="5908FED6" w14:textId="77777777">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Bidding Procedures</w:t>
            </w:r>
          </w:p>
          <w:p w:rsidR="004F4D29" w:rsidP="009C2912" w14:paraId="49252D16" w14:textId="77777777">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Auction Schedule</w:t>
            </w:r>
          </w:p>
          <w:p w:rsidR="004F4D29" w:rsidRPr="006039EE" w:rsidP="009C2912" w14:paraId="323F7A90" w14:textId="77777777">
            <w:pPr>
              <w:widowControl/>
              <w:ind w:left="360"/>
              <w:rPr>
                <w:rStyle w:val="DefaultParagraphFont"/>
                <w:snapToGrid w:val="0"/>
                <w:kern w:val="28"/>
                <w:sz w:val="22"/>
                <w:szCs w:val="22"/>
                <w:lang w:val="en-US" w:eastAsia="en-US" w:bidi="ar-SA"/>
              </w:rPr>
            </w:pPr>
          </w:p>
        </w:tc>
        <w:tc>
          <w:tcPr>
            <w:tcW w:w="4860" w:type="dxa"/>
          </w:tcPr>
          <w:p w:rsidR="004F4D29" w:rsidRPr="0038667B" w:rsidP="009C2912" w14:paraId="484DAA6C" w14:textId="77777777">
            <w:pPr>
              <w:widowControl/>
              <w:rPr>
                <w:rStyle w:val="DefaultParagraphFont"/>
                <w:snapToGrid w:val="0"/>
                <w:kern w:val="28"/>
                <w:sz w:val="22"/>
                <w:szCs w:val="22"/>
                <w:lang w:val="en-US" w:eastAsia="en-US" w:bidi="ar-SA"/>
              </w:rPr>
            </w:pPr>
            <w:r w:rsidRPr="0038667B">
              <w:rPr>
                <w:b/>
                <w:snapToGrid w:val="0"/>
                <w:kern w:val="28"/>
                <w:sz w:val="22"/>
                <w:szCs w:val="22"/>
                <w:lang w:val="en-US" w:eastAsia="en-US" w:bidi="ar-SA"/>
              </w:rPr>
              <w:t>Auctions and Spectrum Access Division</w:t>
            </w:r>
            <w:r w:rsidRPr="0038667B">
              <w:rPr>
                <w:snapToGrid w:val="0"/>
                <w:kern w:val="28"/>
                <w:sz w:val="22"/>
                <w:szCs w:val="22"/>
                <w:lang w:val="en-US" w:eastAsia="en-US" w:bidi="ar-SA"/>
              </w:rPr>
              <w:t xml:space="preserve"> </w:t>
            </w:r>
          </w:p>
          <w:p w:rsidR="004F4D29" w:rsidRPr="00036746" w:rsidP="009C2912" w14:paraId="668FCF58" w14:textId="77777777">
            <w:pPr>
              <w:widowControl/>
              <w:rPr>
                <w:rStyle w:val="DefaultParagraphFont"/>
                <w:snapToGrid w:val="0"/>
                <w:kern w:val="28"/>
                <w:sz w:val="22"/>
                <w:szCs w:val="22"/>
                <w:lang w:val="en-US" w:eastAsia="en-US" w:bidi="ar-SA"/>
              </w:rPr>
            </w:pPr>
            <w:r w:rsidRPr="00036746">
              <w:rPr>
                <w:snapToGrid w:val="0"/>
                <w:kern w:val="28"/>
                <w:sz w:val="22"/>
                <w:szCs w:val="22"/>
                <w:lang w:val="en-US" w:eastAsia="en-US" w:bidi="ar-SA"/>
              </w:rPr>
              <w:t>Auctions Hotline 717-338-2868</w:t>
            </w:r>
          </w:p>
        </w:tc>
      </w:tr>
      <w:tr w14:paraId="3A384657"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RPr="0038667B" w:rsidP="009C2912" w14:paraId="7582998F"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 xml:space="preserve">Auction </w:t>
            </w:r>
            <w:r>
              <w:rPr>
                <w:b/>
                <w:snapToGrid w:val="0"/>
                <w:kern w:val="28"/>
                <w:sz w:val="22"/>
                <w:szCs w:val="22"/>
                <w:lang w:val="en-US" w:eastAsia="en-US" w:bidi="ar-SA"/>
              </w:rPr>
              <w:t>903</w:t>
            </w:r>
            <w:r w:rsidRPr="0038667B">
              <w:rPr>
                <w:b/>
                <w:snapToGrid w:val="0"/>
                <w:kern w:val="28"/>
                <w:sz w:val="22"/>
                <w:szCs w:val="22"/>
                <w:lang w:val="en-US" w:eastAsia="en-US" w:bidi="ar-SA"/>
              </w:rPr>
              <w:t xml:space="preserve"> Legal Information</w:t>
            </w:r>
          </w:p>
          <w:p w:rsidR="004F4D29" w:rsidRPr="0038667B" w:rsidP="009C2912" w14:paraId="2E49E688" w14:textId="77777777">
            <w:pPr>
              <w:widowControl/>
              <w:ind w:left="360"/>
              <w:rPr>
                <w:rStyle w:val="DefaultParagraphFont"/>
                <w:b/>
                <w:snapToGrid w:val="0"/>
                <w:kern w:val="28"/>
                <w:sz w:val="22"/>
                <w:szCs w:val="22"/>
                <w:lang w:val="en-US" w:eastAsia="en-US" w:bidi="ar-SA"/>
              </w:rPr>
            </w:pPr>
            <w:r w:rsidRPr="0038667B">
              <w:rPr>
                <w:snapToGrid w:val="0"/>
                <w:kern w:val="28"/>
                <w:sz w:val="22"/>
                <w:szCs w:val="22"/>
                <w:lang w:val="en-US" w:eastAsia="en-US" w:bidi="ar-SA"/>
              </w:rPr>
              <w:t xml:space="preserve">Auction Rules, Policies, Regulations, </w:t>
            </w:r>
            <w:r>
              <w:rPr>
                <w:snapToGrid w:val="0"/>
                <w:kern w:val="28"/>
                <w:sz w:val="22"/>
                <w:szCs w:val="22"/>
                <w:lang w:val="en-US" w:eastAsia="en-US" w:bidi="ar-SA"/>
              </w:rPr>
              <w:t>I</w:t>
            </w:r>
            <w:r w:rsidRPr="0038667B">
              <w:rPr>
                <w:snapToGrid w:val="0"/>
                <w:kern w:val="28"/>
                <w:sz w:val="22"/>
                <w:szCs w:val="22"/>
                <w:lang w:val="en-US" w:eastAsia="en-US" w:bidi="ar-SA"/>
              </w:rPr>
              <w:t>ncluding</w:t>
            </w:r>
          </w:p>
          <w:p w:rsidR="004F4D29" w:rsidRPr="0038667B" w:rsidP="009C2912" w14:paraId="641DB251" w14:textId="77777777">
            <w:pPr>
              <w:widowControl/>
              <w:ind w:left="360"/>
              <w:rPr>
                <w:rStyle w:val="DefaultParagraphFont"/>
                <w:snapToGrid w:val="0"/>
                <w:kern w:val="28"/>
                <w:sz w:val="22"/>
                <w:szCs w:val="22"/>
                <w:lang w:val="en-US" w:eastAsia="en-US" w:bidi="ar-SA"/>
              </w:rPr>
            </w:pPr>
            <w:r w:rsidRPr="0038667B">
              <w:rPr>
                <w:snapToGrid w:val="0"/>
                <w:kern w:val="28"/>
                <w:sz w:val="22"/>
                <w:szCs w:val="22"/>
                <w:lang w:val="en-US" w:eastAsia="en-US" w:bidi="ar-SA"/>
              </w:rPr>
              <w:t xml:space="preserve">Reports of </w:t>
            </w:r>
            <w:r>
              <w:rPr>
                <w:snapToGrid w:val="0"/>
                <w:kern w:val="28"/>
                <w:sz w:val="22"/>
                <w:szCs w:val="22"/>
                <w:lang w:val="en-US" w:eastAsia="en-US" w:bidi="ar-SA"/>
              </w:rPr>
              <w:t>S</w:t>
            </w:r>
            <w:r w:rsidRPr="0038667B">
              <w:rPr>
                <w:snapToGrid w:val="0"/>
                <w:kern w:val="28"/>
                <w:sz w:val="22"/>
                <w:szCs w:val="22"/>
                <w:lang w:val="en-US" w:eastAsia="en-US" w:bidi="ar-SA"/>
              </w:rPr>
              <w:t>ection 1.2105(c) Violations and Application Modifications</w:t>
            </w:r>
          </w:p>
          <w:p w:rsidR="004F4D29" w:rsidRPr="0038667B" w:rsidP="009C2912" w14:paraId="624EAF21" w14:textId="77777777">
            <w:pPr>
              <w:widowControl/>
              <w:ind w:left="360"/>
              <w:rPr>
                <w:rStyle w:val="DefaultParagraphFont"/>
                <w:b/>
                <w:snapToGrid w:val="0"/>
                <w:kern w:val="28"/>
                <w:sz w:val="22"/>
                <w:szCs w:val="22"/>
                <w:lang w:val="en-US" w:eastAsia="en-US" w:bidi="ar-SA"/>
              </w:rPr>
            </w:pPr>
          </w:p>
        </w:tc>
        <w:tc>
          <w:tcPr>
            <w:tcW w:w="4860" w:type="dxa"/>
          </w:tcPr>
          <w:p w:rsidR="004F4D29" w:rsidP="009C2912" w14:paraId="7FA17FCB"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Rural Broadband Auctions Task Force</w:t>
            </w:r>
          </w:p>
          <w:p w:rsidR="004F4D29" w:rsidP="009C2912" w14:paraId="71B083C8" w14:textId="77777777">
            <w:pPr>
              <w:widowControl/>
              <w:rPr>
                <w:rStyle w:val="DefaultParagraphFont"/>
                <w:snapToGrid w:val="0"/>
                <w:kern w:val="28"/>
                <w:sz w:val="22"/>
                <w:szCs w:val="22"/>
                <w:lang w:val="en-US" w:eastAsia="en-US" w:bidi="ar-SA"/>
              </w:rPr>
            </w:pPr>
            <w:r w:rsidRPr="00F905D4">
              <w:rPr>
                <w:snapToGrid w:val="0"/>
                <w:kern w:val="28"/>
                <w:sz w:val="22"/>
                <w:szCs w:val="22"/>
                <w:lang w:val="en-US" w:eastAsia="en-US" w:bidi="ar-SA"/>
              </w:rPr>
              <w:t>Chelsea Fallon</w:t>
            </w:r>
            <w:r>
              <w:rPr>
                <w:snapToGrid w:val="0"/>
                <w:kern w:val="28"/>
                <w:sz w:val="22"/>
                <w:szCs w:val="22"/>
                <w:lang w:val="en-US" w:eastAsia="en-US" w:bidi="ar-SA"/>
              </w:rPr>
              <w:t>,</w:t>
            </w:r>
            <w:r w:rsidRPr="00F905D4">
              <w:rPr>
                <w:snapToGrid w:val="0"/>
                <w:kern w:val="28"/>
                <w:sz w:val="22"/>
                <w:szCs w:val="22"/>
                <w:lang w:val="en-US" w:eastAsia="en-US" w:bidi="ar-SA"/>
              </w:rPr>
              <w:t xml:space="preserve"> (202) 418-7991</w:t>
            </w:r>
          </w:p>
          <w:p w:rsidR="004F4D29" w:rsidP="009C2912" w14:paraId="1BBC855F" w14:textId="77777777">
            <w:pPr>
              <w:widowControl/>
              <w:rPr>
                <w:rStyle w:val="DefaultParagraphFont"/>
                <w:snapToGrid w:val="0"/>
                <w:kern w:val="28"/>
                <w:sz w:val="22"/>
                <w:szCs w:val="22"/>
                <w:lang w:val="en-US" w:eastAsia="en-US" w:bidi="ar-SA"/>
              </w:rPr>
            </w:pPr>
            <w:r w:rsidRPr="00F905D4">
              <w:rPr>
                <w:snapToGrid w:val="0"/>
                <w:kern w:val="28"/>
                <w:sz w:val="22"/>
                <w:szCs w:val="22"/>
                <w:lang w:val="en-US" w:eastAsia="en-US" w:bidi="ar-SA"/>
              </w:rPr>
              <w:t>Kirk Burgee</w:t>
            </w:r>
            <w:r>
              <w:rPr>
                <w:snapToGrid w:val="0"/>
                <w:kern w:val="28"/>
                <w:sz w:val="22"/>
                <w:szCs w:val="22"/>
                <w:lang w:val="en-US" w:eastAsia="en-US" w:bidi="ar-SA"/>
              </w:rPr>
              <w:t>,</w:t>
            </w:r>
            <w:r w:rsidRPr="00F905D4">
              <w:rPr>
                <w:snapToGrid w:val="0"/>
                <w:kern w:val="28"/>
                <w:sz w:val="22"/>
                <w:szCs w:val="22"/>
                <w:lang w:val="en-US" w:eastAsia="en-US" w:bidi="ar-SA"/>
              </w:rPr>
              <w:t xml:space="preserve"> (202) 418-1599</w:t>
            </w:r>
          </w:p>
          <w:p w:rsidR="004F4D29" w:rsidP="009C2912" w14:paraId="2A554EC7" w14:textId="57711C58">
            <w:pPr>
              <w:widowControl/>
              <w:rPr>
                <w:rStyle w:val="DefaultParagraphFont"/>
                <w:snapToGrid w:val="0"/>
                <w:kern w:val="28"/>
                <w:sz w:val="22"/>
                <w:szCs w:val="22"/>
                <w:lang w:val="en-US" w:eastAsia="en-US" w:bidi="ar-SA"/>
              </w:rPr>
            </w:pPr>
            <w:r>
              <w:rPr>
                <w:snapToGrid w:val="0"/>
                <w:kern w:val="28"/>
                <w:sz w:val="22"/>
                <w:szCs w:val="22"/>
                <w:lang w:val="en-US" w:eastAsia="en-US" w:bidi="ar-SA"/>
              </w:rPr>
              <w:t>Nathan Eagan</w:t>
            </w:r>
            <w:r>
              <w:rPr>
                <w:snapToGrid w:val="0"/>
                <w:kern w:val="28"/>
                <w:sz w:val="22"/>
                <w:szCs w:val="22"/>
                <w:lang w:val="en-US" w:eastAsia="en-US" w:bidi="ar-SA"/>
              </w:rPr>
              <w:t>,</w:t>
            </w:r>
            <w:r w:rsidRPr="00F905D4">
              <w:rPr>
                <w:snapToGrid w:val="0"/>
                <w:kern w:val="28"/>
                <w:sz w:val="22"/>
                <w:szCs w:val="22"/>
                <w:lang w:val="en-US" w:eastAsia="en-US" w:bidi="ar-SA"/>
              </w:rPr>
              <w:t xml:space="preserve"> (202) 418-</w:t>
            </w:r>
            <w:r>
              <w:rPr>
                <w:snapToGrid w:val="0"/>
                <w:kern w:val="28"/>
                <w:sz w:val="22"/>
                <w:szCs w:val="22"/>
                <w:lang w:val="en-US" w:eastAsia="en-US" w:bidi="ar-SA"/>
              </w:rPr>
              <w:t>0991</w:t>
            </w:r>
          </w:p>
          <w:p w:rsidR="004F4D29" w:rsidP="009C2912" w14:paraId="25BBE3CA" w14:textId="77777777">
            <w:pPr>
              <w:widowControl/>
              <w:rPr>
                <w:rStyle w:val="DefaultParagraphFont"/>
                <w:b/>
                <w:snapToGrid w:val="0"/>
                <w:kern w:val="28"/>
                <w:sz w:val="22"/>
                <w:szCs w:val="22"/>
                <w:lang w:val="en-US" w:eastAsia="en-US" w:bidi="ar-SA"/>
              </w:rPr>
            </w:pPr>
          </w:p>
          <w:p w:rsidR="004F4D29" w:rsidP="009C2912" w14:paraId="341E7867"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Wireless Telecommunications Bureau</w:t>
            </w:r>
          </w:p>
          <w:p w:rsidR="004F4D29" w:rsidP="009C2912" w14:paraId="0FFDCDDB"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 xml:space="preserve">Auctions and Spectrum Access Division </w:t>
            </w:r>
          </w:p>
          <w:p w:rsidR="004F4D29" w:rsidP="009C2912" w14:paraId="16CEF426"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Mark Montano</w:t>
            </w:r>
          </w:p>
          <w:p w:rsidR="004F4D29" w:rsidP="009C2912" w14:paraId="1C790204"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Angela Kung</w:t>
            </w:r>
          </w:p>
          <w:p w:rsidR="004F4D29" w:rsidP="009C2912" w14:paraId="694F0D5F"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(202) 418-0660</w:t>
            </w:r>
          </w:p>
          <w:p w:rsidR="004F4D29" w:rsidRPr="0038667B" w:rsidP="009C2912" w14:paraId="18C0DF03" w14:textId="77777777">
            <w:pPr>
              <w:widowControl/>
              <w:rPr>
                <w:rStyle w:val="DefaultParagraphFont"/>
                <w:b/>
                <w:snapToGrid w:val="0"/>
                <w:kern w:val="28"/>
                <w:sz w:val="22"/>
                <w:szCs w:val="22"/>
                <w:lang w:val="en-US" w:eastAsia="en-US" w:bidi="ar-SA"/>
              </w:rPr>
            </w:pPr>
          </w:p>
        </w:tc>
      </w:tr>
      <w:tr w14:paraId="2F3E7CD2"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P="009C2912" w14:paraId="1BEF3FB0"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General Universal Service Questions</w:t>
            </w:r>
          </w:p>
          <w:p w:rsidR="004F4D29" w:rsidRPr="0038667B" w:rsidP="009C2912" w14:paraId="446B12BC" w14:textId="77777777">
            <w:pPr>
              <w:widowControl/>
              <w:rPr>
                <w:rStyle w:val="DefaultParagraphFont"/>
                <w:b/>
                <w:snapToGrid w:val="0"/>
                <w:kern w:val="28"/>
                <w:sz w:val="22"/>
                <w:szCs w:val="22"/>
                <w:lang w:val="en-US" w:eastAsia="en-US" w:bidi="ar-SA"/>
              </w:rPr>
            </w:pPr>
          </w:p>
        </w:tc>
        <w:tc>
          <w:tcPr>
            <w:tcW w:w="4860" w:type="dxa"/>
          </w:tcPr>
          <w:p w:rsidR="004F4D29" w:rsidP="009C2912" w14:paraId="5ABAA14B" w14:textId="77777777">
            <w:pPr>
              <w:widowControl/>
              <w:rPr>
                <w:rStyle w:val="DefaultParagraphFont"/>
                <w:snapToGrid w:val="0"/>
                <w:kern w:val="28"/>
                <w:sz w:val="22"/>
                <w:szCs w:val="22"/>
                <w:lang w:val="en-US" w:eastAsia="en-US" w:bidi="ar-SA"/>
              </w:rPr>
            </w:pPr>
            <w:r>
              <w:rPr>
                <w:b/>
                <w:snapToGrid w:val="0"/>
                <w:kern w:val="28"/>
                <w:sz w:val="22"/>
                <w:szCs w:val="22"/>
                <w:lang w:val="en-US" w:eastAsia="en-US" w:bidi="ar-SA"/>
              </w:rPr>
              <w:t>Wireline Competition Bureau</w:t>
            </w:r>
          </w:p>
          <w:p w:rsidR="004F4D29" w:rsidP="009C2912" w14:paraId="44CAA2C5"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Telecommunications Access Policy Division</w:t>
            </w:r>
          </w:p>
          <w:p w:rsidR="004F4D29" w:rsidP="009C2912" w14:paraId="2CD34851"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Alex Minard</w:t>
            </w:r>
          </w:p>
          <w:p w:rsidR="004F4D29" w:rsidP="009C2912" w14:paraId="408A22B8"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Heidi Lankau</w:t>
            </w:r>
          </w:p>
          <w:p w:rsidR="004F4D29" w:rsidP="009C2912" w14:paraId="0E62B7C7"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Katie King</w:t>
            </w:r>
          </w:p>
          <w:p w:rsidR="004F4D29" w:rsidP="009C2912" w14:paraId="7C30F2FB"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(202) 418-0660</w:t>
            </w:r>
          </w:p>
          <w:p w:rsidR="004F4D29" w:rsidP="009C2912" w14:paraId="7CE66F08" w14:textId="77777777">
            <w:pPr>
              <w:widowControl/>
              <w:rPr>
                <w:rStyle w:val="DefaultParagraphFont"/>
                <w:b/>
                <w:snapToGrid w:val="0"/>
                <w:kern w:val="28"/>
                <w:sz w:val="22"/>
                <w:szCs w:val="22"/>
                <w:lang w:val="en-US" w:eastAsia="en-US" w:bidi="ar-SA"/>
              </w:rPr>
            </w:pPr>
          </w:p>
        </w:tc>
      </w:tr>
      <w:tr w14:paraId="498F4AE5"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RPr="0038667B" w:rsidP="009C2912" w14:paraId="0B4741F5" w14:textId="77777777">
            <w:pPr>
              <w:widowControl/>
              <w:ind w:left="360"/>
              <w:rPr>
                <w:rStyle w:val="DefaultParagraphFont"/>
                <w:b/>
                <w:snapToGrid w:val="0"/>
                <w:kern w:val="28"/>
                <w:sz w:val="22"/>
                <w:szCs w:val="22"/>
                <w:lang w:val="en-US" w:eastAsia="en-US" w:bidi="ar-SA"/>
              </w:rPr>
            </w:pPr>
          </w:p>
        </w:tc>
        <w:tc>
          <w:tcPr>
            <w:tcW w:w="4860" w:type="dxa"/>
          </w:tcPr>
          <w:p w:rsidR="004F4D29" w:rsidRPr="00036746" w:rsidP="009C2912" w14:paraId="47BA1A49" w14:textId="77777777">
            <w:pPr>
              <w:widowControl w:val="0"/>
              <w:rPr>
                <w:rStyle w:val="DefaultParagraphFont"/>
                <w:snapToGrid w:val="0"/>
                <w:kern w:val="28"/>
                <w:sz w:val="22"/>
                <w:szCs w:val="22"/>
                <w:lang w:val="en-US" w:eastAsia="en-US" w:bidi="ar-SA"/>
              </w:rPr>
            </w:pPr>
          </w:p>
        </w:tc>
      </w:tr>
      <w:tr w14:paraId="4E37D3C3"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RPr="0038667B" w:rsidP="009C2912" w14:paraId="19390E02"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Technical Support</w:t>
            </w:r>
          </w:p>
          <w:p w:rsidR="004F4D29" w:rsidP="009C2912" w14:paraId="3CDB1BE6" w14:textId="77777777">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 xml:space="preserve">Electronic Filing </w:t>
            </w:r>
          </w:p>
          <w:p w:rsidR="004F4D29" w:rsidRPr="0038667B" w:rsidP="009C2912" w14:paraId="3CCA10BC" w14:textId="77777777">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Auction Application System and CAF II Bidding System (Hardware/Software Issues)</w:t>
            </w:r>
          </w:p>
        </w:tc>
        <w:tc>
          <w:tcPr>
            <w:tcW w:w="4860" w:type="dxa"/>
          </w:tcPr>
          <w:p w:rsidR="004F4D29" w:rsidRPr="0038667B" w:rsidP="009C2912" w14:paraId="2EF0CF65" w14:textId="77777777">
            <w:pPr>
              <w:widowControl/>
              <w:rPr>
                <w:rStyle w:val="DefaultParagraphFont"/>
                <w:b/>
                <w:snapToGrid w:val="0"/>
                <w:kern w:val="28"/>
                <w:sz w:val="22"/>
                <w:szCs w:val="22"/>
                <w:lang w:val="en-US" w:eastAsia="en-US" w:bidi="ar-SA"/>
              </w:rPr>
            </w:pPr>
            <w:r w:rsidRPr="0038667B">
              <w:rPr>
                <w:b/>
                <w:snapToGrid w:val="0"/>
                <w:kern w:val="28"/>
                <w:sz w:val="22"/>
                <w:szCs w:val="22"/>
                <w:lang w:val="en-US" w:eastAsia="en-US" w:bidi="ar-SA"/>
              </w:rPr>
              <w:t>FCC Auctions Technical Support Hotline</w:t>
            </w:r>
          </w:p>
          <w:p w:rsidR="004F4D29" w:rsidRPr="0038667B" w:rsidP="009C2912" w14:paraId="67511A06"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(877) 480-3201, option nine; or (202) 414-1250</w:t>
            </w:r>
          </w:p>
          <w:p w:rsidR="004F4D29" w:rsidRPr="0038667B" w:rsidP="009C2912" w14:paraId="2D604B32"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(202) 414-1255 (TTY)</w:t>
            </w:r>
          </w:p>
          <w:p w:rsidR="004F4D29" w:rsidRPr="0038667B" w:rsidP="009C2912" w14:paraId="62319008"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Hours of service: 8:00 a.m. – 6:00 p.m. ET,</w:t>
            </w:r>
          </w:p>
          <w:p w:rsidR="004F4D29" w:rsidRPr="0038667B" w:rsidP="009C2912" w14:paraId="226F7F11" w14:textId="77777777">
            <w:pPr>
              <w:widowControl/>
              <w:rPr>
                <w:rStyle w:val="DefaultParagraphFont"/>
                <w:snapToGrid w:val="0"/>
                <w:kern w:val="28"/>
                <w:sz w:val="22"/>
                <w:szCs w:val="22"/>
                <w:lang w:val="en-US" w:eastAsia="en-US" w:bidi="ar-SA"/>
              </w:rPr>
            </w:pPr>
            <w:r w:rsidRPr="0038667B">
              <w:rPr>
                <w:snapToGrid w:val="0"/>
                <w:kern w:val="28"/>
                <w:sz w:val="22"/>
                <w:szCs w:val="22"/>
                <w:lang w:val="en-US" w:eastAsia="en-US" w:bidi="ar-SA"/>
              </w:rPr>
              <w:t>Monday through Friday</w:t>
            </w:r>
          </w:p>
          <w:p w:rsidR="004F4D29" w:rsidRPr="0038667B" w:rsidP="009C2912" w14:paraId="2A6A61D4" w14:textId="77777777">
            <w:pPr>
              <w:widowControl/>
              <w:rPr>
                <w:rStyle w:val="DefaultParagraphFont"/>
                <w:snapToGrid w:val="0"/>
                <w:kern w:val="28"/>
                <w:sz w:val="22"/>
                <w:szCs w:val="22"/>
                <w:lang w:val="en-US" w:eastAsia="en-US" w:bidi="ar-SA"/>
              </w:rPr>
            </w:pPr>
          </w:p>
        </w:tc>
      </w:tr>
      <w:tr w14:paraId="6D9EDEFD"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P="009C2912" w14:paraId="4EC3C032"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FCC Email &amp; Webpages</w:t>
            </w:r>
          </w:p>
          <w:p w:rsidR="004F4D29" w:rsidRPr="0038667B" w:rsidP="009C2912" w14:paraId="46B12EA2" w14:textId="77777777">
            <w:pPr>
              <w:widowControl/>
              <w:rPr>
                <w:rStyle w:val="DefaultParagraphFont"/>
                <w:b/>
                <w:snapToGrid w:val="0"/>
                <w:kern w:val="28"/>
                <w:sz w:val="22"/>
                <w:szCs w:val="22"/>
                <w:lang w:val="en-US" w:eastAsia="en-US" w:bidi="ar-SA"/>
              </w:rPr>
            </w:pPr>
          </w:p>
        </w:tc>
        <w:tc>
          <w:tcPr>
            <w:tcW w:w="4860" w:type="dxa"/>
          </w:tcPr>
          <w:p w:rsidR="004F4D29" w:rsidP="009C2912" w14:paraId="1656C8FB" w14:textId="77777777">
            <w:pPr>
              <w:widowControl/>
              <w:rPr>
                <w:rStyle w:val="DefaultParagraphFont"/>
                <w:snapToGrid w:val="0"/>
                <w:kern w:val="28"/>
                <w:sz w:val="22"/>
                <w:lang w:val="en-US" w:eastAsia="en-US" w:bidi="ar-SA"/>
              </w:rPr>
            </w:pPr>
            <w:r>
              <w:fldChar w:fldCharType="begin"/>
            </w:r>
            <w:r>
              <w:rPr>
                <w:snapToGrid w:val="0"/>
                <w:kern w:val="28"/>
                <w:sz w:val="22"/>
                <w:lang w:val="en-US" w:eastAsia="en-US" w:bidi="ar-SA"/>
              </w:rPr>
              <w:instrText xml:space="preserve"> HYPERLINK "mailto:Auction903@fcc.gov" </w:instrText>
            </w:r>
            <w:r>
              <w:fldChar w:fldCharType="separate"/>
            </w:r>
            <w:r w:rsidRPr="000F6819">
              <w:rPr>
                <w:rStyle w:val="Hyperlink"/>
                <w:snapToGrid w:val="0"/>
                <w:color w:val="0000FF"/>
                <w:kern w:val="28"/>
                <w:sz w:val="22"/>
                <w:u w:val="single"/>
                <w:lang w:val="en-US" w:eastAsia="en-US" w:bidi="ar-SA"/>
              </w:rPr>
              <w:t>Auction903@fcc.gov</w:t>
            </w:r>
            <w:r>
              <w:fldChar w:fldCharType="end"/>
            </w:r>
            <w:r>
              <w:rPr>
                <w:snapToGrid w:val="0"/>
                <w:kern w:val="28"/>
                <w:sz w:val="22"/>
                <w:lang w:val="en-US" w:eastAsia="en-US" w:bidi="ar-SA"/>
              </w:rPr>
              <w:t xml:space="preserve"> </w:t>
            </w:r>
          </w:p>
          <w:p w:rsidR="004F4D29" w:rsidP="009C2912" w14:paraId="1A690DA4" w14:textId="77777777">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"http://www.fcc.gov/" </w:instrText>
            </w:r>
            <w:r>
              <w:fldChar w:fldCharType="separate"/>
            </w:r>
            <w:r>
              <w:rPr>
                <w:rStyle w:val="Hyperlink"/>
                <w:snapToGrid w:val="0"/>
                <w:color w:val="0000FF"/>
                <w:kern w:val="28"/>
                <w:sz w:val="22"/>
                <w:szCs w:val="22"/>
                <w:u w:val="single"/>
                <w:lang w:val="en-US" w:eastAsia="en-US" w:bidi="ar-SA"/>
              </w:rPr>
              <w:t>http://www.fcc.gov</w:t>
            </w:r>
            <w:r>
              <w:fldChar w:fldCharType="end"/>
            </w:r>
          </w:p>
          <w:p w:rsidR="004F4D29" w:rsidP="009C2912" w14:paraId="4B3D18DB" w14:textId="77777777">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"https://www.fcc.gov/connect-america-fund-phase-ii-auction" </w:instrText>
            </w:r>
            <w:r>
              <w:fldChar w:fldCharType="separate"/>
            </w:r>
            <w:r w:rsidRPr="00413E9A">
              <w:rPr>
                <w:rStyle w:val="Hyperlink"/>
                <w:snapToGrid w:val="0"/>
                <w:color w:val="0000FF"/>
                <w:kern w:val="28"/>
                <w:sz w:val="22"/>
                <w:szCs w:val="22"/>
                <w:u w:val="single"/>
                <w:lang w:val="en-US" w:eastAsia="en-US" w:bidi="ar-SA"/>
              </w:rPr>
              <w:t>https://www.fcc.gov/connect-america-fund-phase-ii-auction</w:t>
            </w:r>
            <w:r>
              <w:fldChar w:fldCharType="end"/>
            </w:r>
          </w:p>
          <w:p w:rsidR="004F4D29" w:rsidP="009C2912" w14:paraId="01EF5FF4" w14:textId="77777777">
            <w:pPr>
              <w:widowControl/>
              <w:rPr>
                <w:rStyle w:val="DefaultParagraphFont"/>
                <w:snapToGrid w:val="0"/>
                <w:kern w:val="28"/>
                <w:sz w:val="22"/>
                <w:szCs w:val="22"/>
                <w:lang w:val="en-US" w:eastAsia="en-US" w:bidi="ar-SA"/>
              </w:rPr>
            </w:pPr>
          </w:p>
          <w:p w:rsidR="004F4D29" w:rsidRPr="0038667B" w:rsidP="009C2912" w14:paraId="5740D7AD" w14:textId="77777777">
            <w:pPr>
              <w:widowControl/>
              <w:rPr>
                <w:rStyle w:val="DefaultParagraphFont"/>
                <w:b/>
                <w:snapToGrid w:val="0"/>
                <w:kern w:val="28"/>
                <w:sz w:val="22"/>
                <w:szCs w:val="22"/>
                <w:lang w:val="en-US" w:eastAsia="en-US" w:bidi="ar-SA"/>
              </w:rPr>
            </w:pPr>
          </w:p>
        </w:tc>
      </w:tr>
      <w:tr w14:paraId="680F6F1D"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P="009C2912" w14:paraId="02DD8A46"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Press Information</w:t>
            </w:r>
          </w:p>
        </w:tc>
        <w:tc>
          <w:tcPr>
            <w:tcW w:w="4860" w:type="dxa"/>
          </w:tcPr>
          <w:p w:rsidR="004F4D29" w:rsidP="009C2912" w14:paraId="080E4460"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Mark Wigfield, (202) 418-0253</w:t>
            </w:r>
          </w:p>
          <w:p w:rsidR="004F4D29" w:rsidP="009C2912" w14:paraId="2661B90C"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Charles Meisch, (202) 418-2943</w:t>
            </w:r>
          </w:p>
          <w:p w:rsidR="004F4D29" w:rsidP="009C2912" w14:paraId="0E04C53D" w14:textId="77777777">
            <w:pPr>
              <w:widowControl/>
              <w:rPr>
                <w:rStyle w:val="DefaultParagraphFont"/>
                <w:snapToGrid w:val="0"/>
                <w:kern w:val="28"/>
                <w:sz w:val="22"/>
                <w:lang w:val="en-US" w:eastAsia="en-US" w:bidi="ar-SA"/>
              </w:rPr>
            </w:pPr>
          </w:p>
        </w:tc>
      </w:tr>
      <w:tr w14:paraId="3E782B49"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P="009C2912" w14:paraId="3326ABB3"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FCC Forms</w:t>
            </w:r>
          </w:p>
        </w:tc>
        <w:tc>
          <w:tcPr>
            <w:tcW w:w="4860" w:type="dxa"/>
          </w:tcPr>
          <w:p w:rsidR="004F4D29" w:rsidP="009C2912" w14:paraId="6D95D36F"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 xml:space="preserve">(800) 418-3676 (outside Washington, DC) </w:t>
            </w:r>
          </w:p>
          <w:p w:rsidR="004F4D29" w:rsidP="009C2912" w14:paraId="27DD2843"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(202) 418-3676 (in the Washington area)</w:t>
            </w:r>
          </w:p>
          <w:p w:rsidR="004F4D29" w:rsidP="009C2912" w14:paraId="4BEDED4C" w14:textId="77777777">
            <w:pPr>
              <w:widowControl/>
              <w:rPr>
                <w:rStyle w:val="Hyperlink"/>
                <w:snapToGrid w:val="0"/>
                <w:color w:val="0000FF"/>
                <w:kern w:val="28"/>
                <w:sz w:val="22"/>
                <w:szCs w:val="22"/>
                <w:u w:val="single"/>
                <w:lang w:val="en-US" w:eastAsia="en-US" w:bidi="ar-SA"/>
              </w:rPr>
            </w:pPr>
            <w:r>
              <w:fldChar w:fldCharType="begin"/>
            </w:r>
            <w:r>
              <w:rPr>
                <w:snapToGrid w:val="0"/>
                <w:kern w:val="28"/>
                <w:sz w:val="22"/>
                <w:lang w:val="en-US" w:eastAsia="en-US" w:bidi="ar-SA"/>
              </w:rPr>
              <w:instrText xml:space="preserve"> HYPERLINK "http://www.fcc.gov/formpage.html" </w:instrText>
            </w:r>
            <w:r>
              <w:fldChar w:fldCharType="separate"/>
            </w:r>
            <w:r>
              <w:rPr>
                <w:rStyle w:val="Hyperlink"/>
                <w:snapToGrid w:val="0"/>
                <w:color w:val="0000FF"/>
                <w:kern w:val="28"/>
                <w:sz w:val="22"/>
                <w:szCs w:val="22"/>
                <w:u w:val="single"/>
                <w:lang w:val="en-US" w:eastAsia="en-US" w:bidi="ar-SA"/>
              </w:rPr>
              <w:t>http://www.fcc.gov/formpage.html</w:t>
            </w:r>
            <w:r>
              <w:fldChar w:fldCharType="end"/>
            </w:r>
          </w:p>
          <w:p w:rsidR="00574272" w:rsidP="009C2912" w14:paraId="6A5E4B35" w14:textId="1C7EEA44">
            <w:pPr>
              <w:widowControl/>
              <w:rPr>
                <w:rStyle w:val="DefaultParagraphFont"/>
                <w:snapToGrid w:val="0"/>
                <w:kern w:val="28"/>
                <w:sz w:val="22"/>
                <w:lang w:val="en-US" w:eastAsia="en-US" w:bidi="ar-SA"/>
              </w:rPr>
            </w:pPr>
          </w:p>
        </w:tc>
      </w:tr>
      <w:tr w14:paraId="6BAA57F1"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P="009C2912" w14:paraId="2321731A"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Accessible Formats</w:t>
            </w:r>
          </w:p>
          <w:p w:rsidR="004F4D29" w:rsidP="009C2912" w14:paraId="55496F48" w14:textId="77777777">
            <w:pPr>
              <w:widowControl/>
              <w:ind w:left="360"/>
              <w:rPr>
                <w:rStyle w:val="DefaultParagraphFont"/>
                <w:snapToGrid w:val="0"/>
                <w:kern w:val="28"/>
                <w:sz w:val="22"/>
                <w:szCs w:val="22"/>
                <w:lang w:val="en-US" w:eastAsia="en-US" w:bidi="ar-SA"/>
              </w:rPr>
            </w:pPr>
            <w:r>
              <w:rPr>
                <w:snapToGrid w:val="0"/>
                <w:kern w:val="28"/>
                <w:sz w:val="22"/>
                <w:szCs w:val="22"/>
                <w:lang w:val="en-US" w:eastAsia="en-US" w:bidi="ar-SA"/>
              </w:rPr>
              <w:t xml:space="preserve">Braille, large print, electronic files, or </w:t>
            </w:r>
          </w:p>
          <w:p w:rsidR="004F4D29" w:rsidP="009C2912" w14:paraId="7D3EF7E4" w14:textId="77777777">
            <w:pPr>
              <w:widowControl/>
              <w:rPr>
                <w:rStyle w:val="DefaultParagraphFont"/>
                <w:b/>
                <w:snapToGrid w:val="0"/>
                <w:kern w:val="28"/>
                <w:sz w:val="22"/>
                <w:szCs w:val="22"/>
                <w:lang w:val="en-US" w:eastAsia="en-US" w:bidi="ar-SA"/>
              </w:rPr>
            </w:pPr>
            <w:r>
              <w:rPr>
                <w:snapToGrid w:val="0"/>
                <w:kern w:val="28"/>
                <w:sz w:val="22"/>
                <w:szCs w:val="22"/>
                <w:lang w:val="en-US" w:eastAsia="en-US" w:bidi="ar-SA"/>
              </w:rPr>
              <w:t>audio format for people with disabilities</w:t>
            </w:r>
          </w:p>
        </w:tc>
        <w:tc>
          <w:tcPr>
            <w:tcW w:w="4860" w:type="dxa"/>
          </w:tcPr>
          <w:p w:rsidR="004F4D29" w:rsidP="009C2912" w14:paraId="73B8E4C1" w14:textId="77777777">
            <w:pPr>
              <w:widowControl/>
              <w:rPr>
                <w:rStyle w:val="DefaultParagraphFont"/>
                <w:b/>
                <w:snapToGrid w:val="0"/>
                <w:kern w:val="28"/>
                <w:sz w:val="22"/>
                <w:szCs w:val="22"/>
                <w:lang w:val="en-US" w:eastAsia="en-US" w:bidi="ar-SA"/>
              </w:rPr>
            </w:pPr>
            <w:r>
              <w:rPr>
                <w:b/>
                <w:snapToGrid w:val="0"/>
                <w:kern w:val="28"/>
                <w:sz w:val="22"/>
                <w:szCs w:val="22"/>
                <w:lang w:val="en-US" w:eastAsia="en-US" w:bidi="ar-SA"/>
              </w:rPr>
              <w:t>Consumer and Governmental Affairs Bureau</w:t>
            </w:r>
          </w:p>
          <w:p w:rsidR="004F4D29" w:rsidP="009C2912" w14:paraId="172CB4EE" w14:textId="77777777">
            <w:pPr>
              <w:widowControl/>
              <w:rPr>
                <w:rStyle w:val="DefaultParagraphFont"/>
                <w:snapToGrid w:val="0"/>
                <w:kern w:val="28"/>
                <w:sz w:val="22"/>
                <w:szCs w:val="22"/>
                <w:lang w:val="en-US" w:eastAsia="en-US" w:bidi="ar-SA"/>
              </w:rPr>
            </w:pPr>
            <w:r>
              <w:rPr>
                <w:snapToGrid w:val="0"/>
                <w:kern w:val="28"/>
                <w:sz w:val="22"/>
                <w:szCs w:val="22"/>
                <w:lang w:val="en-US" w:eastAsia="en-US" w:bidi="ar-SA"/>
              </w:rPr>
              <w:t>(202) 418-0530 or (202) 418-0432 (TTY)</w:t>
            </w:r>
          </w:p>
          <w:p w:rsidR="004F4D29" w:rsidP="009C2912" w14:paraId="2925C8D5" w14:textId="77777777">
            <w:pPr>
              <w:widowControl/>
              <w:rPr>
                <w:rStyle w:val="DefaultParagraphFont"/>
                <w:snapToGrid w:val="0"/>
                <w:kern w:val="28"/>
                <w:sz w:val="22"/>
                <w:szCs w:val="22"/>
                <w:lang w:val="en-US" w:eastAsia="en-US" w:bidi="ar-SA"/>
              </w:rPr>
            </w:pPr>
            <w:r>
              <w:fldChar w:fldCharType="begin"/>
            </w:r>
            <w:r>
              <w:rPr>
                <w:snapToGrid w:val="0"/>
                <w:kern w:val="28"/>
                <w:sz w:val="22"/>
                <w:lang w:val="en-US" w:eastAsia="en-US" w:bidi="ar-SA"/>
              </w:rPr>
              <w:instrText xml:space="preserve"> HYPERLINK "mailto:fcc504@fcc.gov" </w:instrText>
            </w:r>
            <w:r>
              <w:fldChar w:fldCharType="separate"/>
            </w:r>
            <w:r>
              <w:rPr>
                <w:rStyle w:val="Hyperlink"/>
                <w:snapToGrid w:val="0"/>
                <w:color w:val="0000FF"/>
                <w:kern w:val="28"/>
                <w:sz w:val="22"/>
                <w:szCs w:val="22"/>
                <w:u w:val="single"/>
                <w:lang w:val="en-US" w:eastAsia="en-US" w:bidi="ar-SA"/>
              </w:rPr>
              <w:t>fcc504@fcc.gov</w:t>
            </w:r>
            <w:r>
              <w:fldChar w:fldCharType="end"/>
            </w:r>
          </w:p>
          <w:p w:rsidR="004F4D29" w:rsidP="009C2912" w14:paraId="299659F7" w14:textId="77777777">
            <w:pPr>
              <w:widowControl/>
              <w:rPr>
                <w:rStyle w:val="DefaultParagraphFont"/>
                <w:snapToGrid w:val="0"/>
                <w:kern w:val="28"/>
                <w:sz w:val="22"/>
                <w:szCs w:val="22"/>
                <w:lang w:val="en-US" w:eastAsia="en-US" w:bidi="ar-SA"/>
              </w:rPr>
            </w:pPr>
          </w:p>
          <w:p w:rsidR="004F4D29" w:rsidP="009C2912" w14:paraId="08061042" w14:textId="77777777">
            <w:pPr>
              <w:widowControl/>
              <w:rPr>
                <w:rStyle w:val="DefaultParagraphFont"/>
                <w:snapToGrid w:val="0"/>
                <w:kern w:val="28"/>
                <w:sz w:val="22"/>
                <w:lang w:val="en-US" w:eastAsia="en-US" w:bidi="ar-SA"/>
              </w:rPr>
            </w:pPr>
          </w:p>
        </w:tc>
      </w:tr>
      <w:tr w14:paraId="338F1314"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P="009C2912" w14:paraId="00FC9996" w14:textId="77777777">
            <w:pPr>
              <w:widowControl/>
              <w:autoSpaceDE w:val="0"/>
              <w:autoSpaceDN w:val="0"/>
              <w:adjustRightInd w:val="0"/>
              <w:rPr>
                <w:rStyle w:val="DefaultParagraphFont"/>
                <w:b/>
                <w:bCs/>
                <w:snapToGrid/>
                <w:kern w:val="28"/>
                <w:sz w:val="22"/>
                <w:szCs w:val="22"/>
                <w:lang w:val="en-US" w:eastAsia="en-US" w:bidi="ar-SA"/>
              </w:rPr>
            </w:pPr>
            <w:r>
              <w:rPr>
                <w:b/>
                <w:bCs/>
                <w:snapToGrid/>
                <w:kern w:val="28"/>
                <w:sz w:val="22"/>
                <w:szCs w:val="22"/>
                <w:lang w:val="en-US" w:eastAsia="en-US" w:bidi="ar-SA"/>
              </w:rPr>
              <w:t>Small Businesses</w:t>
            </w:r>
          </w:p>
          <w:p w:rsidR="004F4D29" w:rsidP="009C2912" w14:paraId="759CCBA8" w14:textId="77777777">
            <w:pPr>
              <w:widowControl/>
              <w:autoSpaceDE w:val="0"/>
              <w:autoSpaceDN w:val="0"/>
              <w:adjustRightInd w:val="0"/>
              <w:ind w:left="360"/>
              <w:rPr>
                <w:rStyle w:val="DefaultParagraphFont"/>
                <w:snapToGrid/>
                <w:kern w:val="28"/>
                <w:sz w:val="22"/>
                <w:szCs w:val="22"/>
                <w:lang w:val="en-US" w:eastAsia="en-US" w:bidi="ar-SA"/>
              </w:rPr>
            </w:pPr>
            <w:r>
              <w:rPr>
                <w:snapToGrid/>
                <w:kern w:val="28"/>
                <w:sz w:val="22"/>
                <w:szCs w:val="22"/>
                <w:lang w:val="en-US" w:eastAsia="en-US" w:bidi="ar-SA"/>
              </w:rPr>
              <w:t>Additional information for small and disadvantaged businesses</w:t>
            </w:r>
          </w:p>
          <w:p w:rsidR="004F4D29" w:rsidP="009C2912" w14:paraId="1B3DE6C4" w14:textId="77777777">
            <w:pPr>
              <w:widowControl/>
              <w:rPr>
                <w:rStyle w:val="DefaultParagraphFont"/>
                <w:b/>
                <w:snapToGrid w:val="0"/>
                <w:kern w:val="28"/>
                <w:sz w:val="22"/>
                <w:szCs w:val="22"/>
                <w:lang w:val="en-US" w:eastAsia="en-US" w:bidi="ar-SA"/>
              </w:rPr>
            </w:pPr>
          </w:p>
        </w:tc>
        <w:tc>
          <w:tcPr>
            <w:tcW w:w="4860" w:type="dxa"/>
          </w:tcPr>
          <w:p w:rsidR="004F4D29" w:rsidP="009C2912" w14:paraId="30CAC073" w14:textId="77777777">
            <w:pPr>
              <w:widowControl/>
              <w:autoSpaceDE w:val="0"/>
              <w:autoSpaceDN w:val="0"/>
              <w:adjustRightInd w:val="0"/>
              <w:rPr>
                <w:rStyle w:val="DefaultParagraphFont"/>
                <w:snapToGrid/>
                <w:kern w:val="28"/>
                <w:sz w:val="22"/>
                <w:szCs w:val="22"/>
                <w:lang w:val="en-US" w:eastAsia="en-US" w:bidi="ar-SA"/>
              </w:rPr>
            </w:pPr>
            <w:r>
              <w:rPr>
                <w:b/>
                <w:bCs/>
                <w:snapToGrid/>
                <w:kern w:val="28"/>
                <w:sz w:val="22"/>
                <w:szCs w:val="22"/>
                <w:lang w:val="en-US" w:eastAsia="en-US" w:bidi="ar-SA"/>
              </w:rPr>
              <w:t>Office of Communications Business Opportunities</w:t>
            </w:r>
          </w:p>
          <w:p w:rsidR="004F4D29" w:rsidP="009C2912" w14:paraId="6D45CE0C" w14:textId="77777777">
            <w:pPr>
              <w:widowControl/>
              <w:autoSpaceDE w:val="0"/>
              <w:autoSpaceDN w:val="0"/>
              <w:adjustRightInd w:val="0"/>
              <w:rPr>
                <w:rStyle w:val="DefaultParagraphFont"/>
                <w:snapToGrid/>
                <w:kern w:val="28"/>
                <w:sz w:val="22"/>
                <w:szCs w:val="22"/>
                <w:lang w:val="en-US" w:eastAsia="en-US" w:bidi="ar-SA"/>
              </w:rPr>
            </w:pPr>
            <w:r>
              <w:rPr>
                <w:snapToGrid/>
                <w:kern w:val="28"/>
                <w:sz w:val="22"/>
                <w:szCs w:val="22"/>
                <w:lang w:val="en-US" w:eastAsia="en-US" w:bidi="ar-SA"/>
              </w:rPr>
              <w:t>(202) 418-0990</w:t>
            </w:r>
          </w:p>
          <w:p w:rsidR="004F4D29" w:rsidP="009C2912" w14:paraId="29FE8D22" w14:textId="77777777">
            <w:pPr>
              <w:widowControl/>
              <w:autoSpaceDE w:val="0"/>
              <w:autoSpaceDN w:val="0"/>
              <w:adjustRightInd w:val="0"/>
              <w:rPr>
                <w:rStyle w:val="DefaultParagraphFont"/>
                <w:snapToGrid/>
                <w:kern w:val="28"/>
                <w:sz w:val="22"/>
                <w:szCs w:val="22"/>
                <w:lang w:val="en-US" w:eastAsia="en-US" w:bidi="ar-SA"/>
              </w:rPr>
            </w:pPr>
            <w:r>
              <w:fldChar w:fldCharType="begin"/>
            </w:r>
            <w:r>
              <w:rPr>
                <w:snapToGrid w:val="0"/>
                <w:kern w:val="28"/>
                <w:sz w:val="22"/>
                <w:lang w:val="en-US" w:eastAsia="en-US" w:bidi="ar-SA"/>
              </w:rPr>
              <w:instrText xml:space="preserve"> HYPERLINK "http://www.fcc.gov/ocbo/" </w:instrText>
            </w:r>
            <w:r>
              <w:fldChar w:fldCharType="separate"/>
            </w:r>
            <w:r>
              <w:rPr>
                <w:snapToGrid/>
                <w:color w:val="0000FF"/>
                <w:kern w:val="28"/>
                <w:sz w:val="22"/>
                <w:szCs w:val="22"/>
                <w:u w:val="single"/>
                <w:lang w:val="en-US" w:eastAsia="en-US" w:bidi="ar-SA"/>
              </w:rPr>
              <w:t>http://www.fcc.gov/ocbo/</w:t>
            </w:r>
            <w:r>
              <w:fldChar w:fldCharType="end"/>
            </w:r>
          </w:p>
          <w:p w:rsidR="004F4D29" w:rsidP="009C2912" w14:paraId="2579250C" w14:textId="77777777">
            <w:pPr>
              <w:widowControl/>
              <w:rPr>
                <w:rStyle w:val="DefaultParagraphFont"/>
                <w:snapToGrid w:val="0"/>
                <w:kern w:val="28"/>
                <w:sz w:val="22"/>
                <w:lang w:val="en-US" w:eastAsia="en-US" w:bidi="ar-SA"/>
              </w:rPr>
            </w:pPr>
          </w:p>
        </w:tc>
      </w:tr>
      <w:tr w14:paraId="37AF73BB" w14:textId="77777777" w:rsidTr="009C2912">
        <w:tblPrEx>
          <w:tblW w:w="9828" w:type="dxa"/>
          <w:tblInd w:w="0" w:type="dxa"/>
          <w:tblLayout w:type="fixed"/>
          <w:tblCellMar>
            <w:top w:w="0" w:type="dxa"/>
            <w:left w:w="108" w:type="dxa"/>
            <w:bottom w:w="0" w:type="dxa"/>
            <w:right w:w="108" w:type="dxa"/>
          </w:tblCellMar>
          <w:tblLook w:val="0000"/>
        </w:tblPrEx>
        <w:trPr>
          <w:cantSplit/>
        </w:trPr>
        <w:tc>
          <w:tcPr>
            <w:tcW w:w="4968" w:type="dxa"/>
          </w:tcPr>
          <w:p w:rsidR="004F4D29" w:rsidP="009C2912" w14:paraId="12DBB851" w14:textId="77777777">
            <w:pPr>
              <w:widowControl/>
              <w:autoSpaceDE w:val="0"/>
              <w:autoSpaceDN w:val="0"/>
              <w:adjustRightInd w:val="0"/>
              <w:rPr>
                <w:rStyle w:val="DefaultParagraphFont"/>
                <w:b/>
                <w:bCs/>
                <w:snapToGrid/>
                <w:kern w:val="28"/>
                <w:sz w:val="22"/>
                <w:szCs w:val="22"/>
                <w:lang w:val="en-US" w:eastAsia="en-US" w:bidi="ar-SA"/>
              </w:rPr>
            </w:pPr>
            <w:r>
              <w:rPr>
                <w:b/>
                <w:bCs/>
                <w:snapToGrid/>
                <w:kern w:val="28"/>
                <w:sz w:val="22"/>
                <w:szCs w:val="22"/>
                <w:lang w:val="en-US" w:eastAsia="en-US" w:bidi="ar-SA"/>
              </w:rPr>
              <w:t>Tribal Issues</w:t>
            </w:r>
          </w:p>
          <w:p w:rsidR="004F4D29" w:rsidP="009C2912" w14:paraId="123AAAEF" w14:textId="77777777">
            <w:pPr>
              <w:widowControl/>
              <w:rPr>
                <w:rStyle w:val="DefaultParagraphFont"/>
                <w:b/>
                <w:snapToGrid w:val="0"/>
                <w:kern w:val="28"/>
                <w:sz w:val="22"/>
                <w:szCs w:val="22"/>
                <w:lang w:val="en-US" w:eastAsia="en-US" w:bidi="ar-SA"/>
              </w:rPr>
            </w:pPr>
            <w:r>
              <w:rPr>
                <w:bCs/>
                <w:snapToGrid/>
                <w:kern w:val="28"/>
                <w:sz w:val="22"/>
                <w:szCs w:val="22"/>
                <w:lang w:val="en-US" w:eastAsia="en-US" w:bidi="ar-SA"/>
              </w:rPr>
              <w:t>Additional information for entities seeking to provide service to Tribal lands and Tribal governments</w:t>
            </w:r>
          </w:p>
        </w:tc>
        <w:tc>
          <w:tcPr>
            <w:tcW w:w="4860" w:type="dxa"/>
          </w:tcPr>
          <w:p w:rsidR="004F4D29" w:rsidP="009C2912" w14:paraId="6FBC4C71" w14:textId="77777777">
            <w:pPr>
              <w:widowControl/>
              <w:autoSpaceDE w:val="0"/>
              <w:autoSpaceDN w:val="0"/>
              <w:adjustRightInd w:val="0"/>
              <w:rPr>
                <w:rStyle w:val="DefaultParagraphFont"/>
                <w:bCs/>
                <w:snapToGrid/>
                <w:kern w:val="28"/>
                <w:sz w:val="22"/>
                <w:szCs w:val="22"/>
                <w:lang w:val="en-US" w:eastAsia="en-US" w:bidi="ar-SA"/>
              </w:rPr>
            </w:pPr>
            <w:r>
              <w:rPr>
                <w:b/>
                <w:bCs/>
                <w:snapToGrid/>
                <w:kern w:val="28"/>
                <w:sz w:val="22"/>
                <w:szCs w:val="22"/>
                <w:lang w:val="en-US" w:eastAsia="en-US" w:bidi="ar-SA"/>
              </w:rPr>
              <w:t>Office of Native Affairs and Policy</w:t>
            </w:r>
          </w:p>
          <w:p w:rsidR="004F4D29" w:rsidP="009C2912" w14:paraId="25CD7F0B" w14:textId="77777777">
            <w:pPr>
              <w:widowControl/>
              <w:autoSpaceDE w:val="0"/>
              <w:autoSpaceDN w:val="0"/>
              <w:adjustRightInd w:val="0"/>
              <w:rPr>
                <w:rStyle w:val="DefaultParagraphFont"/>
                <w:bCs/>
                <w:snapToGrid/>
                <w:kern w:val="28"/>
                <w:sz w:val="22"/>
                <w:szCs w:val="22"/>
                <w:lang w:val="en-US" w:eastAsia="en-US" w:bidi="ar-SA"/>
              </w:rPr>
            </w:pPr>
            <w:r>
              <w:rPr>
                <w:bCs/>
                <w:snapToGrid/>
                <w:kern w:val="28"/>
                <w:sz w:val="22"/>
                <w:szCs w:val="22"/>
                <w:lang w:val="en-US" w:eastAsia="en-US" w:bidi="ar-SA"/>
              </w:rPr>
              <w:t>(202) 418-2930</w:t>
            </w:r>
          </w:p>
          <w:p w:rsidR="004F4D29" w:rsidP="009C2912" w14:paraId="578F835D" w14:textId="77777777">
            <w:pPr>
              <w:widowControl/>
              <w:rPr>
                <w:rStyle w:val="DefaultParagraphFont"/>
                <w:snapToGrid w:val="0"/>
                <w:kern w:val="28"/>
                <w:sz w:val="22"/>
                <w:lang w:val="en-US" w:eastAsia="en-US" w:bidi="ar-SA"/>
              </w:rPr>
            </w:pPr>
            <w:r>
              <w:fldChar w:fldCharType="begin"/>
            </w:r>
            <w:r>
              <w:rPr>
                <w:snapToGrid w:val="0"/>
                <w:kern w:val="28"/>
                <w:sz w:val="22"/>
                <w:lang w:val="en-US" w:eastAsia="en-US" w:bidi="ar-SA"/>
              </w:rPr>
              <w:instrText xml:space="preserve"> HYPERLINK "mailto:native@fcc.gov" </w:instrText>
            </w:r>
            <w:r>
              <w:fldChar w:fldCharType="separate"/>
            </w:r>
            <w:r w:rsidRPr="00413E9A">
              <w:rPr>
                <w:rStyle w:val="Hyperlink"/>
                <w:snapToGrid w:val="0"/>
                <w:color w:val="0000FF"/>
                <w:kern w:val="28"/>
                <w:sz w:val="22"/>
                <w:szCs w:val="22"/>
                <w:u w:val="single"/>
                <w:lang w:val="en-US" w:eastAsia="en-US" w:bidi="ar-SA"/>
              </w:rPr>
              <w:t>native@fcc.gov</w:t>
            </w:r>
            <w:r>
              <w:fldChar w:fldCharType="end"/>
            </w:r>
          </w:p>
        </w:tc>
      </w:tr>
    </w:tbl>
    <w:p w:rsidR="004F4D29" w:rsidRPr="00E7285F" w:rsidP="004F4D29" w14:paraId="60F7AAD1" w14:textId="77777777">
      <w:pPr>
        <w:pStyle w:val="ParaNum"/>
        <w:widowControl/>
        <w:numPr>
          <w:ilvl w:val="0"/>
          <w:numId w:val="0"/>
        </w:numPr>
        <w:ind w:left="720"/>
        <w:rPr>
          <w:szCs w:val="22"/>
        </w:rPr>
      </w:pPr>
    </w:p>
    <w:p w:rsidR="004F4D29" w:rsidRPr="0038667B" w:rsidP="00250DCA" w14:paraId="1861049F" w14:textId="77777777">
      <w:pPr>
        <w:pStyle w:val="ParaNum"/>
        <w:widowControl/>
        <w:tabs>
          <w:tab w:val="clear" w:pos="1080"/>
          <w:tab w:val="num" w:pos="1440"/>
        </w:tabs>
        <w:rPr>
          <w:szCs w:val="22"/>
        </w:rPr>
      </w:pPr>
      <w:r w:rsidRPr="0038667B">
        <w:t xml:space="preserve">To request materials in accessible formats (Braille, large print, electronic files, audio format) for people with disabilities, send an email to </w:t>
      </w:r>
      <w:r>
        <w:fldChar w:fldCharType="begin"/>
      </w:r>
      <w:r>
        <w:instrText xml:space="preserve"> HYPERLINK "mailto:fcc504@fcc.gov" </w:instrText>
      </w:r>
      <w:r>
        <w:fldChar w:fldCharType="separate"/>
      </w:r>
      <w:r w:rsidRPr="0038667B">
        <w:rPr>
          <w:rStyle w:val="Hyperlink"/>
        </w:rPr>
        <w:t>fcc504@fcc.gov</w:t>
      </w:r>
      <w:r>
        <w:fldChar w:fldCharType="end"/>
      </w:r>
      <w:r w:rsidRPr="0038667B">
        <w:t xml:space="preserve"> or call the Consumer and Governmental Affairs Bureau at (202) 418-0530 or (202) 418-0432 (TTY).  </w:t>
      </w:r>
    </w:p>
    <w:p w:rsidR="004F4D29" w:rsidRPr="0038667B" w:rsidP="004F4D29" w14:paraId="5CFB026E" w14:textId="77777777">
      <w:pPr>
        <w:widowControl/>
        <w:suppressAutoHyphens/>
        <w:rPr>
          <w:szCs w:val="22"/>
        </w:rPr>
      </w:pPr>
    </w:p>
    <w:p w:rsidR="00412FC5" w:rsidRPr="00412FC5" w:rsidP="00CC406A" w14:paraId="204A8E46" w14:textId="29594A31">
      <w:pPr>
        <w:widowControl/>
        <w:suppressAutoHyphens/>
        <w:jc w:val="center"/>
      </w:pPr>
      <w:r w:rsidRPr="0038667B">
        <w:rPr>
          <w:b/>
        </w:rPr>
        <w:t>–FCC–</w:t>
      </w: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98D4F8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D31C3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FF2542B" w14:textId="749D1DB2">
    <w:pPr>
      <w:pStyle w:val="Footer"/>
      <w:framePr w:wrap="around" w:vAnchor="text" w:hAnchor="margin" w:xAlign="center" w:y="1"/>
    </w:pPr>
    <w:r>
      <w:fldChar w:fldCharType="begin"/>
    </w:r>
    <w:r>
      <w:instrText xml:space="preserve">PAGE  </w:instrText>
    </w:r>
    <w:r>
      <w:fldChar w:fldCharType="separate"/>
    </w:r>
    <w:r w:rsidR="00261122">
      <w:rPr>
        <w:noProof/>
      </w:rPr>
      <w:t>8</w:t>
    </w:r>
    <w:r>
      <w:fldChar w:fldCharType="end"/>
    </w:r>
  </w:p>
  <w:p w:rsidR="006F7393" w14:paraId="2E93BBE8" w14:textId="77777777">
    <w:pPr>
      <w:spacing w:before="140" w:line="100" w:lineRule="exact"/>
      <w:rPr>
        <w:sz w:val="10"/>
      </w:rPr>
    </w:pPr>
  </w:p>
  <w:p w:rsidR="006F7393" w14:paraId="749C754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380" w14:paraId="763EBD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79D8" w14:paraId="1F1E8F66" w14:textId="539A17D0">
      <w:r>
        <w:separator/>
      </w:r>
    </w:p>
  </w:footnote>
  <w:footnote w:type="continuationSeparator" w:id="1">
    <w:p w:rsidR="009479D8" w14:paraId="4F38D88E" w14:textId="63D2C1A7">
      <w:pPr>
        <w:rPr>
          <w:sz w:val="20"/>
        </w:rPr>
      </w:pPr>
      <w:r>
        <w:continuationSeparator/>
      </w:r>
    </w:p>
  </w:footnote>
  <w:footnote w:type="continuationNotice" w:id="2">
    <w:p w:rsidR="009479D8" w14:paraId="5B8B305F" w14:textId="707DEE40">
      <w:pPr>
        <w:rPr>
          <w:sz w:val="20"/>
        </w:rPr>
      </w:pPr>
    </w:p>
  </w:footnote>
  <w:footnote w:id="3">
    <w:p w:rsidR="00361F82" w14:paraId="2B346795" w14:textId="278F33A3">
      <w:pPr>
        <w:pStyle w:val="FootnoteText"/>
      </w:pPr>
      <w:r>
        <w:rPr>
          <w:rStyle w:val="FootnoteReference"/>
        </w:rPr>
        <w:footnoteRef/>
      </w:r>
      <w:r>
        <w:t xml:space="preserve"> </w:t>
      </w:r>
      <w:r w:rsidRPr="00BD65BF" w:rsidR="0032667B">
        <w:rPr>
          <w:i/>
        </w:rPr>
        <w:t>See</w:t>
      </w:r>
      <w:r w:rsidRPr="00BD65BF" w:rsidR="0032667B">
        <w:t xml:space="preserve"> </w:t>
      </w:r>
      <w:r w:rsidRPr="00E5287B" w:rsidR="0032667B">
        <w:rPr>
          <w:i/>
        </w:rPr>
        <w:t xml:space="preserve">Connect America Fund Phase II Auction Scheduled for </w:t>
      </w:r>
      <w:r w:rsidR="0032667B">
        <w:rPr>
          <w:i/>
        </w:rPr>
        <w:t>July 24</w:t>
      </w:r>
      <w:r w:rsidRPr="00E5287B" w:rsidR="0032667B">
        <w:rPr>
          <w:i/>
        </w:rPr>
        <w:t>, 2018; Notice and Filing Requirements and Other Procedures for Auction 903</w:t>
      </w:r>
      <w:r w:rsidRPr="00943AA1" w:rsidR="0032667B">
        <w:t xml:space="preserve">, </w:t>
      </w:r>
      <w:r w:rsidRPr="00F062A7" w:rsidR="0032667B">
        <w:t xml:space="preserve">Public </w:t>
      </w:r>
      <w:r w:rsidRPr="00BC22C2" w:rsidR="0032667B">
        <w:t xml:space="preserve">Notice, </w:t>
      </w:r>
      <w:r w:rsidR="0032667B">
        <w:t>33 FCC Rcd 1428</w:t>
      </w:r>
      <w:r w:rsidRPr="00BC22C2" w:rsidR="0032667B">
        <w:t xml:space="preserve"> (2018) (</w:t>
      </w:r>
      <w:r w:rsidRPr="00BC22C2" w:rsidR="0032667B">
        <w:rPr>
          <w:i/>
        </w:rPr>
        <w:t>Auction</w:t>
      </w:r>
      <w:r w:rsidRPr="004C2D50" w:rsidR="0032667B">
        <w:rPr>
          <w:i/>
        </w:rPr>
        <w:t xml:space="preserve"> </w:t>
      </w:r>
      <w:r w:rsidR="0032667B">
        <w:rPr>
          <w:i/>
        </w:rPr>
        <w:t>903</w:t>
      </w:r>
      <w:r w:rsidRPr="004C2D50" w:rsidR="0032667B">
        <w:rPr>
          <w:i/>
        </w:rPr>
        <w:t xml:space="preserve"> Procedures Public Notice</w:t>
      </w:r>
      <w:r w:rsidRPr="004C2D50" w:rsidR="0032667B">
        <w:t>)</w:t>
      </w:r>
      <w:r w:rsidRPr="00BD65BF" w:rsidR="0032667B">
        <w:t>.</w:t>
      </w:r>
    </w:p>
  </w:footnote>
  <w:footnote w:id="4">
    <w:p w:rsidR="004F4D29" w:rsidRPr="00BD65BF" w:rsidP="004F4D29" w14:paraId="0E3B633D" w14:textId="0A403B1C">
      <w:pPr>
        <w:pStyle w:val="FootnoteText"/>
        <w:rPr>
          <w:b/>
        </w:rPr>
      </w:pPr>
      <w:r w:rsidRPr="00036746">
        <w:rPr>
          <w:rStyle w:val="FootnoteReference"/>
          <w:sz w:val="20"/>
        </w:rPr>
        <w:footnoteRef/>
      </w:r>
      <w:r w:rsidRPr="009F1DEC">
        <w:t xml:space="preserve"> 47 CFR § 1.65.  </w:t>
      </w:r>
      <w:r w:rsidR="00DE4EB4">
        <w:t>E</w:t>
      </w:r>
      <w:r w:rsidRPr="009F1DEC">
        <w:t>ach applicant in competitive bidding proceeding</w:t>
      </w:r>
      <w:r>
        <w:t>s</w:t>
      </w:r>
      <w:r w:rsidRPr="009F1DEC">
        <w:t xml:space="preserve"> </w:t>
      </w:r>
      <w:r w:rsidR="00DE4EB4">
        <w:t>must</w:t>
      </w:r>
      <w:r w:rsidRPr="009F1DEC">
        <w:t xml:space="preserve"> furnish additional or corrected information within five days of a significant occurrence or amend its short-form </w:t>
      </w:r>
      <w:r w:rsidRPr="00BD65BF">
        <w:t xml:space="preserve">application no more than five days after the applicant becomes aware of the need for amendment.    </w:t>
      </w:r>
    </w:p>
  </w:footnote>
  <w:footnote w:id="5">
    <w:p w:rsidR="004F4D29" w:rsidRPr="00BD65BF" w:rsidP="004F4D29" w14:paraId="175AC2E0" w14:textId="1E6428C2">
      <w:pPr>
        <w:pStyle w:val="FootnoteText"/>
      </w:pPr>
      <w:r w:rsidRPr="00BD65BF">
        <w:rPr>
          <w:rStyle w:val="FootnoteReference"/>
          <w:sz w:val="20"/>
        </w:rPr>
        <w:footnoteRef/>
      </w:r>
      <w:r w:rsidRPr="00BD65BF">
        <w:t xml:space="preserve"> </w:t>
      </w:r>
      <w:r w:rsidRPr="00BD65BF">
        <w:rPr>
          <w:i/>
        </w:rPr>
        <w:t>See</w:t>
      </w:r>
      <w:r w:rsidRPr="00BD65BF">
        <w:t xml:space="preserve"> </w:t>
      </w:r>
      <w:r w:rsidRPr="00BC22C2" w:rsidR="0032667B">
        <w:rPr>
          <w:i/>
        </w:rPr>
        <w:t>Auction</w:t>
      </w:r>
      <w:r w:rsidRPr="004C2D50" w:rsidR="0032667B">
        <w:rPr>
          <w:i/>
        </w:rPr>
        <w:t xml:space="preserve"> </w:t>
      </w:r>
      <w:r w:rsidR="0032667B">
        <w:rPr>
          <w:i/>
        </w:rPr>
        <w:t>903</w:t>
      </w:r>
      <w:r w:rsidRPr="004C2D50" w:rsidR="0032667B">
        <w:rPr>
          <w:i/>
        </w:rPr>
        <w:t xml:space="preserve"> Procedures Public Notice</w:t>
      </w:r>
      <w:r w:rsidR="0032667B">
        <w:t>,</w:t>
      </w:r>
      <w:r w:rsidRPr="00E5287B" w:rsidR="0032667B">
        <w:rPr>
          <w:i/>
        </w:rPr>
        <w:t xml:space="preserve"> </w:t>
      </w:r>
      <w:r w:rsidR="00D77400">
        <w:t xml:space="preserve">33 FCC Rcd </w:t>
      </w:r>
      <w:r w:rsidR="0032667B">
        <w:t xml:space="preserve">at </w:t>
      </w:r>
      <w:r w:rsidR="00D77400">
        <w:t xml:space="preserve">1512-20, </w:t>
      </w:r>
      <w:r w:rsidRPr="00BD65BF" w:rsidR="00D77400">
        <w:t>paras. 289-313</w:t>
      </w:r>
      <w:r w:rsidRPr="00BD65BF" w:rsidR="00CE7B3F">
        <w:t xml:space="preserve">. </w:t>
      </w:r>
      <w:r w:rsidRPr="00BD65BF">
        <w:t xml:space="preserve"> </w:t>
      </w:r>
    </w:p>
  </w:footnote>
  <w:footnote w:id="6">
    <w:p w:rsidR="004F4D29" w:rsidRPr="00BD65BF" w:rsidP="004F4D29" w14:paraId="0FF2C932" w14:textId="6E2BBE00">
      <w:pPr>
        <w:pStyle w:val="FootnoteText"/>
      </w:pPr>
      <w:r w:rsidRPr="00BD65BF">
        <w:rPr>
          <w:rStyle w:val="FootnoteReference"/>
          <w:sz w:val="20"/>
        </w:rPr>
        <w:footnoteRef/>
      </w:r>
      <w:r w:rsidRPr="00BD65BF">
        <w:t xml:space="preserve"> </w:t>
      </w:r>
      <w:r w:rsidRPr="00BD65BF">
        <w:rPr>
          <w:i/>
        </w:rPr>
        <w:t xml:space="preserve">See generally </w:t>
      </w:r>
      <w:r w:rsidRPr="00BD65BF" w:rsidR="003C6EBA">
        <w:rPr>
          <w:i/>
        </w:rPr>
        <w:t>id.</w:t>
      </w:r>
      <w:r w:rsidRPr="00BD65BF" w:rsidR="003C6EBA">
        <w:t xml:space="preserve"> at </w:t>
      </w:r>
      <w:r w:rsidR="002350C2">
        <w:t xml:space="preserve">1520-22, </w:t>
      </w:r>
      <w:r w:rsidRPr="00BD65BF" w:rsidR="00CE7B3F">
        <w:t>paras. 314-</w:t>
      </w:r>
      <w:r w:rsidRPr="00BD65BF" w:rsidR="003C6EBA">
        <w:t>17</w:t>
      </w:r>
      <w:r w:rsidRPr="00BD65BF">
        <w:t>.</w:t>
      </w:r>
    </w:p>
  </w:footnote>
  <w:footnote w:id="7">
    <w:p w:rsidR="00B74C2F" w:rsidRPr="009F1DEC" w:rsidP="00B74C2F" w14:paraId="7E452DC3" w14:textId="6F7BB7A3">
      <w:pPr>
        <w:pStyle w:val="FootnoteText"/>
      </w:pPr>
      <w:r w:rsidRPr="00036746">
        <w:rPr>
          <w:rStyle w:val="FootnoteReference"/>
          <w:sz w:val="20"/>
        </w:rPr>
        <w:footnoteRef/>
      </w:r>
      <w:r w:rsidRPr="009F1DEC">
        <w:t xml:space="preserve"> Any applicant that submits a short-form application but fails to become a qualified bidder for any reason, will retain its status as an applicant in Auction </w:t>
      </w:r>
      <w:r>
        <w:t>903</w:t>
      </w:r>
      <w:r w:rsidRPr="009F1DEC">
        <w:t xml:space="preserve"> and will remain subject to the Commission’s rule prohibiting certain communications, 47 CFR § 1.210</w:t>
      </w:r>
      <w:r>
        <w:t>02</w:t>
      </w:r>
      <w:r w:rsidRPr="009F1DEC">
        <w:t>.  Any such unqualified applicant will not</w:t>
      </w:r>
      <w:r w:rsidR="00A933BE">
        <w:t>, however,</w:t>
      </w:r>
      <w:r w:rsidRPr="009F1DEC">
        <w:t xml:space="preserve"> be eligible to bid.  </w:t>
      </w:r>
    </w:p>
  </w:footnote>
  <w:footnote w:id="8">
    <w:p w:rsidR="00C874A4" w:rsidP="00C874A4" w14:paraId="4FFF2130" w14:textId="659EAA28">
      <w:pPr>
        <w:pStyle w:val="FootnoteText"/>
      </w:pPr>
      <w:r>
        <w:rPr>
          <w:rStyle w:val="FootnoteReference"/>
        </w:rPr>
        <w:footnoteRef/>
      </w:r>
      <w:r>
        <w:t xml:space="preserve"> </w:t>
      </w:r>
      <w:r>
        <w:fldChar w:fldCharType="begin"/>
      </w:r>
      <w:r>
        <w:instrText xml:space="preserve"> HYPERLINK "https://www.fcc.gov/auction/903" </w:instrText>
      </w:r>
      <w:r>
        <w:fldChar w:fldCharType="separate"/>
      </w:r>
      <w:r w:rsidRPr="00E12F4B">
        <w:rPr>
          <w:rStyle w:val="Hyperlink"/>
        </w:rPr>
        <w:t>https://www.fcc.gov/auction/903</w:t>
      </w:r>
      <w:r>
        <w:fldChar w:fldCharType="end"/>
      </w:r>
      <w:r>
        <w:t xml:space="preserve">. </w:t>
      </w:r>
    </w:p>
  </w:footnote>
  <w:footnote w:id="9">
    <w:p w:rsidR="00C874A4" w:rsidRPr="00BD65BF" w:rsidP="00C874A4" w14:paraId="09A90F79" w14:textId="77777777">
      <w:pPr>
        <w:pStyle w:val="FootnoteText"/>
      </w:pPr>
      <w:r w:rsidRPr="00BD65BF">
        <w:rPr>
          <w:rStyle w:val="FootnoteReference"/>
          <w:sz w:val="20"/>
        </w:rPr>
        <w:footnoteRef/>
      </w:r>
      <w:r w:rsidRPr="00BD65BF">
        <w:t xml:space="preserve"> The </w:t>
      </w:r>
      <w:r w:rsidRPr="00BD65BF">
        <w:rPr>
          <w:i/>
        </w:rPr>
        <w:t xml:space="preserve">View Eligibility Determinations </w:t>
      </w:r>
      <w:r w:rsidRPr="00BD65BF">
        <w:t>screen will display a view-only (i.e., non-editable) “Initial Eligibility Determinations” table showing: (1) each of the state, performance tier, latency, and technology combination(s) that the applicant selected; (2) a calculation of the T+L Weight associated with each performance tier and latency combination; (3) a “Tier-Latency-Technology Eligibility” column with a determination of whether a performance tier, latency, and technology combination is, after initial review, eligible, as indicated by the term “Yes” (for eligible) or “No” (for ineligible); (4) a “State Eligibility” column with a determination of whether a state is, after initial review, eligible based on an impermissible overlapping state issue, as indicated by the term “Yes” (for eligible) or “No” (for ineligible); and (5) an “Overall Eligibility” column with an initial overall eligibility status for each performance tier/latency combination entered for a given state, as indicated by the term “Eligible” or “Ineligible</w:t>
      </w:r>
      <w:r>
        <w:t>.</w:t>
      </w:r>
      <w:r w:rsidRPr="00BD65BF">
        <w:t xml:space="preserve">”  </w:t>
      </w:r>
      <w:r>
        <w:t xml:space="preserve">Whether a state, performance tier, latency, and technology combination is deemed overall eligible depends on the determinations in both the “Tier-Latency-Technology Eligibility” and “State Eligibility” columns.  For example, if an applicant is deemed eligible to bid on a performance tier, latency and technology combination (represented by a “Yes” under the “Tier-Latency-Technology Eligibility” column), but is deemed ineligible to bid on the state because of an impermissible overlapping state issue (represented by a “No” under the “State Eligibility” column), the applicant will be deemed overall ineligible to bid on that combination.  </w:t>
      </w:r>
    </w:p>
  </w:footnote>
  <w:footnote w:id="10">
    <w:p w:rsidR="00C874A4" w:rsidRPr="009F1DEC" w:rsidP="00C874A4" w14:paraId="21092D20" w14:textId="77777777">
      <w:pPr>
        <w:pStyle w:val="FootnoteText"/>
      </w:pPr>
      <w:r w:rsidRPr="00BD65BF">
        <w:rPr>
          <w:rStyle w:val="FootnoteReference"/>
          <w:sz w:val="20"/>
        </w:rPr>
        <w:footnoteRef/>
      </w:r>
      <w:r w:rsidRPr="00BD65BF">
        <w:t xml:space="preserve"> 47 CFR § 1.65.</w:t>
      </w:r>
    </w:p>
  </w:footnote>
  <w:footnote w:id="11">
    <w:p w:rsidR="0049445C" w14:paraId="00CBB538" w14:textId="128253CC">
      <w:pPr>
        <w:pStyle w:val="FootnoteText"/>
      </w:pPr>
      <w:r>
        <w:rPr>
          <w:rStyle w:val="FootnoteReference"/>
        </w:rPr>
        <w:footnoteRef/>
      </w:r>
      <w:r>
        <w:t xml:space="preserve"> If an applicant modifies a combination,</w:t>
      </w:r>
      <w:r w:rsidRPr="0049445C">
        <w:t xml:space="preserve"> </w:t>
      </w:r>
      <w:r>
        <w:t>the</w:t>
      </w:r>
      <w:r w:rsidRPr="00BD7EE6">
        <w:t xml:space="preserve"> eligibility status </w:t>
      </w:r>
      <w:r>
        <w:t>for that combination will change to “Pending</w:t>
      </w:r>
      <w:r w:rsidRPr="00BD7EE6">
        <w:t>”</w:t>
      </w:r>
      <w:r>
        <w:t xml:space="preserve"> on the </w:t>
      </w:r>
      <w:r w:rsidRPr="00DF46E1">
        <w:rPr>
          <w:i/>
        </w:rPr>
        <w:t>State and Performance Tier/Latency Selection</w:t>
      </w:r>
      <w:r>
        <w:t xml:space="preserve"> screen.  However, the</w:t>
      </w:r>
      <w:r w:rsidRPr="00BD7EE6">
        <w:t xml:space="preserve"> eligibility status </w:t>
      </w:r>
      <w:r>
        <w:t>for that combination will not change to “Pending</w:t>
      </w:r>
      <w:r w:rsidRPr="00BD7EE6">
        <w:t>”</w:t>
      </w:r>
      <w:r>
        <w:t xml:space="preserve"> on the </w:t>
      </w:r>
      <w:r w:rsidRPr="00DF46E1">
        <w:rPr>
          <w:i/>
        </w:rPr>
        <w:t>View Eligibility Determinations</w:t>
      </w:r>
      <w:r>
        <w:t xml:space="preserve"> screen – i.e., the </w:t>
      </w:r>
      <w:r w:rsidRPr="00DF46E1">
        <w:rPr>
          <w:i/>
        </w:rPr>
        <w:t>View Eligibility Determinations</w:t>
      </w:r>
      <w:r>
        <w:t xml:space="preserve"> screen will maintain a static view of the eligibility determination(s) for the combination(s).</w:t>
      </w:r>
    </w:p>
  </w:footnote>
  <w:footnote w:id="12">
    <w:p w:rsidR="0064081C" w:rsidRPr="00B77488" w:rsidP="0064081C" w14:paraId="03B7487B" w14:textId="77777777">
      <w:pPr>
        <w:pStyle w:val="FootnoteText"/>
      </w:pPr>
      <w:r w:rsidRPr="00B77488">
        <w:rPr>
          <w:rStyle w:val="FootnoteReference"/>
        </w:rPr>
        <w:footnoteRef/>
      </w:r>
      <w:r w:rsidRPr="00B77488">
        <w:t xml:space="preserve"> </w:t>
      </w:r>
      <w:r w:rsidRPr="00B77488">
        <w:rPr>
          <w:i/>
        </w:rPr>
        <w:t>See</w:t>
      </w:r>
      <w:r w:rsidRPr="00B77488">
        <w:t xml:space="preserve"> </w:t>
      </w:r>
      <w:r>
        <w:t xml:space="preserve">47 CFR </w:t>
      </w:r>
      <w:r w:rsidRPr="00B77488">
        <w:t>§ 1.2</w:t>
      </w:r>
      <w:r>
        <w:t>1001</w:t>
      </w:r>
      <w:r w:rsidRPr="00B77488">
        <w:t>(d)(</w:t>
      </w:r>
      <w:r>
        <w:t>4</w:t>
      </w:r>
      <w:r w:rsidRPr="00B77488">
        <w:t xml:space="preserve">).  </w:t>
      </w:r>
    </w:p>
  </w:footnote>
  <w:footnote w:id="13">
    <w:p w:rsidR="001C22E9" w14:paraId="5DF98934" w14:textId="598A1AEA">
      <w:pPr>
        <w:pStyle w:val="FootnoteText"/>
      </w:pPr>
      <w:r>
        <w:rPr>
          <w:rStyle w:val="FootnoteReference"/>
        </w:rPr>
        <w:footnoteRef/>
      </w:r>
      <w:r>
        <w:t xml:space="preserve"> We remind any applicant that has a transaction pending before the Commission that any such transaction </w:t>
      </w:r>
      <w:r w:rsidR="00043846">
        <w:t>e</w:t>
      </w:r>
      <w:r w:rsidR="00CB30D2">
        <w:t>ffecting</w:t>
      </w:r>
      <w:r>
        <w:t xml:space="preserve"> an assignment or transfer of control if consummated, would, absent a waiver of section 1.21001(d)(4) of the Commission’s rules, constitute a major amendment of the application and disqualify any affected applicant from participation in the bidding.</w:t>
      </w:r>
    </w:p>
  </w:footnote>
  <w:footnote w:id="14">
    <w:p w:rsidR="00967452" w:rsidRPr="009F1DEC" w:rsidP="00967452" w14:paraId="5BF7749C" w14:textId="260E1844">
      <w:pPr>
        <w:pStyle w:val="FootnoteText"/>
      </w:pPr>
      <w:r w:rsidRPr="00036746">
        <w:rPr>
          <w:rStyle w:val="FootnoteReference"/>
          <w:sz w:val="20"/>
        </w:rPr>
        <w:footnoteRef/>
      </w:r>
      <w:r w:rsidRPr="009F1DEC">
        <w:t xml:space="preserve"> </w:t>
      </w:r>
      <w:r w:rsidR="00BA71D6">
        <w:rPr>
          <w:i/>
        </w:rPr>
        <w:t xml:space="preserve">Id. </w:t>
      </w:r>
      <w:r w:rsidRPr="009F1DEC">
        <w:t>§ 1.65.</w:t>
      </w:r>
    </w:p>
  </w:footnote>
  <w:footnote w:id="15">
    <w:p w:rsidR="00967452" w:rsidRPr="009F1DEC" w:rsidP="00967452" w14:paraId="3F417A9C" w14:textId="77777777">
      <w:pPr>
        <w:pStyle w:val="FootnoteText"/>
      </w:pPr>
      <w:r w:rsidRPr="00036746">
        <w:rPr>
          <w:rStyle w:val="FootnoteReference"/>
          <w:sz w:val="20"/>
        </w:rPr>
        <w:footnoteRef/>
      </w:r>
      <w:r w:rsidRPr="009F1DEC">
        <w:t xml:space="preserve"> </w:t>
      </w:r>
      <w:r w:rsidRPr="009F1DEC">
        <w:rPr>
          <w:i/>
        </w:rPr>
        <w:t>Id.</w:t>
      </w:r>
    </w:p>
  </w:footnote>
  <w:footnote w:id="16">
    <w:p w:rsidR="003F7275" w14:paraId="31A9BCA9" w14:textId="60AAB15D">
      <w:pPr>
        <w:pStyle w:val="FootnoteText"/>
      </w:pPr>
      <w:r>
        <w:rPr>
          <w:rStyle w:val="FootnoteReference"/>
        </w:rPr>
        <w:footnoteRef/>
      </w:r>
      <w:r>
        <w:t xml:space="preserve"> T</w:t>
      </w:r>
      <w:r w:rsidRPr="002E3DCF">
        <w:t xml:space="preserve">he </w:t>
      </w:r>
      <w:r w:rsidRPr="002860A5">
        <w:rPr>
          <w:i/>
        </w:rPr>
        <w:t>View Eligibility Determinations</w:t>
      </w:r>
      <w:r w:rsidRPr="002E3DCF">
        <w:t xml:space="preserve"> screen will again be displayed</w:t>
      </w:r>
      <w:r>
        <w:t xml:space="preserve"> to applicants in the Auction Application System</w:t>
      </w:r>
      <w:r w:rsidRPr="002E3DCF">
        <w:t>, and the applicant will be able to view</w:t>
      </w:r>
      <w:r w:rsidR="001B69FC">
        <w:t xml:space="preserve"> </w:t>
      </w:r>
      <w:r w:rsidR="00EB479B">
        <w:t>a</w:t>
      </w:r>
      <w:r w:rsidRPr="00BD65BF" w:rsidR="001B69FC">
        <w:t xml:space="preserve"> “</w:t>
      </w:r>
      <w:r w:rsidR="00EB479B">
        <w:t>Final</w:t>
      </w:r>
      <w:r w:rsidRPr="00BD65BF" w:rsidR="001B69FC">
        <w:t xml:space="preserve"> Eligibility Determinations” table</w:t>
      </w:r>
      <w:r w:rsidR="00EB479B">
        <w:t xml:space="preserve"> with</w:t>
      </w:r>
      <w:r w:rsidRPr="002E3DCF">
        <w:t xml:space="preserve"> the Commission’s final determinations about the applicant’s eligibility to bid in the state(s) and for the performance tier and late</w:t>
      </w:r>
      <w:r w:rsidR="00DC4C65">
        <w:t xml:space="preserve">ncy combination(s) it </w:t>
      </w:r>
      <w:r w:rsidR="00EB479B">
        <w:t xml:space="preserve">initially selected </w:t>
      </w:r>
      <w:r w:rsidR="00045537">
        <w:t>and/</w:t>
      </w:r>
      <w:r w:rsidR="00EB479B">
        <w:t>or</w:t>
      </w:r>
      <w:r w:rsidR="00DC4C65">
        <w:t xml:space="preserve"> added or modified</w:t>
      </w:r>
      <w:r w:rsidR="00045537">
        <w:t xml:space="preserve"> during the resubmission filing window</w:t>
      </w:r>
      <w:r w:rsidR="00DC4C65">
        <w:t>.</w:t>
      </w:r>
      <w:r w:rsidRPr="002E3DCF">
        <w:t xml:space="preserve"> </w:t>
      </w:r>
    </w:p>
  </w:footnote>
  <w:footnote w:id="17">
    <w:p w:rsidR="004F4D29" w:rsidRPr="009F1DEC" w:rsidP="004F4D29" w14:paraId="3E9848A0" w14:textId="3C85763A">
      <w:pPr>
        <w:pStyle w:val="FootnoteText"/>
      </w:pPr>
      <w:r w:rsidRPr="00036746">
        <w:rPr>
          <w:rStyle w:val="FootnoteReference"/>
          <w:sz w:val="20"/>
        </w:rPr>
        <w:footnoteRef/>
      </w:r>
      <w:r w:rsidRPr="009F1DEC">
        <w:t xml:space="preserve"> 47 CFR § </w:t>
      </w:r>
      <w:r w:rsidR="005861C4">
        <w:t>1.21002</w:t>
      </w:r>
      <w:r w:rsidRPr="009F1DEC" w:rsidR="005861C4">
        <w:t>.</w:t>
      </w:r>
    </w:p>
  </w:footnote>
  <w:footnote w:id="18">
    <w:p w:rsidR="004F4D29" w:rsidRPr="009F1DEC" w:rsidP="004F4D29" w14:paraId="7326F97D" w14:textId="470BF7E0">
      <w:pPr>
        <w:pStyle w:val="FootnoteText"/>
      </w:pPr>
      <w:r w:rsidRPr="00036746">
        <w:rPr>
          <w:rStyle w:val="FootnoteReference"/>
          <w:sz w:val="20"/>
        </w:rPr>
        <w:footnoteRef/>
      </w:r>
      <w:r w:rsidRPr="009F1DEC">
        <w:t xml:space="preserve"> </w:t>
      </w:r>
      <w:r w:rsidR="002C14AA">
        <w:rPr>
          <w:i/>
        </w:rPr>
        <w:t>Id.</w:t>
      </w:r>
      <w:r>
        <w:t xml:space="preserve"> § 1.2100</w:t>
      </w:r>
      <w:r w:rsidR="002C14AA">
        <w:t>2</w:t>
      </w:r>
      <w:r>
        <w:t xml:space="preserve">(b).  </w:t>
      </w:r>
    </w:p>
  </w:footnote>
  <w:footnote w:id="19">
    <w:p w:rsidR="004F4D29" w:rsidP="004F4D29" w14:paraId="393E28AC" w14:textId="28504484">
      <w:pPr>
        <w:pStyle w:val="FootnoteText"/>
      </w:pPr>
      <w:r>
        <w:rPr>
          <w:rStyle w:val="FootnoteReference"/>
        </w:rPr>
        <w:footnoteRef/>
      </w:r>
      <w:r>
        <w:t xml:space="preserve"> </w:t>
      </w:r>
      <w:r>
        <w:rPr>
          <w:i/>
        </w:rPr>
        <w:t>See</w:t>
      </w:r>
      <w:r w:rsidR="00565843">
        <w:rPr>
          <w:i/>
        </w:rPr>
        <w:t xml:space="preserve"> </w:t>
      </w:r>
      <w:r w:rsidRPr="007B699B" w:rsidR="00565843">
        <w:rPr>
          <w:i/>
        </w:rPr>
        <w:t>Auction 903 Procedures Public Notice</w:t>
      </w:r>
      <w:r w:rsidR="00284BAB">
        <w:t>, 33 FCC Rcd at 1512,</w:t>
      </w:r>
      <w:r w:rsidR="00565843">
        <w:t xml:space="preserve"> para. 290.</w:t>
      </w:r>
      <w:r>
        <w:rPr>
          <w:i/>
        </w:rPr>
        <w:t xml:space="preserve"> </w:t>
      </w:r>
    </w:p>
  </w:footnote>
  <w:footnote w:id="20">
    <w:p w:rsidR="008067FE" w:rsidRPr="009F1DEC" w:rsidP="008067FE" w14:paraId="0DAD4114" w14:textId="77777777">
      <w:pPr>
        <w:pStyle w:val="FootnoteText"/>
      </w:pPr>
      <w:r w:rsidRPr="00036746">
        <w:rPr>
          <w:rStyle w:val="FootnoteReference"/>
          <w:sz w:val="20"/>
        </w:rPr>
        <w:footnoteRef/>
      </w:r>
      <w:r w:rsidRPr="009F1DEC">
        <w:t xml:space="preserve"> </w:t>
      </w:r>
      <w:r>
        <w:t xml:space="preserve">A party that submits an application becomes an “applicant” under the rule at the application filing deadline and that status does not change based on subsequent developments.  </w:t>
      </w:r>
      <w:r w:rsidRPr="0026077C">
        <w:rPr>
          <w:i/>
        </w:rPr>
        <w:t>See, e.g</w:t>
      </w:r>
      <w:r w:rsidRPr="009F1DEC">
        <w:t xml:space="preserve">., </w:t>
      </w:r>
      <w:r w:rsidRPr="009F1DEC">
        <w:rPr>
          <w:i/>
        </w:rPr>
        <w:t>Star Wireless, LLC v. FCC</w:t>
      </w:r>
      <w:r w:rsidRPr="009F1DEC">
        <w:t>, 522 F.3d 469 (D.C. Cir. 2008)</w:t>
      </w:r>
      <w:r>
        <w:t xml:space="preserve"> </w:t>
      </w:r>
      <w:r w:rsidRPr="009F1DEC">
        <w:t>(section 1.2105(c) applies to applicants regardless of whether they are qualified to bid)</w:t>
      </w:r>
      <w:r>
        <w:t>.  Thus, an auction applicant that does not correct deficiencies in its application or does not otherwise become qualified, remains an “applicant” for purposes of the rule and remains subject to the prohibition on certain communications until the long-form application filing deadline.</w:t>
      </w:r>
    </w:p>
  </w:footnote>
  <w:footnote w:id="21">
    <w:p w:rsidR="002B4580" w14:paraId="3CEF5891" w14:textId="07874BAB">
      <w:pPr>
        <w:pStyle w:val="FootnoteText"/>
      </w:pPr>
      <w:r>
        <w:rPr>
          <w:rStyle w:val="FootnoteReference"/>
        </w:rPr>
        <w:footnoteRef/>
      </w:r>
      <w:r>
        <w:t xml:space="preserve"> 47 CFR § 1.21002(a).</w:t>
      </w:r>
    </w:p>
  </w:footnote>
  <w:footnote w:id="22">
    <w:p w:rsidR="002B4580" w:rsidRPr="00D42B4E" w:rsidP="002B4580" w14:paraId="102DCAC8" w14:textId="77777777">
      <w:pPr>
        <w:pStyle w:val="FootnoteText"/>
      </w:pPr>
      <w:r>
        <w:rPr>
          <w:rStyle w:val="FootnoteReference"/>
        </w:rPr>
        <w:footnoteRef/>
      </w:r>
      <w:r>
        <w:t xml:space="preserve"> </w:t>
      </w:r>
      <w:r>
        <w:rPr>
          <w:i/>
        </w:rPr>
        <w:t>Id.</w:t>
      </w:r>
      <w:r>
        <w:t xml:space="preserve">; </w:t>
      </w:r>
      <w:r>
        <w:rPr>
          <w:i/>
        </w:rPr>
        <w:t>see generally</w:t>
      </w:r>
      <w:r w:rsidRPr="008D57AF">
        <w:t xml:space="preserve"> </w:t>
      </w:r>
      <w:r w:rsidRPr="008D57AF">
        <w:rPr>
          <w:i/>
        </w:rPr>
        <w:t>Updating Part 1 Competitive Bidding Rule</w:t>
      </w:r>
      <w:r>
        <w:rPr>
          <w:i/>
        </w:rPr>
        <w:t>s</w:t>
      </w:r>
      <w:r w:rsidRPr="008F268C">
        <w:t>,</w:t>
      </w:r>
      <w:r>
        <w:rPr>
          <w:i/>
        </w:rPr>
        <w:t xml:space="preserve"> </w:t>
      </w:r>
      <w:r w:rsidRPr="00227484">
        <w:t>Report and Order</w:t>
      </w:r>
      <w:r>
        <w:t xml:space="preserve"> et al.</w:t>
      </w:r>
      <w:r w:rsidRPr="00D368F9">
        <w:t>,</w:t>
      </w:r>
      <w:r>
        <w:rPr>
          <w:i/>
        </w:rPr>
        <w:t xml:space="preserve"> </w:t>
      </w:r>
      <w:r>
        <w:t xml:space="preserve">30 FCC Rcd 7493, 7577, para. 199 (2015) (explaining that similar section 1.2105(c) language prohibiting communicating bids or bidding strategies “in any manner” bars “communicating bids or bidding information, either directly or indirectly”); </w:t>
      </w:r>
      <w:r w:rsidRPr="00227484">
        <w:rPr>
          <w:i/>
        </w:rPr>
        <w:t>Cascade Access, L.L.C.,</w:t>
      </w:r>
      <w:r>
        <w:t xml:space="preserve"> Forfeiture Order, 28 FCC Rcd 141, 144, para. 7 (EB 2013) (rejecting argument that the communication was not prohibited because it did not reveal the “substance” of Cascade’s bids or bidding strategies).</w:t>
      </w:r>
    </w:p>
  </w:footnote>
  <w:footnote w:id="23">
    <w:p w:rsidR="00A477B7" w:rsidP="00A477B7" w14:paraId="42267762" w14:textId="12D1282B">
      <w:pPr>
        <w:pStyle w:val="FootnoteText"/>
      </w:pPr>
      <w:r>
        <w:rPr>
          <w:rStyle w:val="FootnoteReference"/>
        </w:rPr>
        <w:footnoteRef/>
      </w:r>
      <w:r>
        <w:t xml:space="preserve"> </w:t>
      </w:r>
      <w:r w:rsidR="00902B79">
        <w:t>47 CFR</w:t>
      </w:r>
      <w:r>
        <w:t xml:space="preserve"> § 1.21002(c).</w:t>
      </w:r>
    </w:p>
  </w:footnote>
  <w:footnote w:id="24">
    <w:p w:rsidR="00A477B7" w:rsidP="00A477B7" w14:paraId="58BED419" w14:textId="053B1EDD">
      <w:pPr>
        <w:pStyle w:val="FootnoteText"/>
      </w:pPr>
      <w:r>
        <w:rPr>
          <w:rStyle w:val="FootnoteReference"/>
        </w:rPr>
        <w:footnoteRef/>
      </w:r>
      <w:r>
        <w:t xml:space="preserve"> </w:t>
      </w:r>
      <w:r w:rsidR="003A1F08">
        <w:rPr>
          <w:i/>
        </w:rPr>
        <w:t>Id</w:t>
      </w:r>
      <w:r>
        <w:t>.</w:t>
      </w:r>
    </w:p>
  </w:footnote>
  <w:footnote w:id="25">
    <w:p w:rsidR="008067FE" w:rsidP="008067FE" w14:paraId="63A47C7C" w14:textId="10BEA756">
      <w:pPr>
        <w:pStyle w:val="FootnoteText"/>
      </w:pPr>
      <w:r>
        <w:rPr>
          <w:rStyle w:val="FootnoteReference"/>
        </w:rPr>
        <w:footnoteRef/>
      </w:r>
      <w:r>
        <w:t xml:space="preserve"> </w:t>
      </w:r>
      <w:r w:rsidRPr="00281D9E" w:rsidR="00281D9E">
        <w:rPr>
          <w:i/>
        </w:rPr>
        <w:t>Procedural Amendments to Commission Part 1 Competitive Bidding Rules</w:t>
      </w:r>
      <w:r w:rsidR="00281D9E">
        <w:t xml:space="preserve">, Order, 25 FCC Rcd 521, </w:t>
      </w:r>
      <w:r>
        <w:t>522, para. 4</w:t>
      </w:r>
      <w:r w:rsidR="00281D9E">
        <w:t xml:space="preserve"> (2010)</w:t>
      </w:r>
      <w:r>
        <w:t xml:space="preserve">.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w:t>
      </w:r>
      <w:smartTag w:uri="urn:schemas-microsoft-com:office:smarttags" w:element="PersonName">
        <w:r>
          <w:t>auction</w:t>
        </w:r>
      </w:smartTag>
      <w:r>
        <w:t xml:space="preserve"> applicants.</w:t>
      </w:r>
    </w:p>
  </w:footnote>
  <w:footnote w:id="26">
    <w:p w:rsidR="00C840C7" w14:paraId="5F3C0986" w14:textId="46F177A5">
      <w:pPr>
        <w:pStyle w:val="FootnoteText"/>
      </w:pPr>
      <w:r>
        <w:rPr>
          <w:rStyle w:val="FootnoteReference"/>
        </w:rPr>
        <w:footnoteRef/>
      </w:r>
      <w:r>
        <w:t xml:space="preserve"> A</w:t>
      </w:r>
      <w:r w:rsidRPr="0038667B">
        <w:t xml:space="preserve"> party reporting a</w:t>
      </w:r>
      <w:r>
        <w:t>ny</w:t>
      </w:r>
      <w:r w:rsidRPr="0038667B">
        <w:t xml:space="preserve"> </w:t>
      </w:r>
      <w:r>
        <w:t xml:space="preserve">prohibited </w:t>
      </w:r>
      <w:r w:rsidRPr="0038667B">
        <w:t xml:space="preserve">communication must take care to ensure that any report of a prohibited communication does not itself give rise to a violation of section </w:t>
      </w:r>
      <w:r>
        <w:t>1.21002.</w:t>
      </w:r>
      <w:r w:rsidRPr="0038667B">
        <w:t xml:space="preserve">  For example, a </w:t>
      </w:r>
      <w:r w:rsidRPr="002F4692">
        <w:t>party’s</w:t>
      </w:r>
      <w:r w:rsidRPr="0038667B">
        <w:t xml:space="preserve"> report of a </w:t>
      </w:r>
      <w:r w:rsidRPr="002F4692">
        <w:t>prohibited</w:t>
      </w:r>
      <w:r w:rsidRPr="0038667B">
        <w:t xml:space="preserve"> communication could violate the rule by communicating prohibited information to other applicants through the use of Commission filing procedures that would allow such materials to be made available for public inspection.</w:t>
      </w:r>
    </w:p>
  </w:footnote>
  <w:footnote w:id="27">
    <w:p w:rsidR="008067FE" w:rsidP="008067FE" w14:paraId="38488E85" w14:textId="6B6D54F1">
      <w:pPr>
        <w:pStyle w:val="FootnoteText"/>
      </w:pPr>
      <w:r>
        <w:rPr>
          <w:rStyle w:val="FootnoteReference"/>
        </w:rPr>
        <w:footnoteRef/>
      </w:r>
      <w:r>
        <w:t xml:space="preserve"> </w:t>
      </w:r>
      <w:r>
        <w:rPr>
          <w:i/>
        </w:rPr>
        <w:t xml:space="preserve">See </w:t>
      </w:r>
      <w:r w:rsidRPr="007B699B">
        <w:rPr>
          <w:i/>
        </w:rPr>
        <w:t>Auction 903 Procedures Public Notice</w:t>
      </w:r>
      <w:r>
        <w:t>, 33 FCC Rcd at 1484-85, paras. 159-61.</w:t>
      </w:r>
    </w:p>
  </w:footnote>
  <w:footnote w:id="28">
    <w:p w:rsidR="008067FE" w:rsidP="008067FE" w14:paraId="6717F1A3" w14:textId="77777777">
      <w:pPr>
        <w:pStyle w:val="FootnoteText"/>
      </w:pPr>
      <w:r>
        <w:rPr>
          <w:rStyle w:val="FootnoteReference"/>
        </w:rPr>
        <w:footnoteRef/>
      </w:r>
      <w:r>
        <w:t xml:space="preserve"> </w:t>
      </w:r>
      <w:r>
        <w:rPr>
          <w:i/>
        </w:rPr>
        <w:t xml:space="preserve">See </w:t>
      </w:r>
      <w:r>
        <w:t xml:space="preserve">47 CFR § 0.459.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Pr>
          <w:i/>
        </w:rPr>
        <w:t xml:space="preserve">See </w:t>
      </w:r>
      <w:r w:rsidRPr="005320EB">
        <w:rPr>
          <w:i/>
        </w:rPr>
        <w:t>id.</w:t>
      </w:r>
      <w:r>
        <w:t xml:space="preserve"> § 0.459(a).  </w:t>
      </w:r>
    </w:p>
  </w:footnote>
  <w:footnote w:id="29">
    <w:p w:rsidR="004F4D29" w:rsidRPr="009F1DEC" w:rsidP="004F4D29" w14:paraId="0FE602DC" w14:textId="1F9929A1">
      <w:pPr>
        <w:pStyle w:val="FootnoteText"/>
      </w:pPr>
      <w:r w:rsidRPr="00036746">
        <w:rPr>
          <w:rStyle w:val="FootnoteReference"/>
          <w:sz w:val="20"/>
        </w:rPr>
        <w:footnoteRef/>
      </w:r>
      <w:r w:rsidRPr="009F1DEC">
        <w:rPr>
          <w:i/>
        </w:rPr>
        <w:t xml:space="preserve"> </w:t>
      </w:r>
      <w:r w:rsidR="00A477B7">
        <w:rPr>
          <w:i/>
        </w:rPr>
        <w:t>See</w:t>
      </w:r>
      <w:r w:rsidR="00A477B7">
        <w:t xml:space="preserve">, </w:t>
      </w:r>
      <w:r w:rsidR="00A477B7">
        <w:rPr>
          <w:i/>
        </w:rPr>
        <w:t>e</w:t>
      </w:r>
      <w:r w:rsidR="00A477B7">
        <w:t>.</w:t>
      </w:r>
      <w:r w:rsidR="00A477B7">
        <w:rPr>
          <w:i/>
        </w:rPr>
        <w:t>g</w:t>
      </w:r>
      <w:r w:rsidR="00A477B7">
        <w:t xml:space="preserve">., </w:t>
      </w:r>
      <w:r w:rsidRPr="00D16010" w:rsidR="00D16010">
        <w:rPr>
          <w:i/>
        </w:rPr>
        <w:t>i</w:t>
      </w:r>
      <w:r w:rsidR="00D16010">
        <w:rPr>
          <w:i/>
        </w:rPr>
        <w:t>d.</w:t>
      </w:r>
      <w:r w:rsidR="00A477B7">
        <w:t xml:space="preserve"> § 1.2109(d).  </w:t>
      </w:r>
    </w:p>
  </w:footnote>
  <w:footnote w:id="30">
    <w:p w:rsidR="004F4D29" w:rsidRPr="009F1DEC" w:rsidP="004F4D29" w14:paraId="06087164" w14:textId="00C7958E">
      <w:pPr>
        <w:pStyle w:val="FootnoteText"/>
      </w:pPr>
      <w:r w:rsidRPr="00036746">
        <w:rPr>
          <w:rStyle w:val="FootnoteReference"/>
          <w:sz w:val="20"/>
        </w:rPr>
        <w:footnoteRef/>
      </w:r>
      <w:r w:rsidR="00C840C7">
        <w:rPr>
          <w:i/>
        </w:rPr>
        <w:t xml:space="preserve"> </w:t>
      </w:r>
      <w:r w:rsidRPr="009F1DEC">
        <w:rPr>
          <w:i/>
        </w:rPr>
        <w:t>See</w:t>
      </w:r>
      <w:r w:rsidRPr="009F1DEC">
        <w:t xml:space="preserve"> </w:t>
      </w:r>
      <w:r w:rsidRPr="00036746">
        <w:rPr>
          <w:i/>
        </w:rPr>
        <w:t>Amendment of Part 1 of the Commission’s Rules – Competitive Bidding Procedures</w:t>
      </w:r>
      <w:r w:rsidRPr="009F1DEC">
        <w:t xml:space="preserve">, </w:t>
      </w:r>
      <w:r w:rsidRPr="0026077C">
        <w:t>Third Further Notice of Proposed Rulemaking</w:t>
      </w:r>
      <w:r w:rsidRPr="009F1DEC">
        <w:t>, 14 FCC Rcd 21558, 21560-61</w:t>
      </w:r>
      <w:r>
        <w:t>,</w:t>
      </w:r>
      <w:r w:rsidRPr="009F1DEC">
        <w:t xml:space="preserve"> para. 4 &amp; n.17 (1999)</w:t>
      </w:r>
      <w:r>
        <w:t>,</w:t>
      </w:r>
      <w:r w:rsidRPr="009F1DEC">
        <w:t xml:space="preserve"> quoting </w:t>
      </w:r>
      <w:r w:rsidRPr="00036746">
        <w:rPr>
          <w:i/>
        </w:rPr>
        <w:t>Competitive Bidding</w:t>
      </w:r>
      <w:r w:rsidRPr="009F1DEC">
        <w:t xml:space="preserve"> </w:t>
      </w:r>
      <w:r w:rsidRPr="009F1DEC">
        <w:rPr>
          <w:i/>
        </w:rPr>
        <w:t>Memorandum Opinion and Order</w:t>
      </w:r>
      <w:r w:rsidRPr="009F1DEC">
        <w:t xml:space="preserve">, 9 FCC Rcd </w:t>
      </w:r>
      <w:r>
        <w:t xml:space="preserve">at </w:t>
      </w:r>
      <w:r w:rsidRPr="009F1DEC">
        <w:t>7689</w:t>
      </w:r>
      <w:r>
        <w:t>,</w:t>
      </w:r>
      <w:r w:rsidRPr="009F1DEC">
        <w:t xml:space="preserve"> para 12 (1994) (“[W]e wish to emphasize that all applicants and their owners continue to be subject to existing antitrust laws.  Applicants should note that conduct that is permissible under the Commission’s Rules may be prohibited by the antitrust laws.”); </w:t>
      </w:r>
      <w:r w:rsidRPr="00036746">
        <w:rPr>
          <w:i/>
        </w:rPr>
        <w:t>Implementation of Section 309(j) of the Communications Act – Competitive Bidding</w:t>
      </w:r>
      <w:r w:rsidRPr="009F1DEC">
        <w:t xml:space="preserve">, </w:t>
      </w:r>
      <w:r w:rsidRPr="0026077C">
        <w:t>Fourth Memorandum Opinion and Order</w:t>
      </w:r>
      <w:r w:rsidRPr="009F1DEC">
        <w:t xml:space="preserve">, 9 FCC Rcd 6858, 6869 n.134 (1994) (“[A]pplicants will also be subject to existing antitrust laws.”). </w:t>
      </w:r>
    </w:p>
  </w:footnote>
  <w:footnote w:id="31">
    <w:p w:rsidR="004F4D29" w:rsidRPr="009F1DEC" w:rsidP="004F4D29" w14:paraId="0CF2B70A" w14:textId="3F75A238">
      <w:pPr>
        <w:pStyle w:val="FootnoteText"/>
      </w:pPr>
      <w:r w:rsidRPr="00036746">
        <w:rPr>
          <w:rStyle w:val="FootnoteReference"/>
          <w:sz w:val="20"/>
        </w:rPr>
        <w:footnoteRef/>
      </w:r>
      <w:r w:rsidRPr="009F1DEC">
        <w:t xml:space="preserve"> </w:t>
      </w:r>
      <w:r w:rsidRPr="009F1DEC">
        <w:rPr>
          <w:i/>
        </w:rPr>
        <w:t xml:space="preserve">See </w:t>
      </w:r>
      <w:r w:rsidRPr="009F1DEC">
        <w:t xml:space="preserve">47 CFR § 1.2109(d); </w:t>
      </w:r>
      <w:r w:rsidRPr="009F1DEC">
        <w:rPr>
          <w:i/>
        </w:rPr>
        <w:t xml:space="preserve">see also </w:t>
      </w:r>
      <w:r w:rsidRPr="00281D9E" w:rsidR="00281D9E">
        <w:rPr>
          <w:i/>
        </w:rPr>
        <w:t>Implementation of Section 309(j) of the Communications Act—Competitive Bidding</w:t>
      </w:r>
      <w:r w:rsidR="00281D9E">
        <w:t>, Second Report and Order, 9 FCC Rcd 2348, 2388, para. 226 (1994)</w:t>
      </w:r>
      <w:r w:rsidRPr="009F1DEC">
        <w:t>.</w:t>
      </w:r>
    </w:p>
  </w:footnote>
  <w:footnote w:id="32">
    <w:p w:rsidR="004F4D29" w:rsidRPr="009F1DEC" w:rsidP="004F4D29" w14:paraId="5664A677" w14:textId="77777777">
      <w:pPr>
        <w:pStyle w:val="FootnoteText"/>
      </w:pPr>
      <w:r w:rsidRPr="00036746">
        <w:rPr>
          <w:rStyle w:val="FootnoteReference"/>
          <w:sz w:val="20"/>
        </w:rPr>
        <w:footnoteRef/>
      </w:r>
      <w:r w:rsidRPr="009F1DEC">
        <w:t xml:space="preserve"> </w:t>
      </w:r>
      <w:r w:rsidRPr="009F1DEC">
        <w:rPr>
          <w:i/>
        </w:rPr>
        <w:t>See</w:t>
      </w:r>
      <w:r w:rsidRPr="009F1DEC">
        <w:t xml:space="preserve"> </w:t>
      </w:r>
      <w:r w:rsidRPr="00036746">
        <w:rPr>
          <w:i/>
        </w:rPr>
        <w:t xml:space="preserve">Commission Announces that Mutually Exclusive </w:t>
      </w:r>
      <w:r>
        <w:rPr>
          <w:i/>
        </w:rPr>
        <w:t>“</w:t>
      </w:r>
      <w:r w:rsidRPr="00036746">
        <w:rPr>
          <w:i/>
        </w:rPr>
        <w:t>Short-Form</w:t>
      </w:r>
      <w:r>
        <w:rPr>
          <w:i/>
        </w:rPr>
        <w:t>”</w:t>
      </w:r>
      <w:r w:rsidRPr="00036746">
        <w:rPr>
          <w:i/>
        </w:rPr>
        <w:t xml:space="preserve"> Applications (Form </w:t>
      </w:r>
      <w:r>
        <w:rPr>
          <w:i/>
        </w:rPr>
        <w:t>183</w:t>
      </w:r>
      <w:r w:rsidRPr="00036746">
        <w:rPr>
          <w:i/>
        </w:rPr>
        <w:t>) to Participate in Competitive Bidding Process (</w:t>
      </w:r>
      <w:r>
        <w:rPr>
          <w:i/>
        </w:rPr>
        <w:t>“</w:t>
      </w:r>
      <w:r w:rsidRPr="00036746">
        <w:rPr>
          <w:i/>
        </w:rPr>
        <w:t>Auctions</w:t>
      </w:r>
      <w:r>
        <w:rPr>
          <w:i/>
        </w:rPr>
        <w:t>”</w:t>
      </w:r>
      <w:r w:rsidRPr="00036746">
        <w:rPr>
          <w:i/>
        </w:rPr>
        <w:t xml:space="preserve">) Are Treated as Exempt for </w:t>
      </w:r>
      <w:r w:rsidRPr="009F1DEC">
        <w:rPr>
          <w:i/>
        </w:rPr>
        <w:t>Ex Parte</w:t>
      </w:r>
      <w:r w:rsidRPr="00036746">
        <w:rPr>
          <w:i/>
        </w:rPr>
        <w:t xml:space="preserve"> Purposes</w:t>
      </w:r>
      <w:r w:rsidRPr="009F1DEC">
        <w:t xml:space="preserve">, </w:t>
      </w:r>
      <w:r w:rsidRPr="00036746">
        <w:t>Public Notice</w:t>
      </w:r>
      <w:r w:rsidRPr="009F1DEC">
        <w:t xml:space="preserve">, 9 FCC Rcd 6760 (1994).  </w:t>
      </w:r>
      <w:r w:rsidRPr="009F1DEC">
        <w:rPr>
          <w:i/>
        </w:rPr>
        <w:t>See also</w:t>
      </w:r>
      <w:r w:rsidRPr="009F1DEC">
        <w:t xml:space="preserve"> 47 CFR § 1.1202(d)(1)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380" w14:paraId="6E4E6D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4F4D29" w:rsidP="004F4D29" w14:paraId="71C72373" w14:textId="6F2C60B6">
    <w:pPr>
      <w:pStyle w:val="Header"/>
      <w:rPr>
        <w:sz w:val="22"/>
        <w:szCs w:val="22"/>
      </w:rPr>
    </w:pPr>
    <w:r w:rsidRPr="004F4D29">
      <w:rPr>
        <w:sz w:val="22"/>
        <w:szCs w:val="22"/>
      </w:rPr>
      <w:tab/>
      <w:t>Federal Communications Commission</w:t>
    </w:r>
    <w:r w:rsidRPr="004F4D29">
      <w:rPr>
        <w:sz w:val="22"/>
        <w:szCs w:val="22"/>
      </w:rPr>
      <w:tab/>
    </w:r>
    <w:r w:rsidR="004F4D29">
      <w:rPr>
        <w:sz w:val="22"/>
        <w:szCs w:val="22"/>
      </w:rPr>
      <w:t>DA 18-</w:t>
    </w:r>
    <w:r w:rsidR="004B6980">
      <w:rPr>
        <w:sz w:val="22"/>
        <w:szCs w:val="22"/>
      </w:rPr>
      <w:t>484</w:t>
    </w:r>
  </w:p>
  <w:p w:rsidR="006F7393" w14:paraId="7FA7F7D9" w14:textId="61CCA8F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69DC307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BA8" w:rsidRPr="009D11BE" w:rsidP="00A06BA8" w14:paraId="67F96E88" w14:textId="4DBE267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6BA8" w:rsidP="00A06BA8" w14:textId="77777777">
                          <w:pPr>
                            <w:rPr>
                              <w:rFonts w:ascii="Arial" w:hAnsi="Arial"/>
                              <w:b/>
                            </w:rPr>
                          </w:pPr>
                          <w:r>
                            <w:rPr>
                              <w:rFonts w:ascii="Arial" w:hAnsi="Arial"/>
                              <w:b/>
                            </w:rPr>
                            <w:t>Federal Communications Commission</w:t>
                          </w:r>
                        </w:p>
                        <w:p w:rsidR="00A06BA8" w:rsidP="00A06BA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6BA8" w:rsidP="00A06BA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A06BA8" w:rsidP="00A06BA8" w14:paraId="21D0E7F3" w14:textId="77777777">
                    <w:pPr>
                      <w:rPr>
                        <w:rFonts w:ascii="Arial" w:hAnsi="Arial"/>
                        <w:b/>
                      </w:rPr>
                    </w:pPr>
                    <w:r>
                      <w:rPr>
                        <w:rFonts w:ascii="Arial" w:hAnsi="Arial"/>
                        <w:b/>
                      </w:rPr>
                      <w:t>Federal Communications Commission</w:t>
                    </w:r>
                  </w:p>
                  <w:p w:rsidR="00A06BA8" w:rsidP="00A06BA8" w14:paraId="665F2B3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6BA8" w:rsidP="00A06BA8" w14:paraId="6C09EA4B" w14:textId="77777777">
                    <w:pPr>
                      <w:rPr>
                        <w:rFonts w:ascii="Arial" w:hAnsi="Arial"/>
                        <w:sz w:val="24"/>
                      </w:rPr>
                    </w:pPr>
                    <w:r>
                      <w:rPr>
                        <w:rFonts w:ascii="Arial" w:hAnsi="Arial"/>
                        <w:b/>
                      </w:rPr>
                      <w:t>Washington, D.C. 20554</w:t>
                    </w:r>
                  </w:p>
                </w:txbxContent>
              </v:textbox>
              <w10:wrap anchorx="margin"/>
            </v:shape>
          </w:pict>
        </mc:Fallback>
      </mc:AlternateContent>
    </w:r>
    <w:r>
      <w:rPr>
        <w:noProof/>
        <w:snapToGrid/>
      </w:rPr>
      <w:drawing>
        <wp:inline distT="0" distB="0" distL="0" distR="0">
          <wp:extent cx="552450" cy="552450"/>
          <wp:effectExtent l="0" t="0" r="0" b="0"/>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04835"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52450" cy="552450"/>
                  </a:xfrm>
                  <a:prstGeom prst="rect">
                    <a:avLst/>
                  </a:prstGeom>
                  <a:noFill/>
                  <a:ln>
                    <a:noFill/>
                  </a:ln>
                </pic:spPr>
              </pic:pic>
            </a:graphicData>
          </a:graphic>
        </wp:inline>
      </w:drawing>
    </w:r>
    <w:r w:rsidRPr="009D11BE">
      <w:rPr>
        <w:rFonts w:ascii="Arial" w:hAnsi="Arial" w:cs="Arial"/>
        <w:sz w:val="96"/>
        <w:szCs w:val="96"/>
      </w:rPr>
      <w:t xml:space="preserve"> </w:t>
    </w:r>
    <w:r>
      <w:rPr>
        <w:rFonts w:ascii="Arial" w:hAnsi="Arial" w:cs="Arial"/>
        <w:b/>
        <w:sz w:val="96"/>
      </w:rPr>
      <w:t>PUBLIC NOTICE</w:t>
    </w:r>
  </w:p>
  <w:p w:rsidR="00A06BA8" w:rsidRPr="009D11BE" w:rsidP="00A06BA8" w14:paraId="67124A58" w14:textId="27601181">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6BA8" w:rsidP="00A06BA8" w14:textId="77777777">
                          <w:pPr>
                            <w:spacing w:before="40"/>
                            <w:jc w:val="right"/>
                            <w:rPr>
                              <w:rFonts w:ascii="Arial" w:hAnsi="Arial"/>
                              <w:b/>
                              <w:sz w:val="16"/>
                            </w:rPr>
                          </w:pPr>
                          <w:r>
                            <w:rPr>
                              <w:rFonts w:ascii="Arial" w:hAnsi="Arial"/>
                              <w:b/>
                              <w:sz w:val="16"/>
                            </w:rPr>
                            <w:t>News Media Information: 202-418-0500</w:t>
                          </w:r>
                        </w:p>
                        <w:p w:rsidR="00A06BA8" w:rsidRPr="009C2060" w:rsidP="00A06BA8" w14:textId="77777777">
                          <w:pPr>
                            <w:jc w:val="right"/>
                            <w:rPr>
                              <w:rFonts w:ascii="Arial" w:hAnsi="Arial"/>
                              <w:b/>
                              <w:sz w:val="16"/>
                            </w:rPr>
                          </w:pPr>
                          <w:r w:rsidRPr="009C2060">
                            <w:rPr>
                              <w:rFonts w:ascii="Arial" w:hAnsi="Arial"/>
                              <w:b/>
                              <w:sz w:val="16"/>
                            </w:rPr>
                            <w:t>Internet: www.fcc.gov</w:t>
                          </w:r>
                        </w:p>
                        <w:p w:rsidR="00A06BA8" w:rsidP="00A06BA8" w14:textId="77777777">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A06BA8" w:rsidP="00A06BA8" w14:paraId="536E2F1D" w14:textId="77777777">
                    <w:pPr>
                      <w:spacing w:before="40"/>
                      <w:jc w:val="right"/>
                      <w:rPr>
                        <w:rFonts w:ascii="Arial" w:hAnsi="Arial"/>
                        <w:b/>
                        <w:sz w:val="16"/>
                      </w:rPr>
                    </w:pPr>
                    <w:r>
                      <w:rPr>
                        <w:rFonts w:ascii="Arial" w:hAnsi="Arial"/>
                        <w:b/>
                        <w:sz w:val="16"/>
                      </w:rPr>
                      <w:t>News Media Information: 202-418-0500</w:t>
                    </w:r>
                  </w:p>
                  <w:p w:rsidR="00A06BA8" w:rsidRPr="009C2060" w:rsidP="00A06BA8" w14:paraId="45124CB8" w14:textId="77777777">
                    <w:pPr>
                      <w:jc w:val="right"/>
                      <w:rPr>
                        <w:rFonts w:ascii="Arial" w:hAnsi="Arial"/>
                        <w:b/>
                        <w:sz w:val="16"/>
                      </w:rPr>
                    </w:pPr>
                    <w:r w:rsidRPr="009C2060">
                      <w:rPr>
                        <w:rFonts w:ascii="Arial" w:hAnsi="Arial"/>
                        <w:b/>
                        <w:sz w:val="16"/>
                      </w:rPr>
                      <w:t>Internet: www.fcc.gov</w:t>
                    </w:r>
                  </w:p>
                  <w:p w:rsidR="00A06BA8" w:rsidP="00A06BA8" w14:paraId="6A15F8DF" w14:textId="77777777">
                    <w:pPr>
                      <w:jc w:val="right"/>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CE02D8E0"/>
    <w:lvl w:ilvl="0">
      <w:start w:val="1"/>
      <w:numFmt w:val="decimal"/>
      <w:pStyle w:val="Para"/>
      <w:lvlText w:val="%1."/>
      <w:lvlJc w:val="left"/>
      <w:pPr>
        <w:tabs>
          <w:tab w:val="num" w:pos="1170"/>
        </w:tabs>
        <w:ind w:left="90" w:firstLine="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4"/>
    <w:lvlOverride w:ilvl="0">
      <w:startOverride w:val="1"/>
    </w:lvlOverride>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D9"/>
    <w:rsid w:val="00016D38"/>
    <w:rsid w:val="00036039"/>
    <w:rsid w:val="00036746"/>
    <w:rsid w:val="00037F90"/>
    <w:rsid w:val="00043846"/>
    <w:rsid w:val="000444D4"/>
    <w:rsid w:val="00045537"/>
    <w:rsid w:val="0006608D"/>
    <w:rsid w:val="00077495"/>
    <w:rsid w:val="000875BF"/>
    <w:rsid w:val="00091AC7"/>
    <w:rsid w:val="00096D8C"/>
    <w:rsid w:val="000A36B8"/>
    <w:rsid w:val="000C0B65"/>
    <w:rsid w:val="000C1A4D"/>
    <w:rsid w:val="000E1388"/>
    <w:rsid w:val="000E3D42"/>
    <w:rsid w:val="000E5884"/>
    <w:rsid w:val="000E6FEA"/>
    <w:rsid w:val="000F6819"/>
    <w:rsid w:val="000F6C05"/>
    <w:rsid w:val="00102B51"/>
    <w:rsid w:val="0011768A"/>
    <w:rsid w:val="00122BD5"/>
    <w:rsid w:val="00131543"/>
    <w:rsid w:val="0015219D"/>
    <w:rsid w:val="00152850"/>
    <w:rsid w:val="00152B41"/>
    <w:rsid w:val="001639E0"/>
    <w:rsid w:val="00163A83"/>
    <w:rsid w:val="001B69FC"/>
    <w:rsid w:val="001C22E9"/>
    <w:rsid w:val="001D5C67"/>
    <w:rsid w:val="001D6BCF"/>
    <w:rsid w:val="001E01CA"/>
    <w:rsid w:val="001E3C57"/>
    <w:rsid w:val="001F50AF"/>
    <w:rsid w:val="00200412"/>
    <w:rsid w:val="00226822"/>
    <w:rsid w:val="00227484"/>
    <w:rsid w:val="002350C2"/>
    <w:rsid w:val="00250DCA"/>
    <w:rsid w:val="00250E5E"/>
    <w:rsid w:val="0026077C"/>
    <w:rsid w:val="00261122"/>
    <w:rsid w:val="00261D6D"/>
    <w:rsid w:val="002808B0"/>
    <w:rsid w:val="00281D9E"/>
    <w:rsid w:val="00284BAB"/>
    <w:rsid w:val="00285017"/>
    <w:rsid w:val="002860A5"/>
    <w:rsid w:val="00290A68"/>
    <w:rsid w:val="00290BCD"/>
    <w:rsid w:val="00293A11"/>
    <w:rsid w:val="00296DD7"/>
    <w:rsid w:val="00297023"/>
    <w:rsid w:val="002A13C4"/>
    <w:rsid w:val="002A2D2E"/>
    <w:rsid w:val="002B2A9E"/>
    <w:rsid w:val="002B2FF5"/>
    <w:rsid w:val="002B4580"/>
    <w:rsid w:val="002C0A29"/>
    <w:rsid w:val="002C14AA"/>
    <w:rsid w:val="002E3A7B"/>
    <w:rsid w:val="002E3DCF"/>
    <w:rsid w:val="002E7F18"/>
    <w:rsid w:val="002F4692"/>
    <w:rsid w:val="00300C89"/>
    <w:rsid w:val="003033D2"/>
    <w:rsid w:val="0032667B"/>
    <w:rsid w:val="003375F1"/>
    <w:rsid w:val="00342CFC"/>
    <w:rsid w:val="00343749"/>
    <w:rsid w:val="0035335C"/>
    <w:rsid w:val="00361F82"/>
    <w:rsid w:val="00366380"/>
    <w:rsid w:val="00385030"/>
    <w:rsid w:val="0038667B"/>
    <w:rsid w:val="003A1F08"/>
    <w:rsid w:val="003B0550"/>
    <w:rsid w:val="003B694F"/>
    <w:rsid w:val="003C6EBA"/>
    <w:rsid w:val="003D4822"/>
    <w:rsid w:val="003D4CA4"/>
    <w:rsid w:val="003E2E06"/>
    <w:rsid w:val="003E3372"/>
    <w:rsid w:val="003F171C"/>
    <w:rsid w:val="003F7275"/>
    <w:rsid w:val="0041223B"/>
    <w:rsid w:val="00412FC5"/>
    <w:rsid w:val="00413E9A"/>
    <w:rsid w:val="00421C48"/>
    <w:rsid w:val="00422276"/>
    <w:rsid w:val="004242F1"/>
    <w:rsid w:val="00445A00"/>
    <w:rsid w:val="00451B0F"/>
    <w:rsid w:val="00483252"/>
    <w:rsid w:val="0049445C"/>
    <w:rsid w:val="00496106"/>
    <w:rsid w:val="004A31DF"/>
    <w:rsid w:val="004B6980"/>
    <w:rsid w:val="004C12D0"/>
    <w:rsid w:val="004C2D50"/>
    <w:rsid w:val="004C2EE3"/>
    <w:rsid w:val="004E4A22"/>
    <w:rsid w:val="004F4D29"/>
    <w:rsid w:val="004F68BA"/>
    <w:rsid w:val="00506E9A"/>
    <w:rsid w:val="00511968"/>
    <w:rsid w:val="005320EB"/>
    <w:rsid w:val="0054069B"/>
    <w:rsid w:val="00554FE5"/>
    <w:rsid w:val="0055614C"/>
    <w:rsid w:val="0056371A"/>
    <w:rsid w:val="00565843"/>
    <w:rsid w:val="00574272"/>
    <w:rsid w:val="005861C4"/>
    <w:rsid w:val="005A1E26"/>
    <w:rsid w:val="005B044E"/>
    <w:rsid w:val="005B2B43"/>
    <w:rsid w:val="005B599F"/>
    <w:rsid w:val="005D4E7C"/>
    <w:rsid w:val="005E2807"/>
    <w:rsid w:val="005E31F8"/>
    <w:rsid w:val="005F274A"/>
    <w:rsid w:val="00601CCD"/>
    <w:rsid w:val="006039EE"/>
    <w:rsid w:val="00605F32"/>
    <w:rsid w:val="00607BA5"/>
    <w:rsid w:val="006137D0"/>
    <w:rsid w:val="00626EB6"/>
    <w:rsid w:val="0064081C"/>
    <w:rsid w:val="00644A4A"/>
    <w:rsid w:val="00655D03"/>
    <w:rsid w:val="00657249"/>
    <w:rsid w:val="00665FB7"/>
    <w:rsid w:val="00675AB1"/>
    <w:rsid w:val="00683F84"/>
    <w:rsid w:val="006A6A81"/>
    <w:rsid w:val="006C41D8"/>
    <w:rsid w:val="006C6761"/>
    <w:rsid w:val="006C7537"/>
    <w:rsid w:val="006E26AF"/>
    <w:rsid w:val="006F7393"/>
    <w:rsid w:val="0070224F"/>
    <w:rsid w:val="007115F7"/>
    <w:rsid w:val="0072595A"/>
    <w:rsid w:val="00731B3C"/>
    <w:rsid w:val="007327C9"/>
    <w:rsid w:val="00734BD0"/>
    <w:rsid w:val="00741E68"/>
    <w:rsid w:val="00743AFE"/>
    <w:rsid w:val="007730DE"/>
    <w:rsid w:val="00775A78"/>
    <w:rsid w:val="00785689"/>
    <w:rsid w:val="00790FA4"/>
    <w:rsid w:val="0079754B"/>
    <w:rsid w:val="007A1E6D"/>
    <w:rsid w:val="007A76AB"/>
    <w:rsid w:val="007B0A9D"/>
    <w:rsid w:val="007B699B"/>
    <w:rsid w:val="007C1CAD"/>
    <w:rsid w:val="00802B10"/>
    <w:rsid w:val="008067FE"/>
    <w:rsid w:val="00813FB3"/>
    <w:rsid w:val="00814CC3"/>
    <w:rsid w:val="00817663"/>
    <w:rsid w:val="00822CE0"/>
    <w:rsid w:val="008339F1"/>
    <w:rsid w:val="00837C62"/>
    <w:rsid w:val="008409EB"/>
    <w:rsid w:val="00841AB1"/>
    <w:rsid w:val="0084322A"/>
    <w:rsid w:val="00854B58"/>
    <w:rsid w:val="0085542E"/>
    <w:rsid w:val="00871C62"/>
    <w:rsid w:val="008A4631"/>
    <w:rsid w:val="008B06F3"/>
    <w:rsid w:val="008D1E89"/>
    <w:rsid w:val="008D57AF"/>
    <w:rsid w:val="008F268C"/>
    <w:rsid w:val="008F539D"/>
    <w:rsid w:val="00902B79"/>
    <w:rsid w:val="00905B28"/>
    <w:rsid w:val="00910FD4"/>
    <w:rsid w:val="0092095B"/>
    <w:rsid w:val="00920C78"/>
    <w:rsid w:val="00926503"/>
    <w:rsid w:val="0093484B"/>
    <w:rsid w:val="00943AA1"/>
    <w:rsid w:val="009479D8"/>
    <w:rsid w:val="00967452"/>
    <w:rsid w:val="0099399F"/>
    <w:rsid w:val="009C2060"/>
    <w:rsid w:val="009C2912"/>
    <w:rsid w:val="009D11BE"/>
    <w:rsid w:val="009E7D59"/>
    <w:rsid w:val="009F1DEC"/>
    <w:rsid w:val="00A06BA8"/>
    <w:rsid w:val="00A24568"/>
    <w:rsid w:val="00A24608"/>
    <w:rsid w:val="00A30650"/>
    <w:rsid w:val="00A4223D"/>
    <w:rsid w:val="00A45F4F"/>
    <w:rsid w:val="00A477B7"/>
    <w:rsid w:val="00A50A63"/>
    <w:rsid w:val="00A600A9"/>
    <w:rsid w:val="00A62734"/>
    <w:rsid w:val="00A933BE"/>
    <w:rsid w:val="00AA26F1"/>
    <w:rsid w:val="00AA3671"/>
    <w:rsid w:val="00AA55B7"/>
    <w:rsid w:val="00AA5B9E"/>
    <w:rsid w:val="00AA65C5"/>
    <w:rsid w:val="00AB2407"/>
    <w:rsid w:val="00AB53DF"/>
    <w:rsid w:val="00AC2E42"/>
    <w:rsid w:val="00AD7E9F"/>
    <w:rsid w:val="00AE4A97"/>
    <w:rsid w:val="00AF46E8"/>
    <w:rsid w:val="00AF763E"/>
    <w:rsid w:val="00B0161D"/>
    <w:rsid w:val="00B07E5C"/>
    <w:rsid w:val="00B12A5D"/>
    <w:rsid w:val="00B168F5"/>
    <w:rsid w:val="00B33698"/>
    <w:rsid w:val="00B74C2F"/>
    <w:rsid w:val="00B77488"/>
    <w:rsid w:val="00B811F7"/>
    <w:rsid w:val="00B922E6"/>
    <w:rsid w:val="00B92EE8"/>
    <w:rsid w:val="00BA5DC6"/>
    <w:rsid w:val="00BA6196"/>
    <w:rsid w:val="00BA71D6"/>
    <w:rsid w:val="00BB09BD"/>
    <w:rsid w:val="00BB2930"/>
    <w:rsid w:val="00BC22C2"/>
    <w:rsid w:val="00BC6D8C"/>
    <w:rsid w:val="00BD65BF"/>
    <w:rsid w:val="00BD7EE6"/>
    <w:rsid w:val="00BE46C5"/>
    <w:rsid w:val="00C0060B"/>
    <w:rsid w:val="00C01363"/>
    <w:rsid w:val="00C12FFA"/>
    <w:rsid w:val="00C15D5D"/>
    <w:rsid w:val="00C3273A"/>
    <w:rsid w:val="00C34006"/>
    <w:rsid w:val="00C354D8"/>
    <w:rsid w:val="00C426B1"/>
    <w:rsid w:val="00C57558"/>
    <w:rsid w:val="00C60499"/>
    <w:rsid w:val="00C60F22"/>
    <w:rsid w:val="00C65321"/>
    <w:rsid w:val="00C74FEF"/>
    <w:rsid w:val="00C82B6B"/>
    <w:rsid w:val="00C840C7"/>
    <w:rsid w:val="00C874A4"/>
    <w:rsid w:val="00C90D6A"/>
    <w:rsid w:val="00CA0EBE"/>
    <w:rsid w:val="00CA65A2"/>
    <w:rsid w:val="00CB30D2"/>
    <w:rsid w:val="00CB7FEA"/>
    <w:rsid w:val="00CC406A"/>
    <w:rsid w:val="00CC72B6"/>
    <w:rsid w:val="00CD74D5"/>
    <w:rsid w:val="00CE3DF5"/>
    <w:rsid w:val="00CE7B3F"/>
    <w:rsid w:val="00CF7635"/>
    <w:rsid w:val="00D0218D"/>
    <w:rsid w:val="00D16010"/>
    <w:rsid w:val="00D368F9"/>
    <w:rsid w:val="00D42B4E"/>
    <w:rsid w:val="00D44B32"/>
    <w:rsid w:val="00D578E6"/>
    <w:rsid w:val="00D6313B"/>
    <w:rsid w:val="00D735E4"/>
    <w:rsid w:val="00D7480B"/>
    <w:rsid w:val="00D77400"/>
    <w:rsid w:val="00D95962"/>
    <w:rsid w:val="00D96A87"/>
    <w:rsid w:val="00DA2529"/>
    <w:rsid w:val="00DA69BC"/>
    <w:rsid w:val="00DB0A6A"/>
    <w:rsid w:val="00DB0F18"/>
    <w:rsid w:val="00DB130A"/>
    <w:rsid w:val="00DB5FB4"/>
    <w:rsid w:val="00DC10A1"/>
    <w:rsid w:val="00DC4C65"/>
    <w:rsid w:val="00DC655F"/>
    <w:rsid w:val="00DD1979"/>
    <w:rsid w:val="00DD2954"/>
    <w:rsid w:val="00DD7EBD"/>
    <w:rsid w:val="00DE4EB4"/>
    <w:rsid w:val="00DF3168"/>
    <w:rsid w:val="00DF46E1"/>
    <w:rsid w:val="00DF62B6"/>
    <w:rsid w:val="00E07225"/>
    <w:rsid w:val="00E12F4B"/>
    <w:rsid w:val="00E2202D"/>
    <w:rsid w:val="00E5287B"/>
    <w:rsid w:val="00E5409F"/>
    <w:rsid w:val="00E60D71"/>
    <w:rsid w:val="00E71E31"/>
    <w:rsid w:val="00E7285F"/>
    <w:rsid w:val="00E92B8D"/>
    <w:rsid w:val="00E93EDE"/>
    <w:rsid w:val="00EA011C"/>
    <w:rsid w:val="00EA0212"/>
    <w:rsid w:val="00EA4F6A"/>
    <w:rsid w:val="00EB479B"/>
    <w:rsid w:val="00EC1533"/>
    <w:rsid w:val="00EC2DC8"/>
    <w:rsid w:val="00EC3EE5"/>
    <w:rsid w:val="00EE40D5"/>
    <w:rsid w:val="00EF69C5"/>
    <w:rsid w:val="00F021FA"/>
    <w:rsid w:val="00F062A7"/>
    <w:rsid w:val="00F072E3"/>
    <w:rsid w:val="00F126FA"/>
    <w:rsid w:val="00F41BD5"/>
    <w:rsid w:val="00F57ACA"/>
    <w:rsid w:val="00F62E97"/>
    <w:rsid w:val="00F64209"/>
    <w:rsid w:val="00F711FD"/>
    <w:rsid w:val="00F73578"/>
    <w:rsid w:val="00F774D9"/>
    <w:rsid w:val="00F77707"/>
    <w:rsid w:val="00F807F4"/>
    <w:rsid w:val="00F905D4"/>
    <w:rsid w:val="00F92508"/>
    <w:rsid w:val="00F93BF5"/>
    <w:rsid w:val="00F967B1"/>
    <w:rsid w:val="00FB493B"/>
    <w:rsid w:val="00FB57AA"/>
    <w:rsid w:val="00FB62C4"/>
    <w:rsid w:val="00FE1593"/>
    <w:rsid w:val="00FE395C"/>
    <w:rsid w:val="00FF57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4F4D29"/>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 Char"/>
    <w:link w:val="FootnoteText"/>
    <w:rsid w:val="004F4D29"/>
  </w:style>
  <w:style w:type="paragraph" w:customStyle="1" w:styleId="Para">
    <w:name w:val="Para"/>
    <w:basedOn w:val="Normal"/>
    <w:rsid w:val="004F4D29"/>
    <w:pPr>
      <w:numPr>
        <w:numId w:val="8"/>
      </w:numPr>
    </w:pPr>
  </w:style>
  <w:style w:type="character" w:customStyle="1" w:styleId="a">
    <w:name w:val="a"/>
    <w:rsid w:val="004F4D29"/>
  </w:style>
  <w:style w:type="character" w:styleId="CommentReference">
    <w:name w:val="annotation reference"/>
    <w:uiPriority w:val="99"/>
    <w:semiHidden/>
    <w:unhideWhenUsed/>
    <w:rsid w:val="004F4D29"/>
    <w:rPr>
      <w:sz w:val="16"/>
      <w:szCs w:val="16"/>
    </w:rPr>
  </w:style>
  <w:style w:type="paragraph" w:styleId="CommentText">
    <w:name w:val="annotation text"/>
    <w:basedOn w:val="Normal"/>
    <w:link w:val="CommentTextChar"/>
    <w:uiPriority w:val="99"/>
    <w:semiHidden/>
    <w:unhideWhenUsed/>
    <w:rsid w:val="004F4D29"/>
    <w:rPr>
      <w:sz w:val="20"/>
    </w:rPr>
  </w:style>
  <w:style w:type="character" w:customStyle="1" w:styleId="CommentTextChar">
    <w:name w:val="Comment Text Char"/>
    <w:basedOn w:val="DefaultParagraphFont"/>
    <w:link w:val="CommentText"/>
    <w:uiPriority w:val="99"/>
    <w:semiHidden/>
    <w:rsid w:val="004F4D29"/>
    <w:rPr>
      <w:snapToGrid w:val="0"/>
      <w:kern w:val="28"/>
    </w:rPr>
  </w:style>
  <w:style w:type="character" w:customStyle="1" w:styleId="ParaNumCharChar1">
    <w:name w:val="ParaNum Char Char1"/>
    <w:link w:val="ParaNum"/>
    <w:locked/>
    <w:rsid w:val="004F4D29"/>
    <w:rPr>
      <w:snapToGrid w:val="0"/>
      <w:kern w:val="28"/>
      <w:sz w:val="22"/>
    </w:rPr>
  </w:style>
  <w:style w:type="paragraph" w:styleId="BalloonText">
    <w:name w:val="Balloon Text"/>
    <w:basedOn w:val="Normal"/>
    <w:link w:val="BalloonTextChar"/>
    <w:uiPriority w:val="99"/>
    <w:semiHidden/>
    <w:unhideWhenUsed/>
    <w:rsid w:val="004F4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D29"/>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C65321"/>
    <w:rPr>
      <w:b/>
      <w:bCs/>
    </w:rPr>
  </w:style>
  <w:style w:type="character" w:customStyle="1" w:styleId="CommentSubjectChar">
    <w:name w:val="Comment Subject Char"/>
    <w:basedOn w:val="CommentTextChar"/>
    <w:link w:val="CommentSubject"/>
    <w:uiPriority w:val="99"/>
    <w:semiHidden/>
    <w:rsid w:val="00C65321"/>
    <w:rPr>
      <w:b/>
      <w:bCs/>
      <w:snapToGrid w:val="0"/>
      <w:kern w:val="28"/>
    </w:rPr>
  </w:style>
  <w:style w:type="character" w:customStyle="1" w:styleId="FootnoteTextChar2">
    <w:name w:val="Footnote Text Char2"/>
    <w:aliases w:val="Footnote Text Char Char Char Char Char,Footnote Text Char Char1,Footnote Text Char2 Char Char2 Char2 Char Char Char,Footnote Text Char4 Char Char1 Char Char Char,Footnote Text Char5 Char Char Char,f Char1"/>
    <w:rsid w:val="002B4580"/>
  </w:style>
  <w:style w:type="character" w:customStyle="1" w:styleId="ParaNumChar">
    <w:name w:val="ParaNum Char"/>
    <w:locked/>
    <w:rsid w:val="00BE46C5"/>
    <w:rPr>
      <w:rFonts w:eastAsia="Times New Roman" w:cs="Times New Roman"/>
      <w:snapToGrid w:val="0"/>
      <w:kern w:val="28"/>
      <w:sz w:val="22"/>
      <w:szCs w:val="20"/>
    </w:rPr>
  </w:style>
  <w:style w:type="character" w:customStyle="1" w:styleId="UnresolvedMention">
    <w:name w:val="Unresolved Mention"/>
    <w:basedOn w:val="DefaultParagraphFont"/>
    <w:uiPriority w:val="99"/>
    <w:semiHidden/>
    <w:unhideWhenUsed/>
    <w:rsid w:val="00C874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CA359-3C0A-4CF1-8C09-FDD58A3A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2018-05-14T16:22:14Z</dcterms:created>
  <dcterms:modified xsi:type="dcterms:W3CDTF">2018-05-14T16:22:14Z</dcterms:modified>
</cp:coreProperties>
</file>