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E7817" w:rsidP="005E7817" w14:paraId="1A2D8F62" w14:textId="77777777">
      <w:pPr>
        <w:pStyle w:val="Header"/>
      </w:pPr>
      <w:bookmarkStart w:id="0" w:name="_GoBack"/>
      <w:bookmarkEnd w:id="0"/>
      <w:r>
        <w:rPr>
          <w:noProof/>
        </w:rPr>
        <mc:AlternateContent>
          <mc:Choice Requires="wps">
            <w:drawing>
              <wp:anchor distT="0" distB="0" distL="114300" distR="114300" simplePos="0" relativeHeight="25166438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EditPoints="1" noChangeArrowheads="1" noChangeShapeType="1" noTextEdit="1"/>
                      </wps:cNvSpPr>
                      <wps:spPr bwMode="auto">
                        <a:xfrm>
                          <a:off x="0" y="0"/>
                          <a:ext cx="3108960" cy="640080"/>
                        </a:xfrm>
                        <a:prstGeom prst="rect">
                          <a:avLst/>
                        </a:prstGeom>
                        <a:solidFill>
                          <a:srgbClr val="FFFFFF"/>
                        </a:solidFill>
                        <a:ln>
                          <a:noFill/>
                        </a:ln>
                      </wps:spPr>
                      <wps:txbx>
                        <w:txbxContent>
                          <w:p w:rsidR="00CA410E" w:rsidP="005E7817" w14:textId="77777777">
                            <w:pPr>
                              <w:rPr>
                                <w:rFonts w:ascii="Arial" w:hAnsi="Arial"/>
                                <w:b/>
                              </w:rPr>
                            </w:pPr>
                            <w:r>
                              <w:rPr>
                                <w:rFonts w:ascii="Arial" w:hAnsi="Arial"/>
                                <w:b/>
                              </w:rPr>
                              <w:t>Federal Communications Commission</w:t>
                            </w:r>
                          </w:p>
                          <w:p w:rsidR="00CA410E" w:rsidP="005E781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A410E" w:rsidP="005E781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5408" o:allowincell="f" stroked="f">
                <o:lock v:ext="edit" aspectratio="t" verticies="t" text="t" shapetype="t"/>
                <v:textbox>
                  <w:txbxContent>
                    <w:p w:rsidR="00CA410E" w:rsidP="005E7817" w14:paraId="679FAC81" w14:textId="77777777">
                      <w:pPr>
                        <w:rPr>
                          <w:rFonts w:ascii="Arial" w:hAnsi="Arial"/>
                          <w:b/>
                        </w:rPr>
                      </w:pPr>
                      <w:r>
                        <w:rPr>
                          <w:rFonts w:ascii="Arial" w:hAnsi="Arial"/>
                          <w:b/>
                        </w:rPr>
                        <w:t>Federal Communications Commission</w:t>
                      </w:r>
                    </w:p>
                    <w:p w:rsidR="00CA410E" w:rsidP="005E7817" w14:paraId="73A9C9C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A410E" w:rsidP="005E7817" w14:paraId="53AF776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6432"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205006" name="Picture 6" descr="fcc_logo"/>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817">
        <w:t>PUBLIC NOTICE</w:t>
      </w:r>
    </w:p>
    <w:p w:rsidR="00D537EF" w:rsidP="00297A2A" w14:paraId="60E253C1"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-38100</wp:posOffset>
                </wp:positionH>
                <wp:positionV relativeFrom="paragraph">
                  <wp:posOffset>27940</wp:posOffset>
                </wp:positionV>
                <wp:extent cx="3108960" cy="640080"/>
                <wp:effectExtent l="0" t="0" r="0" b="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EditPoints="1" noChangeArrowheads="1" noChangeShapeType="1" noTextEdit="1"/>
                      </wps:cNvSpPr>
                      <wps:spPr bwMode="auto">
                        <a:xfrm>
                          <a:off x="0" y="0"/>
                          <a:ext cx="3108960" cy="640080"/>
                        </a:xfrm>
                        <a:prstGeom prst="rect">
                          <a:avLst/>
                        </a:prstGeom>
                        <a:solidFill>
                          <a:srgbClr val="FFFFFF"/>
                        </a:solidFill>
                        <a:ln>
                          <a:noFill/>
                        </a:ln>
                      </wps:spPr>
                      <wps:txbx>
                        <w:txbxContent>
                          <w:p w:rsidR="00CA410E" w:rsidP="005E7817" w14:textId="77777777">
                            <w:pPr>
                              <w:rPr>
                                <w:rFonts w:ascii="Arial" w:hAnsi="Arial"/>
                                <w:sz w:val="24"/>
                              </w:rPr>
                            </w:pPr>
                          </w:p>
                          <w:p w:rsidR="00CA410E" w14:textId="77777777">
                            <w:pPr>
                              <w:rPr>
                                <w:rFonts w:ascii="Arial" w:hAnsi="Arial"/>
                                <w:sz w:val="2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26" type="#_x0000_t202" style="width:244.8pt;height:50.4pt;margin-top:2.2pt;margin-left:-3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o:lock v:ext="edit" aspectratio="t" verticies="t" text="t" shapetype="t"/>
                <v:textbox>
                  <w:txbxContent>
                    <w:p w:rsidR="00CA410E" w:rsidP="005E7817" w14:paraId="20EF1523" w14:textId="77777777">
                      <w:pPr>
                        <w:rPr>
                          <w:rFonts w:ascii="Arial" w:hAnsi="Arial"/>
                          <w:sz w:val="24"/>
                        </w:rPr>
                      </w:pPr>
                    </w:p>
                    <w:p w:rsidR="00CA410E" w14:paraId="0F0AA3AE"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0" b="0"/>
                <wp:wrapNone/>
                <wp:docPr id="1"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CnPr>
                        <a:cxnSpLocks noChangeAspect="1" noEditPoints="1" noChangeArrowheads="1"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4" o:spid="_x0000_s1027"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o:lock v:ext="edit" aspectratio="t" verticies="t"/>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3"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EditPoints="1" noChangeArrowheads="1" noChangeShapeType="1" noTextEdit="1"/>
                      </wps:cNvSpPr>
                      <wps:spPr bwMode="auto">
                        <a:xfrm>
                          <a:off x="0" y="0"/>
                          <a:ext cx="2640965" cy="447675"/>
                        </a:xfrm>
                        <a:prstGeom prst="rect">
                          <a:avLst/>
                        </a:prstGeom>
                        <a:solidFill>
                          <a:srgbClr val="FFFFFF"/>
                        </a:solidFill>
                        <a:ln>
                          <a:noFill/>
                        </a:ln>
                      </wps:spPr>
                      <wps:txbx>
                        <w:txbxContent>
                          <w:p w:rsidR="00CA410E" w14:textId="77777777">
                            <w:pPr>
                              <w:spacing w:before="40"/>
                              <w:jc w:val="right"/>
                              <w:rPr>
                                <w:rFonts w:ascii="Arial" w:hAnsi="Arial"/>
                                <w:b/>
                                <w:sz w:val="16"/>
                              </w:rPr>
                            </w:pPr>
                            <w:r>
                              <w:rPr>
                                <w:rFonts w:ascii="Arial" w:hAnsi="Arial"/>
                                <w:b/>
                                <w:sz w:val="16"/>
                              </w:rPr>
                              <w:t>News Media Information 202 / 418-0500</w:t>
                            </w:r>
                          </w:p>
                          <w:p w:rsidR="00CA410E" w14:textId="40E61286">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037AB3">
                              <w:rPr>
                                <w:rFonts w:ascii="Arial" w:hAnsi="Arial"/>
                                <w:b/>
                                <w:sz w:val="16"/>
                              </w:rPr>
                              <w:instrText>HYPERLINK "https://www.fcc.gov/"</w:instrText>
                            </w:r>
                            <w:r>
                              <w:rPr>
                                <w:rFonts w:ascii="Arial" w:hAnsi="Arial"/>
                                <w:b/>
                                <w:sz w:val="16"/>
                              </w:rPr>
                              <w:fldChar w:fldCharType="separate"/>
                            </w:r>
                            <w:r>
                              <w:rPr>
                                <w:rStyle w:val="Hyperlink"/>
                                <w:rFonts w:ascii="Arial" w:hAnsi="Arial"/>
                                <w:b/>
                                <w:sz w:val="16"/>
                              </w:rPr>
                              <w:t>h</w:t>
                            </w:r>
                            <w:bookmarkEnd w:id="1"/>
                            <w:r>
                              <w:rPr>
                                <w:rStyle w:val="Hyperlink"/>
                                <w:rFonts w:ascii="Arial" w:hAnsi="Arial"/>
                                <w:b/>
                                <w:sz w:val="16"/>
                              </w:rPr>
                              <w:t>ttps://www.fcc.gov</w:t>
                            </w:r>
                            <w:r>
                              <w:rPr>
                                <w:rFonts w:ascii="Arial" w:hAnsi="Arial"/>
                                <w:b/>
                                <w:sz w:val="16"/>
                              </w:rPr>
                              <w:fldChar w:fldCharType="end"/>
                            </w:r>
                          </w:p>
                          <w:p w:rsidR="00CA410E"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28"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o:lock v:ext="edit" aspectratio="t" verticies="t" text="t" shapetype="t"/>
                <v:textbox inset=",0,,0">
                  <w:txbxContent>
                    <w:p w:rsidR="00CA410E" w14:paraId="7EDF4B4A" w14:textId="77777777">
                      <w:pPr>
                        <w:spacing w:before="40"/>
                        <w:jc w:val="right"/>
                        <w:rPr>
                          <w:rFonts w:ascii="Arial" w:hAnsi="Arial"/>
                          <w:b/>
                          <w:sz w:val="16"/>
                        </w:rPr>
                      </w:pPr>
                      <w:r>
                        <w:rPr>
                          <w:rFonts w:ascii="Arial" w:hAnsi="Arial"/>
                          <w:b/>
                          <w:sz w:val="16"/>
                        </w:rPr>
                        <w:t>News Media Information 202 / 418-0500</w:t>
                      </w:r>
                    </w:p>
                    <w:p w:rsidR="00CA410E" w14:paraId="5758502A" w14:textId="40E61286">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037AB3">
                        <w:rPr>
                          <w:rFonts w:ascii="Arial" w:hAnsi="Arial"/>
                          <w:b/>
                          <w:sz w:val="16"/>
                        </w:rPr>
                        <w:instrText>HYPERLINK "https://www.fcc.gov/"</w:instrText>
                      </w:r>
                      <w:r>
                        <w:rPr>
                          <w:rFonts w:ascii="Arial" w:hAnsi="Arial"/>
                          <w:b/>
                          <w:sz w:val="16"/>
                        </w:rPr>
                        <w:fldChar w:fldCharType="separate"/>
                      </w:r>
                      <w:r>
                        <w:rPr>
                          <w:rStyle w:val="Hyperlink"/>
                          <w:rFonts w:ascii="Arial" w:hAnsi="Arial"/>
                          <w:b/>
                          <w:sz w:val="16"/>
                        </w:rPr>
                        <w:t>h</w:t>
                      </w:r>
                      <w:bookmarkEnd w:id="1"/>
                      <w:r>
                        <w:rPr>
                          <w:rStyle w:val="Hyperlink"/>
                          <w:rFonts w:ascii="Arial" w:hAnsi="Arial"/>
                          <w:b/>
                          <w:sz w:val="16"/>
                        </w:rPr>
                        <w:t>ttps://www.fcc.gov</w:t>
                      </w:r>
                      <w:r>
                        <w:rPr>
                          <w:rFonts w:ascii="Arial" w:hAnsi="Arial"/>
                          <w:b/>
                          <w:sz w:val="16"/>
                        </w:rPr>
                        <w:fldChar w:fldCharType="end"/>
                      </w:r>
                    </w:p>
                    <w:p w:rsidR="00CA410E" w14:paraId="720845E1" w14:textId="77777777">
                      <w:pPr>
                        <w:jc w:val="right"/>
                      </w:pPr>
                      <w:r>
                        <w:rPr>
                          <w:rFonts w:ascii="Arial" w:hAnsi="Arial"/>
                          <w:b/>
                          <w:sz w:val="16"/>
                        </w:rPr>
                        <w:t>TTY: 1-888-835-5322</w:t>
                      </w:r>
                    </w:p>
                  </w:txbxContent>
                </v:textbox>
              </v:shape>
            </w:pict>
          </mc:Fallback>
        </mc:AlternateContent>
      </w:r>
    </w:p>
    <w:p w:rsidR="00D537EF" w14:paraId="65B3F2F2" w14:textId="4B56F94D">
      <w:pPr>
        <w:jc w:val="right"/>
        <w:rPr>
          <w:b/>
          <w:sz w:val="24"/>
        </w:rPr>
      </w:pPr>
      <w:r>
        <w:rPr>
          <w:b/>
          <w:sz w:val="24"/>
        </w:rPr>
        <w:t>DA 1</w:t>
      </w:r>
      <w:r w:rsidR="00BF3BF2">
        <w:rPr>
          <w:b/>
          <w:sz w:val="24"/>
        </w:rPr>
        <w:t>8</w:t>
      </w:r>
      <w:r>
        <w:rPr>
          <w:b/>
          <w:sz w:val="24"/>
        </w:rPr>
        <w:t>-</w:t>
      </w:r>
      <w:r w:rsidR="008F0A4B">
        <w:rPr>
          <w:b/>
          <w:sz w:val="24"/>
        </w:rPr>
        <w:t>493</w:t>
      </w:r>
    </w:p>
    <w:p w:rsidR="00D537EF" w14:paraId="437C13F7" w14:textId="265FF854">
      <w:pPr>
        <w:spacing w:before="60"/>
        <w:jc w:val="right"/>
        <w:rPr>
          <w:b/>
          <w:sz w:val="24"/>
        </w:rPr>
      </w:pPr>
      <w:r>
        <w:rPr>
          <w:b/>
          <w:sz w:val="24"/>
        </w:rPr>
        <w:t xml:space="preserve">Released:  </w:t>
      </w:r>
      <w:r w:rsidR="00653BD2">
        <w:rPr>
          <w:b/>
          <w:sz w:val="24"/>
        </w:rPr>
        <w:t>May</w:t>
      </w:r>
      <w:r w:rsidR="004E1BA7">
        <w:rPr>
          <w:b/>
          <w:sz w:val="24"/>
        </w:rPr>
        <w:t xml:space="preserve"> </w:t>
      </w:r>
      <w:r w:rsidR="00B570B0">
        <w:rPr>
          <w:b/>
          <w:sz w:val="24"/>
        </w:rPr>
        <w:t>14</w:t>
      </w:r>
      <w:r w:rsidR="00F66028">
        <w:rPr>
          <w:b/>
          <w:sz w:val="24"/>
        </w:rPr>
        <w:t>, 201</w:t>
      </w:r>
      <w:r w:rsidR="00BF3BF2">
        <w:rPr>
          <w:b/>
          <w:sz w:val="24"/>
        </w:rPr>
        <w:t>8</w:t>
      </w:r>
    </w:p>
    <w:p w:rsidR="00D537EF" w14:paraId="0A16D3B5" w14:textId="77777777">
      <w:pPr>
        <w:jc w:val="right"/>
        <w:rPr>
          <w:sz w:val="24"/>
        </w:rPr>
      </w:pPr>
    </w:p>
    <w:p w:rsidR="00D537EF" w:rsidP="0080683A" w14:paraId="28C48C97" w14:textId="00FDC406">
      <w:pPr>
        <w:spacing w:after="240"/>
        <w:jc w:val="center"/>
        <w:rPr>
          <w:rFonts w:ascii="Times New Roman Bold" w:hAnsi="Times New Roman Bold"/>
          <w:b/>
          <w:caps/>
          <w:sz w:val="24"/>
        </w:rPr>
      </w:pPr>
      <w:r>
        <w:rPr>
          <w:rFonts w:ascii="Times New Roman Bold" w:hAnsi="Times New Roman Bold"/>
          <w:b/>
          <w:caps/>
          <w:sz w:val="24"/>
        </w:rPr>
        <w:t xml:space="preserve">CONSUMER AND GOVERNMENTAL AFFAIRS BUREAU SEEKS COMMENT ON </w:t>
      </w:r>
      <w:r w:rsidR="004C2D36">
        <w:rPr>
          <w:rFonts w:ascii="Times New Roman Bold" w:hAnsi="Times New Roman Bold"/>
          <w:b/>
          <w:caps/>
          <w:sz w:val="24"/>
        </w:rPr>
        <w:t xml:space="preserve">INTERPRETATION OF </w:t>
      </w:r>
      <w:r>
        <w:rPr>
          <w:rFonts w:ascii="Times New Roman Bold" w:hAnsi="Times New Roman Bold"/>
          <w:b/>
          <w:caps/>
          <w:sz w:val="24"/>
        </w:rPr>
        <w:t xml:space="preserve">the telephone consumer protection act </w:t>
      </w:r>
      <w:r w:rsidR="00251B19">
        <w:rPr>
          <w:rFonts w:ascii="Times New Roman Bold" w:hAnsi="Times New Roman Bold"/>
          <w:b/>
          <w:caps/>
          <w:sz w:val="24"/>
        </w:rPr>
        <w:t xml:space="preserve">IN LIGHT OF THE </w:t>
      </w:r>
      <w:r w:rsidR="0018577A">
        <w:rPr>
          <w:rFonts w:ascii="Times New Roman Bold" w:hAnsi="Times New Roman Bold"/>
          <w:b/>
          <w:caps/>
          <w:sz w:val="24"/>
        </w:rPr>
        <w:t xml:space="preserve">D.C. CircuIt’S </w:t>
      </w:r>
      <w:r w:rsidR="00251B19">
        <w:rPr>
          <w:rFonts w:ascii="Times New Roman Bold" w:hAnsi="Times New Roman Bold"/>
          <w:b/>
          <w:caps/>
          <w:sz w:val="24"/>
        </w:rPr>
        <w:t>ACA INTERNATIONAL DECISION</w:t>
      </w:r>
    </w:p>
    <w:p w:rsidR="00D537EF" w14:paraId="17523B6C" w14:textId="79378F2B">
      <w:pPr>
        <w:jc w:val="center"/>
        <w:rPr>
          <w:b/>
          <w:sz w:val="24"/>
        </w:rPr>
      </w:pPr>
      <w:r>
        <w:rPr>
          <w:b/>
          <w:sz w:val="24"/>
        </w:rPr>
        <w:t>CG Dock</w:t>
      </w:r>
      <w:r w:rsidR="00BF3BF2">
        <w:rPr>
          <w:b/>
          <w:sz w:val="24"/>
        </w:rPr>
        <w:t xml:space="preserve">et No. </w:t>
      </w:r>
      <w:r w:rsidRPr="00700AF7" w:rsidR="00814582">
        <w:rPr>
          <w:b/>
          <w:sz w:val="24"/>
        </w:rPr>
        <w:t>18</w:t>
      </w:r>
      <w:r w:rsidRPr="00700AF7" w:rsidR="00BF3BF2">
        <w:rPr>
          <w:b/>
          <w:sz w:val="24"/>
        </w:rPr>
        <w:t>-</w:t>
      </w:r>
      <w:r w:rsidR="00700AF7">
        <w:rPr>
          <w:b/>
          <w:sz w:val="24"/>
        </w:rPr>
        <w:t>152</w:t>
      </w:r>
    </w:p>
    <w:p w:rsidR="00814582" w14:paraId="48BE6B69" w14:textId="77777777">
      <w:pPr>
        <w:jc w:val="center"/>
        <w:rPr>
          <w:b/>
          <w:sz w:val="24"/>
        </w:rPr>
      </w:pPr>
      <w:r>
        <w:rPr>
          <w:b/>
          <w:sz w:val="24"/>
        </w:rPr>
        <w:t>CG Docket No. 02-278</w:t>
      </w:r>
    </w:p>
    <w:p w:rsidR="00D537EF" w14:paraId="4C2B786E" w14:textId="77777777">
      <w:pPr>
        <w:jc w:val="center"/>
        <w:rPr>
          <w:sz w:val="24"/>
        </w:rPr>
      </w:pPr>
    </w:p>
    <w:p w:rsidR="00D537EF" w:rsidRPr="006B092E" w14:paraId="3AB7F345" w14:textId="3BFC0F6A">
      <w:pPr>
        <w:rPr>
          <w:b/>
          <w:szCs w:val="22"/>
        </w:rPr>
      </w:pPr>
      <w:r w:rsidRPr="006B092E">
        <w:rPr>
          <w:b/>
          <w:szCs w:val="22"/>
        </w:rPr>
        <w:t xml:space="preserve">Comment Date:  </w:t>
      </w:r>
      <w:r w:rsidR="00B570B0">
        <w:rPr>
          <w:b/>
          <w:szCs w:val="22"/>
        </w:rPr>
        <w:t>June 13, 2018</w:t>
      </w:r>
    </w:p>
    <w:p w:rsidR="00D537EF" w:rsidRPr="006B092E" w14:paraId="3DFC79B4" w14:textId="44FB37DA">
      <w:pPr>
        <w:rPr>
          <w:b/>
          <w:szCs w:val="22"/>
        </w:rPr>
      </w:pPr>
      <w:r w:rsidRPr="006B092E">
        <w:rPr>
          <w:b/>
          <w:szCs w:val="22"/>
        </w:rPr>
        <w:t xml:space="preserve">Reply Comment Date:  </w:t>
      </w:r>
      <w:r w:rsidR="00B570B0">
        <w:rPr>
          <w:b/>
          <w:szCs w:val="22"/>
        </w:rPr>
        <w:t>June 28, 2018</w:t>
      </w:r>
    </w:p>
    <w:p w:rsidR="00D537EF" w:rsidRPr="006B092E" w14:paraId="19D5CDDA" w14:textId="77777777">
      <w:pPr>
        <w:rPr>
          <w:szCs w:val="22"/>
        </w:rPr>
      </w:pPr>
    </w:p>
    <w:p w:rsidR="00CA4144" w:rsidRPr="006B092E" w:rsidP="004833A2" w14:paraId="3A46E768" w14:textId="49043E6E">
      <w:pPr>
        <w:spacing w:after="120"/>
        <w:ind w:firstLine="720"/>
        <w:rPr>
          <w:szCs w:val="22"/>
        </w:rPr>
      </w:pPr>
      <w:r w:rsidRPr="006B092E">
        <w:rPr>
          <w:szCs w:val="22"/>
        </w:rPr>
        <w:t xml:space="preserve">With this Public Notice, we seek comment on </w:t>
      </w:r>
      <w:r w:rsidRPr="006B092E" w:rsidR="004C2D36">
        <w:rPr>
          <w:szCs w:val="22"/>
        </w:rPr>
        <w:t xml:space="preserve">several </w:t>
      </w:r>
      <w:r w:rsidRPr="006B092E">
        <w:rPr>
          <w:szCs w:val="22"/>
        </w:rPr>
        <w:t xml:space="preserve">issues </w:t>
      </w:r>
      <w:r w:rsidRPr="006B092E" w:rsidR="004C2D36">
        <w:rPr>
          <w:szCs w:val="22"/>
        </w:rPr>
        <w:t xml:space="preserve">related to interpretation and implementation of </w:t>
      </w:r>
      <w:r w:rsidRPr="006B092E">
        <w:rPr>
          <w:szCs w:val="22"/>
        </w:rPr>
        <w:t>the Telephone Consumer Protection Act (TCPA)</w:t>
      </w:r>
      <w:r w:rsidRPr="006B092E" w:rsidR="005B7773">
        <w:rPr>
          <w:szCs w:val="22"/>
        </w:rPr>
        <w:t>,</w:t>
      </w:r>
      <w:r>
        <w:rPr>
          <w:rStyle w:val="FootnoteReference"/>
          <w:szCs w:val="22"/>
        </w:rPr>
        <w:footnoteReference w:id="3"/>
      </w:r>
      <w:r w:rsidRPr="006B092E" w:rsidR="004C2D36">
        <w:rPr>
          <w:szCs w:val="22"/>
        </w:rPr>
        <w:t xml:space="preserve"> </w:t>
      </w:r>
      <w:r w:rsidRPr="006B092E" w:rsidR="00890A0E">
        <w:rPr>
          <w:szCs w:val="22"/>
        </w:rPr>
        <w:t xml:space="preserve">following </w:t>
      </w:r>
      <w:r w:rsidRPr="006B092E" w:rsidR="00A71816">
        <w:rPr>
          <w:szCs w:val="22"/>
        </w:rPr>
        <w:t>the</w:t>
      </w:r>
      <w:r w:rsidRPr="006B092E">
        <w:rPr>
          <w:szCs w:val="22"/>
        </w:rPr>
        <w:t xml:space="preserve"> </w:t>
      </w:r>
      <w:r w:rsidRPr="006B092E" w:rsidR="00A71816">
        <w:rPr>
          <w:szCs w:val="22"/>
        </w:rPr>
        <w:t xml:space="preserve">recent </w:t>
      </w:r>
      <w:r w:rsidRPr="006B092E">
        <w:rPr>
          <w:szCs w:val="22"/>
        </w:rPr>
        <w:t>decision of the U.S. Court of Appeals for the District of Columbia</w:t>
      </w:r>
      <w:r w:rsidRPr="006B092E" w:rsidR="00A71816">
        <w:rPr>
          <w:szCs w:val="22"/>
        </w:rPr>
        <w:t xml:space="preserve"> in </w:t>
      </w:r>
      <w:r w:rsidRPr="006B092E" w:rsidR="007C2C15">
        <w:rPr>
          <w:i/>
          <w:szCs w:val="22"/>
        </w:rPr>
        <w:t>ACA Int</w:t>
      </w:r>
      <w:r w:rsidRPr="006B092E" w:rsidR="00A42E1E">
        <w:rPr>
          <w:i/>
          <w:szCs w:val="22"/>
        </w:rPr>
        <w:t>ernational</w:t>
      </w:r>
      <w:r w:rsidRPr="006B092E">
        <w:rPr>
          <w:i/>
          <w:szCs w:val="22"/>
        </w:rPr>
        <w:t xml:space="preserve"> v. FCC</w:t>
      </w:r>
      <w:r w:rsidRPr="006B092E">
        <w:rPr>
          <w:szCs w:val="22"/>
        </w:rPr>
        <w:t>.</w:t>
      </w:r>
      <w:r>
        <w:rPr>
          <w:rStyle w:val="FootnoteReference"/>
          <w:szCs w:val="22"/>
        </w:rPr>
        <w:footnoteReference w:id="4"/>
      </w:r>
    </w:p>
    <w:p w:rsidR="003D14C0" w:rsidP="004833A2" w14:paraId="50D3DBB1" w14:textId="06AACBCA">
      <w:pPr>
        <w:spacing w:after="120"/>
        <w:ind w:firstLine="720"/>
        <w:rPr>
          <w:szCs w:val="22"/>
        </w:rPr>
      </w:pPr>
      <w:r w:rsidRPr="00FA7AED">
        <w:rPr>
          <w:i/>
          <w:szCs w:val="22"/>
        </w:rPr>
        <w:t>First</w:t>
      </w:r>
      <w:r w:rsidRPr="006B092E">
        <w:rPr>
          <w:szCs w:val="22"/>
        </w:rPr>
        <w:t xml:space="preserve">, we seek comment on </w:t>
      </w:r>
      <w:r w:rsidR="00D4511C">
        <w:rPr>
          <w:szCs w:val="22"/>
        </w:rPr>
        <w:t>what constitutes an</w:t>
      </w:r>
      <w:r w:rsidRPr="006B092E" w:rsidR="00F357BC">
        <w:rPr>
          <w:szCs w:val="22"/>
        </w:rPr>
        <w:t xml:space="preserve"> </w:t>
      </w:r>
      <w:r w:rsidRPr="006B092E">
        <w:rPr>
          <w:szCs w:val="22"/>
        </w:rPr>
        <w:t>“automatic telephone dialing system</w:t>
      </w:r>
      <w:r w:rsidR="004833A2">
        <w:rPr>
          <w:szCs w:val="22"/>
        </w:rPr>
        <w:t>.</w:t>
      </w:r>
      <w:r w:rsidRPr="006B092E">
        <w:rPr>
          <w:szCs w:val="22"/>
        </w:rPr>
        <w:t>”</w:t>
      </w:r>
      <w:r>
        <w:rPr>
          <w:rStyle w:val="FootnoteReference"/>
          <w:szCs w:val="22"/>
        </w:rPr>
        <w:footnoteReference w:id="5"/>
      </w:r>
      <w:r w:rsidRPr="006B092E">
        <w:rPr>
          <w:szCs w:val="22"/>
        </w:rPr>
        <w:t xml:space="preserve"> </w:t>
      </w:r>
      <w:r w:rsidRPr="006B092E" w:rsidR="001526B8">
        <w:rPr>
          <w:szCs w:val="22"/>
        </w:rPr>
        <w:t xml:space="preserve"> </w:t>
      </w:r>
      <w:r w:rsidR="004833A2">
        <w:rPr>
          <w:szCs w:val="22"/>
        </w:rPr>
        <w:t xml:space="preserve">The </w:t>
      </w:r>
      <w:r w:rsidRPr="006B092E" w:rsidR="00A71816">
        <w:rPr>
          <w:szCs w:val="22"/>
        </w:rPr>
        <w:t xml:space="preserve">TCPA </w:t>
      </w:r>
      <w:r w:rsidR="004833A2">
        <w:rPr>
          <w:szCs w:val="22"/>
        </w:rPr>
        <w:t xml:space="preserve">defines an automatic telephone dialing system </w:t>
      </w:r>
      <w:r w:rsidRPr="006B092E" w:rsidR="00A71816">
        <w:rPr>
          <w:szCs w:val="22"/>
        </w:rPr>
        <w:t xml:space="preserve">as </w:t>
      </w:r>
      <w:r w:rsidRPr="006B092E" w:rsidR="006D402C">
        <w:rPr>
          <w:szCs w:val="22"/>
        </w:rPr>
        <w:t xml:space="preserve">“equipment which has the </w:t>
      </w:r>
      <w:r w:rsidRPr="00FA7AED" w:rsidR="006D402C">
        <w:rPr>
          <w:i/>
          <w:szCs w:val="22"/>
        </w:rPr>
        <w:t>capacity</w:t>
      </w:r>
      <w:r w:rsidRPr="006B092E" w:rsidR="006D402C">
        <w:rPr>
          <w:szCs w:val="22"/>
        </w:rPr>
        <w:t>—(A) to store or produce telephone numbers to be called, using a random or sequential number generator; and (B) to dial such numbers.”</w:t>
      </w:r>
      <w:r>
        <w:rPr>
          <w:rStyle w:val="FootnoteReference"/>
          <w:szCs w:val="22"/>
        </w:rPr>
        <w:footnoteReference w:id="6"/>
      </w:r>
      <w:r w:rsidRPr="006B092E" w:rsidR="001526B8">
        <w:rPr>
          <w:szCs w:val="22"/>
        </w:rPr>
        <w:t xml:space="preserve">  </w:t>
      </w:r>
      <w:r w:rsidR="00D4511C">
        <w:rPr>
          <w:szCs w:val="22"/>
        </w:rPr>
        <w:t>The Commission had interpreted the term “capacity” to include a device “</w:t>
      </w:r>
      <w:r w:rsidR="00D4511C">
        <w:t>even if, for example, it requires the addition of software to actually perform the functions described in the definition”</w:t>
      </w:r>
      <w:r>
        <w:rPr>
          <w:rStyle w:val="FootnoteReference"/>
        </w:rPr>
        <w:footnoteReference w:id="7"/>
      </w:r>
      <w:r w:rsidR="00D4511C">
        <w:t>—“</w:t>
      </w:r>
      <w:r w:rsidRPr="0040057D" w:rsidR="00D4511C">
        <w:t>an expansive interpretation of ‘capacity’ having the apparent effect of embracing any and all smartphones.”</w:t>
      </w:r>
      <w:r>
        <w:rPr>
          <w:rStyle w:val="FootnoteReference"/>
        </w:rPr>
        <w:footnoteReference w:id="8"/>
      </w:r>
      <w:r w:rsidR="007E3AAC">
        <w:t xml:space="preserve">  </w:t>
      </w:r>
      <w:r w:rsidRPr="006B092E" w:rsidR="004833A2">
        <w:rPr>
          <w:szCs w:val="22"/>
        </w:rPr>
        <w:t xml:space="preserve">The court set aside </w:t>
      </w:r>
      <w:r w:rsidR="007E3AAC">
        <w:rPr>
          <w:szCs w:val="22"/>
        </w:rPr>
        <w:t>this</w:t>
      </w:r>
      <w:r w:rsidRPr="006B092E" w:rsidR="004833A2">
        <w:rPr>
          <w:szCs w:val="22"/>
        </w:rPr>
        <w:t xml:space="preserve"> interpretation</w:t>
      </w:r>
      <w:r w:rsidR="007E3AAC">
        <w:rPr>
          <w:szCs w:val="22"/>
        </w:rPr>
        <w:t>, finding the agency’s “</w:t>
      </w:r>
      <w:r w:rsidR="007E3AAC">
        <w:t>capacious understanding of a device’s ‘capacity’ lies considerably beyond the agency’s zone of delegated authority.”</w:t>
      </w:r>
      <w:r>
        <w:rPr>
          <w:rStyle w:val="FootnoteReference"/>
          <w:szCs w:val="22"/>
        </w:rPr>
        <w:footnoteReference w:id="9"/>
      </w:r>
      <w:r w:rsidRPr="006B092E" w:rsidR="004833A2">
        <w:rPr>
          <w:szCs w:val="22"/>
        </w:rPr>
        <w:t xml:space="preserve"> </w:t>
      </w:r>
      <w:r w:rsidR="004833A2">
        <w:rPr>
          <w:szCs w:val="22"/>
        </w:rPr>
        <w:t xml:space="preserve"> </w:t>
      </w:r>
    </w:p>
    <w:p w:rsidR="0032190A" w:rsidP="004833A2" w14:paraId="3132B93E" w14:textId="1C3CD332">
      <w:pPr>
        <w:spacing w:after="120"/>
        <w:ind w:firstLine="720"/>
        <w:rPr>
          <w:szCs w:val="22"/>
        </w:rPr>
      </w:pPr>
      <w:r w:rsidRPr="006B092E">
        <w:rPr>
          <w:szCs w:val="22"/>
        </w:rPr>
        <w:t xml:space="preserve">We seek comment on how to interpret “capacity” </w:t>
      </w:r>
      <w:r w:rsidRPr="006B092E" w:rsidR="00A71816">
        <w:rPr>
          <w:szCs w:val="22"/>
        </w:rPr>
        <w:t>in light of</w:t>
      </w:r>
      <w:r w:rsidRPr="006B092E" w:rsidR="003A0EB4">
        <w:rPr>
          <w:szCs w:val="22"/>
        </w:rPr>
        <w:t xml:space="preserve"> the court’s guidance</w:t>
      </w:r>
      <w:r w:rsidR="008A0789">
        <w:rPr>
          <w:szCs w:val="22"/>
        </w:rPr>
        <w:t>.  For example, h</w:t>
      </w:r>
      <w:r w:rsidRPr="006B092E" w:rsidR="006B328E">
        <w:rPr>
          <w:szCs w:val="22"/>
        </w:rPr>
        <w:t xml:space="preserve">ow much </w:t>
      </w:r>
      <w:r w:rsidR="005E5C59">
        <w:rPr>
          <w:szCs w:val="22"/>
        </w:rPr>
        <w:t xml:space="preserve">user </w:t>
      </w:r>
      <w:r w:rsidR="008A0789">
        <w:rPr>
          <w:szCs w:val="22"/>
        </w:rPr>
        <w:t>effort should be</w:t>
      </w:r>
      <w:r w:rsidRPr="006B092E" w:rsidR="008A0789">
        <w:rPr>
          <w:szCs w:val="22"/>
        </w:rPr>
        <w:t xml:space="preserve"> </w:t>
      </w:r>
      <w:r w:rsidRPr="006B092E" w:rsidR="006B328E">
        <w:rPr>
          <w:szCs w:val="22"/>
        </w:rPr>
        <w:t xml:space="preserve">required to enable the device to function as an </w:t>
      </w:r>
      <w:r w:rsidR="008A0789">
        <w:rPr>
          <w:szCs w:val="22"/>
        </w:rPr>
        <w:t>automatic telephone dialing system?  D</w:t>
      </w:r>
      <w:r w:rsidRPr="006B092E" w:rsidR="006B328E">
        <w:rPr>
          <w:szCs w:val="22"/>
        </w:rPr>
        <w:t xml:space="preserve">oes </w:t>
      </w:r>
      <w:r w:rsidR="00D15D39">
        <w:rPr>
          <w:szCs w:val="22"/>
        </w:rPr>
        <w:t>equipment</w:t>
      </w:r>
      <w:r w:rsidR="008A0789">
        <w:rPr>
          <w:szCs w:val="22"/>
        </w:rPr>
        <w:t xml:space="preserve"> have the capacity if </w:t>
      </w:r>
      <w:r w:rsidRPr="006B092E" w:rsidR="006B328E">
        <w:rPr>
          <w:szCs w:val="22"/>
        </w:rPr>
        <w:t>it require</w:t>
      </w:r>
      <w:r w:rsidR="008A0789">
        <w:rPr>
          <w:szCs w:val="22"/>
        </w:rPr>
        <w:t>s</w:t>
      </w:r>
      <w:r w:rsidRPr="006B092E" w:rsidR="006B328E">
        <w:rPr>
          <w:szCs w:val="22"/>
        </w:rPr>
        <w:t xml:space="preserve"> the simple flipping of a switch</w:t>
      </w:r>
      <w:r w:rsidR="008A0789">
        <w:rPr>
          <w:szCs w:val="22"/>
        </w:rPr>
        <w:t xml:space="preserve">?  </w:t>
      </w:r>
      <w:r w:rsidR="00B51D3D">
        <w:rPr>
          <w:szCs w:val="22"/>
        </w:rPr>
        <w:t xml:space="preserve">If the addition of software can give it the requisite functionality?  </w:t>
      </w:r>
      <w:r w:rsidR="008A0789">
        <w:rPr>
          <w:szCs w:val="22"/>
        </w:rPr>
        <w:t>If</w:t>
      </w:r>
      <w:r w:rsidRPr="006B092E" w:rsidR="006B328E">
        <w:rPr>
          <w:szCs w:val="22"/>
        </w:rPr>
        <w:t xml:space="preserve"> it require</w:t>
      </w:r>
      <w:r w:rsidR="008A0789">
        <w:rPr>
          <w:szCs w:val="22"/>
        </w:rPr>
        <w:t>s</w:t>
      </w:r>
      <w:r w:rsidRPr="006B092E" w:rsidR="006B328E">
        <w:rPr>
          <w:szCs w:val="22"/>
        </w:rPr>
        <w:t xml:space="preserve"> essentially a top-to-bottom reconstruction of the equipment?  </w:t>
      </w:r>
      <w:r w:rsidR="00D15D39">
        <w:rPr>
          <w:szCs w:val="22"/>
        </w:rPr>
        <w:t>I</w:t>
      </w:r>
      <w:r w:rsidR="008A0789">
        <w:rPr>
          <w:szCs w:val="22"/>
        </w:rPr>
        <w:t xml:space="preserve">n answering that question, </w:t>
      </w:r>
      <w:r w:rsidRPr="006B092E" w:rsidR="006B328E">
        <w:rPr>
          <w:szCs w:val="22"/>
        </w:rPr>
        <w:t xml:space="preserve">what kinds (and how broad a swath) of telephone equipment might then be deemed to qualify as an </w:t>
      </w:r>
      <w:r w:rsidR="008A0789">
        <w:rPr>
          <w:szCs w:val="22"/>
        </w:rPr>
        <w:t>automatic telephone dialing system</w:t>
      </w:r>
      <w:r w:rsidRPr="006B092E" w:rsidR="006B328E">
        <w:rPr>
          <w:szCs w:val="22"/>
        </w:rPr>
        <w:t>?</w:t>
      </w:r>
      <w:r>
        <w:rPr>
          <w:rStyle w:val="FootnoteReference"/>
          <w:szCs w:val="22"/>
        </w:rPr>
        <w:footnoteReference w:id="10"/>
      </w:r>
      <w:r w:rsidRPr="006B092E" w:rsidR="006B328E">
        <w:rPr>
          <w:szCs w:val="22"/>
        </w:rPr>
        <w:t xml:space="preserve">  </w:t>
      </w:r>
      <w:r w:rsidR="00807B47">
        <w:rPr>
          <w:szCs w:val="22"/>
        </w:rPr>
        <w:t>Notably, in light of the court’s guidance that the Commission’s prior interpretation had an “eye-popping sweep,”</w:t>
      </w:r>
      <w:r>
        <w:rPr>
          <w:rStyle w:val="FootnoteReference"/>
          <w:szCs w:val="22"/>
        </w:rPr>
        <w:footnoteReference w:id="11"/>
      </w:r>
      <w:r w:rsidR="00807B47">
        <w:rPr>
          <w:szCs w:val="22"/>
        </w:rPr>
        <w:t xml:space="preserve"> we seek comment on how to more narrowly interpret the word “capacity” to better comport with the congressional findings and the intended reach of the statute.</w:t>
      </w:r>
      <w:r>
        <w:rPr>
          <w:rStyle w:val="FootnoteReference"/>
          <w:szCs w:val="22"/>
        </w:rPr>
        <w:footnoteReference w:id="12"/>
      </w:r>
    </w:p>
    <w:p w:rsidR="00807B47" w:rsidP="004833A2" w14:paraId="2DFA9AA2" w14:textId="2237488C">
      <w:pPr>
        <w:spacing w:after="120"/>
        <w:ind w:firstLine="720"/>
      </w:pPr>
      <w:r>
        <w:rPr>
          <w:szCs w:val="22"/>
        </w:rPr>
        <w:t xml:space="preserve">We seek further comment on the functions a device must </w:t>
      </w:r>
      <w:r w:rsidR="007B4D71">
        <w:rPr>
          <w:szCs w:val="22"/>
        </w:rPr>
        <w:t xml:space="preserve">be able to </w:t>
      </w:r>
      <w:r>
        <w:rPr>
          <w:szCs w:val="22"/>
        </w:rPr>
        <w:t xml:space="preserve">perform to qualify as an automatic telephone dialing system.  </w:t>
      </w:r>
      <w:r w:rsidR="00D15D39">
        <w:rPr>
          <w:szCs w:val="22"/>
        </w:rPr>
        <w:t xml:space="preserve">Again, the </w:t>
      </w:r>
      <w:r w:rsidRPr="006B092E" w:rsidR="00D15D39">
        <w:rPr>
          <w:szCs w:val="22"/>
        </w:rPr>
        <w:t xml:space="preserve">TCPA </w:t>
      </w:r>
      <w:r w:rsidR="00D15D39">
        <w:rPr>
          <w:szCs w:val="22"/>
        </w:rPr>
        <w:t>defines an “</w:t>
      </w:r>
      <w:r w:rsidRPr="00FA7AED" w:rsidR="00D15D39">
        <w:rPr>
          <w:i/>
          <w:szCs w:val="22"/>
        </w:rPr>
        <w:t>automatic</w:t>
      </w:r>
      <w:r w:rsidR="00D15D39">
        <w:rPr>
          <w:szCs w:val="22"/>
        </w:rPr>
        <w:t xml:space="preserve"> telephone dialing system” </w:t>
      </w:r>
      <w:r w:rsidRPr="006B092E" w:rsidR="00D15D39">
        <w:rPr>
          <w:szCs w:val="22"/>
        </w:rPr>
        <w:t xml:space="preserve">as “equipment which has the </w:t>
      </w:r>
      <w:r w:rsidRPr="00FA7AED" w:rsidR="00D15D39">
        <w:rPr>
          <w:szCs w:val="22"/>
        </w:rPr>
        <w:t>capacity</w:t>
      </w:r>
      <w:r w:rsidRPr="006B092E" w:rsidR="00D15D39">
        <w:rPr>
          <w:szCs w:val="22"/>
        </w:rPr>
        <w:t xml:space="preserve">—(A) to store or produce telephone numbers to be called, </w:t>
      </w:r>
      <w:r w:rsidRPr="00FA7AED" w:rsidR="00D15D39">
        <w:rPr>
          <w:i/>
          <w:szCs w:val="22"/>
        </w:rPr>
        <w:t>using a random or sequential number generator</w:t>
      </w:r>
      <w:r w:rsidRPr="006B092E" w:rsidR="00D15D39">
        <w:rPr>
          <w:szCs w:val="22"/>
        </w:rPr>
        <w:t xml:space="preserve">; and (B) to dial </w:t>
      </w:r>
      <w:r w:rsidRPr="00FA7AED" w:rsidR="00D15D39">
        <w:rPr>
          <w:i/>
          <w:szCs w:val="22"/>
        </w:rPr>
        <w:t>such numbers</w:t>
      </w:r>
      <w:r w:rsidRPr="006B092E" w:rsidR="00D15D39">
        <w:rPr>
          <w:szCs w:val="22"/>
        </w:rPr>
        <w:t>.”</w:t>
      </w:r>
      <w:r>
        <w:rPr>
          <w:rStyle w:val="FootnoteReference"/>
          <w:szCs w:val="22"/>
        </w:rPr>
        <w:footnoteReference w:id="13"/>
      </w:r>
      <w:r w:rsidRPr="006B092E" w:rsidR="00D15D39">
        <w:rPr>
          <w:szCs w:val="22"/>
        </w:rPr>
        <w:t xml:space="preserve">  </w:t>
      </w:r>
      <w:r w:rsidR="00392034">
        <w:rPr>
          <w:szCs w:val="22"/>
        </w:rPr>
        <w:t>Regarding the term “automatic,”</w:t>
      </w:r>
      <w:r w:rsidR="00555668">
        <w:rPr>
          <w:szCs w:val="22"/>
        </w:rPr>
        <w:t xml:space="preserve"> the Commission explained that the “basic function[]” of an automatic telephone dialing system is to “</w:t>
      </w:r>
      <w:r w:rsidR="00555668">
        <w:t>dial numbers without human intervention”</w:t>
      </w:r>
      <w:r>
        <w:rPr>
          <w:rStyle w:val="FootnoteReference"/>
        </w:rPr>
        <w:footnoteReference w:id="14"/>
      </w:r>
      <w:r w:rsidR="00555668">
        <w:t xml:space="preserve"> and yet “declined to ‘clarify[] that a dialer is not an [automatic telephone dialing system] unless it has the capacity to dial numbers without human intervention.’”</w:t>
      </w:r>
      <w:r>
        <w:rPr>
          <w:rStyle w:val="FootnoteReference"/>
        </w:rPr>
        <w:footnoteReference w:id="15"/>
      </w:r>
      <w:r w:rsidR="00064269">
        <w:t xml:space="preserve">  As the c</w:t>
      </w:r>
      <w:r w:rsidR="00555668">
        <w:t>ourt put it, “[t]hose side-by-side propositions are difficult to square.”</w:t>
      </w:r>
      <w:r>
        <w:rPr>
          <w:rStyle w:val="FootnoteReference"/>
        </w:rPr>
        <w:footnoteReference w:id="16"/>
      </w:r>
      <w:r w:rsidR="00064269">
        <w:t xml:space="preserve">  The c</w:t>
      </w:r>
      <w:r w:rsidR="00555668">
        <w:t>ourt further noted the Commission said another basic function was to “dial thousands of numbers in a short period of time</w:t>
      </w:r>
      <w:r w:rsidR="00FA7AED">
        <w:t>,</w:t>
      </w:r>
      <w:r w:rsidR="00555668">
        <w:t>”</w:t>
      </w:r>
      <w:r>
        <w:rPr>
          <w:rStyle w:val="FootnoteReference"/>
        </w:rPr>
        <w:footnoteReference w:id="17"/>
      </w:r>
      <w:r w:rsidR="00555668">
        <w:t xml:space="preserve"> </w:t>
      </w:r>
      <w:r w:rsidR="00FA7AED">
        <w:t xml:space="preserve">which </w:t>
      </w:r>
      <w:r w:rsidR="00555668">
        <w:t>left parties “in a significant fog of uncertainty” on how to apply that notation.</w:t>
      </w:r>
      <w:r>
        <w:rPr>
          <w:rStyle w:val="FootnoteReference"/>
        </w:rPr>
        <w:footnoteReference w:id="18"/>
      </w:r>
      <w:r w:rsidR="00555668">
        <w:t xml:space="preserve">  How “automatic” must </w:t>
      </w:r>
      <w:r w:rsidR="00FA7AED">
        <w:t xml:space="preserve">dialing </w:t>
      </w:r>
      <w:r w:rsidR="00555668">
        <w:t xml:space="preserve">be for equipment to qualify as an automatic telephone dialing system?  </w:t>
      </w:r>
      <w:r w:rsidR="00D31C71">
        <w:t xml:space="preserve">Does </w:t>
      </w:r>
      <w:r w:rsidR="007B4D71">
        <w:t xml:space="preserve">the word </w:t>
      </w:r>
      <w:r w:rsidR="00D31C71">
        <w:t>“automatic”</w:t>
      </w:r>
      <w:r w:rsidR="00392034">
        <w:t xml:space="preserve"> </w:t>
      </w:r>
      <w:r w:rsidR="00D31C71">
        <w:t>“</w:t>
      </w:r>
      <w:r w:rsidR="00392034">
        <w:t>envision non-manual dialing of telephone numbers”?</w:t>
      </w:r>
      <w:r>
        <w:rPr>
          <w:rStyle w:val="FootnoteReference"/>
        </w:rPr>
        <w:footnoteReference w:id="19"/>
      </w:r>
      <w:r w:rsidR="00392034">
        <w:t xml:space="preserve">  Must such a system dial numbers without human intervention?  Must it dial thousands of numbers in a short period of time?  If so, what constitutes a short period of time for these purposes?</w:t>
      </w:r>
    </w:p>
    <w:p w:rsidR="00392034" w:rsidRPr="006B092E" w:rsidP="004833A2" w14:paraId="1242A907" w14:textId="7B91B1CF">
      <w:pPr>
        <w:spacing w:after="120"/>
        <w:ind w:firstLine="720"/>
        <w:rPr>
          <w:szCs w:val="22"/>
        </w:rPr>
      </w:pPr>
      <w:r>
        <w:rPr>
          <w:szCs w:val="22"/>
        </w:rPr>
        <w:t xml:space="preserve">Regarding the provisions concerning a “random or sequential number generator,” the </w:t>
      </w:r>
      <w:r w:rsidR="00064269">
        <w:rPr>
          <w:szCs w:val="22"/>
        </w:rPr>
        <w:t>c</w:t>
      </w:r>
      <w:r>
        <w:rPr>
          <w:szCs w:val="22"/>
        </w:rPr>
        <w:t>ourt noted that “</w:t>
      </w:r>
      <w:r>
        <w:t>the 2015 ruling indicates in certain places that a device must be able to generate and dial random or sequential numbers to meet the TCPA’s definition of an autodialer, [and] it also suggests a competing view: that equipment can meet the statutory definition even if it lacks that capacity.”</w:t>
      </w:r>
      <w:r>
        <w:rPr>
          <w:rStyle w:val="FootnoteReference"/>
        </w:rPr>
        <w:footnoteReference w:id="20"/>
      </w:r>
      <w:r>
        <w:t xml:space="preserve">  </w:t>
      </w:r>
      <w:r w:rsidR="006E7020">
        <w:t>T</w:t>
      </w:r>
      <w:r w:rsidR="00064269">
        <w:t>he c</w:t>
      </w:r>
      <w:r>
        <w:t xml:space="preserve">ourt </w:t>
      </w:r>
      <w:r w:rsidR="006E7020">
        <w:t>explained</w:t>
      </w:r>
      <w:r>
        <w:t xml:space="preserve"> “</w:t>
      </w:r>
      <w:r w:rsidR="006E7020">
        <w:t xml:space="preserve">the Commission </w:t>
      </w:r>
      <w:r>
        <w:t>cannot, consistent with reasoned decisionmaking, espouse both competing interpretations in the same order.</w:t>
      </w:r>
      <w:r w:rsidR="006E7020">
        <w:t>”</w:t>
      </w:r>
      <w:r>
        <w:rPr>
          <w:rStyle w:val="FootnoteReference"/>
        </w:rPr>
        <w:footnoteReference w:id="21"/>
      </w:r>
      <w:r w:rsidR="00064269">
        <w:t xml:space="preserve">  And so, like the c</w:t>
      </w:r>
      <w:r w:rsidR="006E7020">
        <w:t>ourt, we seek comment on “which is it</w:t>
      </w:r>
      <w:r w:rsidR="00FA7AED">
        <w:t>?</w:t>
      </w:r>
      <w:r w:rsidR="006E7020">
        <w:t>”  If equipment cannot itself dial random or sequential numbers, can that equipment be an automatic telephone dialing system?</w:t>
      </w:r>
    </w:p>
    <w:p w:rsidR="00C21D0D" w:rsidRPr="006B092E" w:rsidP="004833A2" w14:paraId="1061419D" w14:textId="6D405401">
      <w:pPr>
        <w:spacing w:after="120"/>
        <w:ind w:firstLine="720"/>
        <w:rPr>
          <w:szCs w:val="22"/>
        </w:rPr>
      </w:pPr>
      <w:r>
        <w:rPr>
          <w:szCs w:val="22"/>
        </w:rPr>
        <w:t xml:space="preserve">The </w:t>
      </w:r>
      <w:r w:rsidR="00064269">
        <w:rPr>
          <w:szCs w:val="22"/>
        </w:rPr>
        <w:t>c</w:t>
      </w:r>
      <w:r>
        <w:rPr>
          <w:szCs w:val="22"/>
        </w:rPr>
        <w:t>ourt also noted that the statute prohibits “mak[ing] any call</w:t>
      </w:r>
      <w:r>
        <w:t xml:space="preserve"> . . . using any automatic telephone dialing system”</w:t>
      </w:r>
      <w:r>
        <w:rPr>
          <w:rStyle w:val="FootnoteReference"/>
        </w:rPr>
        <w:footnoteReference w:id="22"/>
      </w:r>
      <w:r>
        <w:t>—</w:t>
      </w:r>
      <w:r w:rsidR="008B7881">
        <w:t>leading to the question</w:t>
      </w:r>
      <w:r w:rsidRPr="006E7020">
        <w:t xml:space="preserve"> </w:t>
      </w:r>
      <w:r w:rsidR="008B7881">
        <w:t>“</w:t>
      </w:r>
      <w:r>
        <w:t xml:space="preserve">does the bar against </w:t>
      </w:r>
      <w:r w:rsidR="008B7881">
        <w:t>‘</w:t>
      </w:r>
      <w:r>
        <w:t>making any call using</w:t>
      </w:r>
      <w:r w:rsidR="008B7881">
        <w:t>’</w:t>
      </w:r>
      <w:r>
        <w:t xml:space="preserve"> an </w:t>
      </w:r>
      <w:r w:rsidR="008B7881">
        <w:t>[automatic telephone dialing system]</w:t>
      </w:r>
      <w:r>
        <w:t xml:space="preserve"> apply only to calls made using the equipment’s </w:t>
      </w:r>
      <w:r w:rsidR="008B7881">
        <w:t>[automatic telephone dialing system]</w:t>
      </w:r>
      <w:r>
        <w:t xml:space="preserve"> functionality</w:t>
      </w:r>
      <w:r w:rsidR="008B7881">
        <w:t>?”</w:t>
      </w:r>
      <w:r>
        <w:rPr>
          <w:rStyle w:val="FootnoteReference"/>
        </w:rPr>
        <w:footnoteReference w:id="23"/>
      </w:r>
      <w:r>
        <w:t xml:space="preserve">  </w:t>
      </w:r>
      <w:r w:rsidR="008B7881">
        <w:t xml:space="preserve">We seek comment on this question.  If a caller does not use equipment as an automatic telephone dialing system, does the statutory prohibition apply?  The </w:t>
      </w:r>
      <w:r w:rsidR="00064269">
        <w:t>c</w:t>
      </w:r>
      <w:r w:rsidR="008B7881">
        <w:t>ourt also noted that adopting such an interpretation could limit the scope of the statutory bar: “the fact that a smartphone could be configured to function as an autodialer would not matter unless the relevant software in fact were loaded onto the phone and were used to initiate calls or send messages.”</w:t>
      </w:r>
      <w:r>
        <w:rPr>
          <w:rStyle w:val="FootnoteReference"/>
        </w:rPr>
        <w:footnoteReference w:id="24"/>
      </w:r>
      <w:r w:rsidR="00064269">
        <w:t xml:space="preserve">  </w:t>
      </w:r>
      <w:r w:rsidR="007B4D71">
        <w:t>Should we adopt this approach?  More broadly, h</w:t>
      </w:r>
      <w:r w:rsidR="00064269">
        <w:t>ow should we interpret these various statutory provisions in harmony?</w:t>
      </w:r>
      <w:r w:rsidR="007A2F08">
        <w:t xml:space="preserve">  We also seek comment on </w:t>
      </w:r>
      <w:r w:rsidR="00F87237">
        <w:t>a petition for declaratory ruling filed by the U.S. Chamber Institute for Legal Reform and several other parties, asking the Commission to clarify the definition of “automatic telephone dialing system” in light of the D.C. Circuit’s decision.</w:t>
      </w:r>
      <w:r>
        <w:rPr>
          <w:rStyle w:val="FootnoteReference"/>
        </w:rPr>
        <w:footnoteReference w:id="25"/>
      </w:r>
    </w:p>
    <w:p w:rsidR="00D07836" w:rsidRPr="006B092E" w:rsidP="004833A2" w14:paraId="7F5B787A" w14:textId="694C3EB2">
      <w:pPr>
        <w:spacing w:after="120"/>
        <w:ind w:firstLine="720"/>
        <w:rPr>
          <w:szCs w:val="22"/>
        </w:rPr>
      </w:pPr>
      <w:r w:rsidRPr="00FA7AED">
        <w:rPr>
          <w:i/>
          <w:szCs w:val="22"/>
        </w:rPr>
        <w:t>Second</w:t>
      </w:r>
      <w:r>
        <w:rPr>
          <w:szCs w:val="22"/>
        </w:rPr>
        <w:t xml:space="preserve">, </w:t>
      </w:r>
      <w:r w:rsidR="00064269">
        <w:rPr>
          <w:szCs w:val="22"/>
        </w:rPr>
        <w:t>w</w:t>
      </w:r>
      <w:r w:rsidRPr="006B092E" w:rsidR="00064269">
        <w:rPr>
          <w:szCs w:val="22"/>
        </w:rPr>
        <w:t xml:space="preserve">e </w:t>
      </w:r>
      <w:r w:rsidRPr="006B092E" w:rsidR="00341625">
        <w:rPr>
          <w:szCs w:val="22"/>
        </w:rPr>
        <w:t xml:space="preserve">seek comment on </w:t>
      </w:r>
      <w:r w:rsidRPr="006B092E" w:rsidR="004C2D36">
        <w:rPr>
          <w:szCs w:val="22"/>
        </w:rPr>
        <w:t xml:space="preserve">how to treat </w:t>
      </w:r>
      <w:r w:rsidRPr="006B092E" w:rsidR="00341625">
        <w:rPr>
          <w:szCs w:val="22"/>
        </w:rPr>
        <w:t>calls to reassigned wireless numbers</w:t>
      </w:r>
      <w:r w:rsidRPr="006B092E" w:rsidR="004C2D36">
        <w:rPr>
          <w:szCs w:val="22"/>
        </w:rPr>
        <w:t xml:space="preserve"> under the TCPA</w:t>
      </w:r>
      <w:r w:rsidRPr="006B092E" w:rsidR="00341625">
        <w:rPr>
          <w:szCs w:val="22"/>
        </w:rPr>
        <w:t xml:space="preserve">.  </w:t>
      </w:r>
      <w:r w:rsidR="00064269">
        <w:rPr>
          <w:szCs w:val="22"/>
        </w:rPr>
        <w:t>The statute carves out calls “</w:t>
      </w:r>
      <w:r w:rsidRPr="00064269" w:rsidR="00064269">
        <w:rPr>
          <w:szCs w:val="22"/>
        </w:rPr>
        <w:t>made with the prior express consent of the called party</w:t>
      </w:r>
      <w:r w:rsidR="00064269">
        <w:rPr>
          <w:szCs w:val="22"/>
        </w:rPr>
        <w:t>” from its prohibitions.</w:t>
      </w:r>
      <w:r>
        <w:rPr>
          <w:rStyle w:val="FootnoteReference"/>
          <w:szCs w:val="22"/>
        </w:rPr>
        <w:footnoteReference w:id="26"/>
      </w:r>
      <w:r w:rsidR="00064269">
        <w:rPr>
          <w:szCs w:val="22"/>
        </w:rPr>
        <w:t xml:space="preserve">  </w:t>
      </w:r>
      <w:r w:rsidRPr="006B092E" w:rsidR="0040111D">
        <w:rPr>
          <w:szCs w:val="22"/>
        </w:rPr>
        <w:t xml:space="preserve">The </w:t>
      </w:r>
      <w:r w:rsidR="00064269">
        <w:rPr>
          <w:szCs w:val="22"/>
        </w:rPr>
        <w:t>c</w:t>
      </w:r>
      <w:r w:rsidRPr="006B092E" w:rsidR="0040111D">
        <w:rPr>
          <w:szCs w:val="22"/>
        </w:rPr>
        <w:t xml:space="preserve">ourt </w:t>
      </w:r>
      <w:r w:rsidRPr="006B092E" w:rsidR="004136AA">
        <w:rPr>
          <w:szCs w:val="22"/>
        </w:rPr>
        <w:t xml:space="preserve">vacated </w:t>
      </w:r>
      <w:r w:rsidR="00064269">
        <w:rPr>
          <w:szCs w:val="22"/>
        </w:rPr>
        <w:t xml:space="preserve">as </w:t>
      </w:r>
      <w:r w:rsidRPr="006B092E" w:rsidR="00064269">
        <w:rPr>
          <w:szCs w:val="22"/>
        </w:rPr>
        <w:t>arbitrary and capricious</w:t>
      </w:r>
      <w:r w:rsidR="00064269">
        <w:rPr>
          <w:szCs w:val="22"/>
        </w:rPr>
        <w:t xml:space="preserve"> </w:t>
      </w:r>
      <w:r w:rsidRPr="006B092E" w:rsidR="004C2D36">
        <w:rPr>
          <w:szCs w:val="22"/>
        </w:rPr>
        <w:t xml:space="preserve">the Commission’s </w:t>
      </w:r>
      <w:r w:rsidR="00064269">
        <w:rPr>
          <w:szCs w:val="22"/>
        </w:rPr>
        <w:t>interpretation of the term “called party,”</w:t>
      </w:r>
      <w:r w:rsidRPr="006B092E" w:rsidR="004C2D36">
        <w:rPr>
          <w:szCs w:val="22"/>
        </w:rPr>
        <w:t xml:space="preserve"> including a one-call safe harbor for callers to detect reassignments</w:t>
      </w:r>
      <w:r w:rsidR="00CD0802">
        <w:rPr>
          <w:szCs w:val="22"/>
        </w:rPr>
        <w:t>,</w:t>
      </w:r>
      <w:r>
        <w:rPr>
          <w:rStyle w:val="FootnoteReference"/>
          <w:szCs w:val="22"/>
        </w:rPr>
        <w:footnoteReference w:id="27"/>
      </w:r>
      <w:r w:rsidRPr="006B092E" w:rsidR="0035551A">
        <w:rPr>
          <w:szCs w:val="22"/>
        </w:rPr>
        <w:t xml:space="preserve"> </w:t>
      </w:r>
      <w:r w:rsidR="00CD0802">
        <w:rPr>
          <w:szCs w:val="22"/>
        </w:rPr>
        <w:t>and noted that the Commission “</w:t>
      </w:r>
      <w:r w:rsidR="00CD0802">
        <w:t>consistently adopted a ‘reasonable reliance’ approach when interpreting the TCPA’s approval of calls based on ‘prior express consent.’”</w:t>
      </w:r>
      <w:r>
        <w:rPr>
          <w:rStyle w:val="FootnoteReference"/>
        </w:rPr>
        <w:footnoteReference w:id="28"/>
      </w:r>
      <w:r w:rsidR="00CD0802">
        <w:t xml:space="preserve">  </w:t>
      </w:r>
      <w:r w:rsidRPr="006B092E" w:rsidR="005C55A3">
        <w:rPr>
          <w:szCs w:val="22"/>
        </w:rPr>
        <w:t xml:space="preserve">We seek comment on </w:t>
      </w:r>
      <w:r w:rsidRPr="006B092E" w:rsidR="004C2D36">
        <w:rPr>
          <w:szCs w:val="22"/>
        </w:rPr>
        <w:t xml:space="preserve">how </w:t>
      </w:r>
      <w:r w:rsidR="00CD0802">
        <w:rPr>
          <w:szCs w:val="22"/>
        </w:rPr>
        <w:t>to</w:t>
      </w:r>
      <w:r w:rsidRPr="006B092E" w:rsidR="004C2D36">
        <w:rPr>
          <w:szCs w:val="22"/>
        </w:rPr>
        <w:t xml:space="preserve"> interpret the </w:t>
      </w:r>
      <w:r w:rsidRPr="006B092E" w:rsidR="00EE6244">
        <w:rPr>
          <w:szCs w:val="22"/>
        </w:rPr>
        <w:t>term “called party”</w:t>
      </w:r>
      <w:r w:rsidRPr="006B092E" w:rsidR="00E02225">
        <w:rPr>
          <w:szCs w:val="22"/>
        </w:rPr>
        <w:t xml:space="preserve"> </w:t>
      </w:r>
      <w:r w:rsidRPr="006B092E" w:rsidR="0032190A">
        <w:rPr>
          <w:szCs w:val="22"/>
        </w:rPr>
        <w:t xml:space="preserve">for calls to </w:t>
      </w:r>
      <w:r w:rsidRPr="006B092E" w:rsidR="004C2D36">
        <w:rPr>
          <w:szCs w:val="22"/>
        </w:rPr>
        <w:t>reassigned numbers.</w:t>
      </w:r>
      <w:r>
        <w:rPr>
          <w:rStyle w:val="FootnoteReference"/>
          <w:szCs w:val="22"/>
        </w:rPr>
        <w:footnoteReference w:id="29"/>
      </w:r>
      <w:r w:rsidRPr="006B092E" w:rsidR="004C2D36">
        <w:rPr>
          <w:szCs w:val="22"/>
        </w:rPr>
        <w:t xml:space="preserve">  </w:t>
      </w:r>
      <w:r w:rsidR="00CD0802">
        <w:rPr>
          <w:szCs w:val="22"/>
        </w:rPr>
        <w:t xml:space="preserve">Does the “called party” refer </w:t>
      </w:r>
      <w:r w:rsidR="00CD0802">
        <w:t xml:space="preserve">to “the person the caller expected to reach”?  </w:t>
      </w:r>
      <w:r w:rsidR="0040064C">
        <w:t xml:space="preserve">Or does it refer to the party the caller reasonably expected to reach?  </w:t>
      </w:r>
      <w:r w:rsidR="00CD0802">
        <w:t>Or does it refer to “the person actually reached, the wireless number’s present-day subscriber after reassignment</w:t>
      </w:r>
      <w:r w:rsidR="00972C5B">
        <w:t>”</w:t>
      </w:r>
      <w:r w:rsidR="00CD0802">
        <w:t>?</w:t>
      </w:r>
      <w:r>
        <w:rPr>
          <w:rStyle w:val="FootnoteReference"/>
        </w:rPr>
        <w:footnoteReference w:id="30"/>
      </w:r>
      <w:r w:rsidR="00CD0802">
        <w:t xml:space="preserve">  </w:t>
      </w:r>
      <w:r w:rsidR="0040064C">
        <w:t>Or does it refer to a “‘customary user’ (‘such as a close relative on a subscriber’s family calling plan’), rather than . . . the subscriber herself</w:t>
      </w:r>
      <w:r w:rsidR="00972C5B">
        <w:t>”</w:t>
      </w:r>
      <w:r w:rsidR="0040064C">
        <w:t>?</w:t>
      </w:r>
      <w:r>
        <w:rPr>
          <w:rStyle w:val="FootnoteReference"/>
        </w:rPr>
        <w:footnoteReference w:id="31"/>
      </w:r>
      <w:r w:rsidR="0040064C">
        <w:t xml:space="preserve">  What interpretation best implements the statute </w:t>
      </w:r>
      <w:r w:rsidRPr="006B092E" w:rsidR="0040064C">
        <w:rPr>
          <w:szCs w:val="22"/>
        </w:rPr>
        <w:t>in light of the decision</w:t>
      </w:r>
      <w:r w:rsidR="007B4D71">
        <w:rPr>
          <w:szCs w:val="22"/>
        </w:rPr>
        <w:t xml:space="preserve">? </w:t>
      </w:r>
      <w:r w:rsidR="0040064C">
        <w:rPr>
          <w:szCs w:val="22"/>
        </w:rPr>
        <w:t xml:space="preserve"> </w:t>
      </w:r>
      <w:r w:rsidR="007B4D71">
        <w:rPr>
          <w:szCs w:val="22"/>
        </w:rPr>
        <w:t xml:space="preserve">Should we maintain </w:t>
      </w:r>
      <w:r w:rsidR="0040064C">
        <w:rPr>
          <w:szCs w:val="22"/>
        </w:rPr>
        <w:t>our reasonable-reliance approach to prior express consent?  Is a reassigned numbers safe harbor necessary, and if so, what is our specific statutory authority for such a safe harbor?  May we, consistent with the statute, interpret the term “called party” to mean different things in differing contexts?</w:t>
      </w:r>
      <w:r>
        <w:rPr>
          <w:rStyle w:val="FootnoteReference"/>
          <w:szCs w:val="22"/>
        </w:rPr>
        <w:footnoteReference w:id="32"/>
      </w:r>
      <w:r w:rsidR="00C005AB">
        <w:rPr>
          <w:szCs w:val="22"/>
        </w:rPr>
        <w:t xml:space="preserve">  How should the Commission’s proceeding to establish a reassigned numbers database impact our interpretation, if at all?</w:t>
      </w:r>
    </w:p>
    <w:p w:rsidR="005F6A16" w:rsidRPr="006B092E" w:rsidP="004833A2" w14:paraId="2594E916" w14:textId="23F22D4F">
      <w:pPr>
        <w:spacing w:after="120"/>
        <w:ind w:firstLine="720"/>
        <w:rPr>
          <w:szCs w:val="22"/>
        </w:rPr>
      </w:pPr>
      <w:r w:rsidRPr="006641B9">
        <w:rPr>
          <w:i/>
          <w:szCs w:val="22"/>
        </w:rPr>
        <w:t>Third</w:t>
      </w:r>
      <w:r w:rsidRPr="006B092E">
        <w:rPr>
          <w:szCs w:val="22"/>
        </w:rPr>
        <w:t xml:space="preserve">, we seek comment on </w:t>
      </w:r>
      <w:r w:rsidR="00C005AB">
        <w:rPr>
          <w:szCs w:val="22"/>
        </w:rPr>
        <w:t>how a called party may revoke prior express</w:t>
      </w:r>
      <w:r w:rsidRPr="006B092E">
        <w:rPr>
          <w:szCs w:val="22"/>
        </w:rPr>
        <w:t xml:space="preserve"> consent to receive robocalls.  </w:t>
      </w:r>
      <w:r w:rsidRPr="006B092E" w:rsidR="00625322">
        <w:rPr>
          <w:szCs w:val="22"/>
        </w:rPr>
        <w:t xml:space="preserve">The court </w:t>
      </w:r>
      <w:r w:rsidR="00C005AB">
        <w:rPr>
          <w:szCs w:val="22"/>
        </w:rPr>
        <w:t>found that “</w:t>
      </w:r>
      <w:r w:rsidRPr="006B092E" w:rsidR="00625322">
        <w:rPr>
          <w:szCs w:val="22"/>
        </w:rPr>
        <w:t>a party may revoke her consent through any reasonable means clearly expressing a desire to receive no further messages from the caller.”</w:t>
      </w:r>
      <w:r>
        <w:rPr>
          <w:rStyle w:val="FootnoteReference"/>
          <w:szCs w:val="22"/>
        </w:rPr>
        <w:footnoteReference w:id="33"/>
      </w:r>
      <w:r w:rsidRPr="006B092E" w:rsidR="00FF7BDB">
        <w:rPr>
          <w:szCs w:val="22"/>
        </w:rPr>
        <w:t xml:space="preserve">  </w:t>
      </w:r>
      <w:r w:rsidR="00C005AB">
        <w:rPr>
          <w:szCs w:val="22"/>
        </w:rPr>
        <w:t>Such a standard, the court made clear, means “</w:t>
      </w:r>
      <w:r w:rsidR="00C005AB">
        <w:t>callers . . . have no need to train every retail employee on the finer points of revocation” and have “every incentive to avoid TCPA liability by making available clearly-defined and easy-to-use opt-out methods.”</w:t>
      </w:r>
      <w:r>
        <w:rPr>
          <w:rStyle w:val="FootnoteReference"/>
        </w:rPr>
        <w:footnoteReference w:id="34"/>
      </w:r>
      <w:r w:rsidR="00C005AB">
        <w:t xml:space="preserve"> </w:t>
      </w:r>
      <w:r w:rsidRPr="006B092E" w:rsidR="00C005AB">
        <w:rPr>
          <w:szCs w:val="22"/>
        </w:rPr>
        <w:t xml:space="preserve"> </w:t>
      </w:r>
      <w:r w:rsidRPr="006B092E" w:rsidR="00FF7BDB">
        <w:rPr>
          <w:szCs w:val="22"/>
        </w:rPr>
        <w:t xml:space="preserve">We seek comment on </w:t>
      </w:r>
      <w:r w:rsidR="00C005AB">
        <w:rPr>
          <w:szCs w:val="22"/>
        </w:rPr>
        <w:t>what opt-out methods would be sufficiently clearly defined and easy to use such that “</w:t>
      </w:r>
      <w:r w:rsidR="00C005AB">
        <w:t>any effort to sidestep the available methods in favor of idiosyncratic or imaginative revocation requests might well be seen as unreasonable.</w:t>
      </w:r>
      <w:r w:rsidR="00C005AB">
        <w:rPr>
          <w:szCs w:val="22"/>
        </w:rPr>
        <w:t>”</w:t>
      </w:r>
      <w:r>
        <w:rPr>
          <w:rStyle w:val="FootnoteReference"/>
          <w:szCs w:val="22"/>
        </w:rPr>
        <w:footnoteReference w:id="35"/>
      </w:r>
      <w:r w:rsidR="00C005AB">
        <w:rPr>
          <w:szCs w:val="22"/>
        </w:rPr>
        <w:t xml:space="preserve">  For example, </w:t>
      </w:r>
      <w:r w:rsidR="00CB7063">
        <w:rPr>
          <w:szCs w:val="22"/>
        </w:rPr>
        <w:t>what opt-out method would be clearly defined and sufficiently easy to use for unwanted calls?  Pushing a standardized code (such as “*7”)?  Saying “stop calling” in response to a live caller?  Offering opt-out through a website?  For unwanted texts, would a response of “stop” or similar keywords be sufficiently easy to use and clearly defined?  What other methods would be sufficient?  And must callers offer all or some combination of such methods to qualify?</w:t>
      </w:r>
    </w:p>
    <w:p w:rsidR="00CB7063" w:rsidP="004833A2" w14:paraId="008374F8" w14:textId="77777777">
      <w:pPr>
        <w:spacing w:after="120"/>
        <w:ind w:firstLine="720"/>
        <w:rPr>
          <w:szCs w:val="22"/>
        </w:rPr>
      </w:pPr>
      <w:r w:rsidRPr="006641B9">
        <w:rPr>
          <w:i/>
          <w:szCs w:val="22"/>
        </w:rPr>
        <w:t>Fourth</w:t>
      </w:r>
      <w:r w:rsidRPr="006B092E">
        <w:rPr>
          <w:szCs w:val="22"/>
        </w:rPr>
        <w:t>, in light of th</w:t>
      </w:r>
      <w:r w:rsidRPr="006B092E" w:rsidR="00180FF5">
        <w:rPr>
          <w:szCs w:val="22"/>
        </w:rPr>
        <w:t>e</w:t>
      </w:r>
      <w:r w:rsidRPr="006B092E">
        <w:rPr>
          <w:szCs w:val="22"/>
        </w:rPr>
        <w:t xml:space="preserve"> </w:t>
      </w:r>
      <w:r w:rsidRPr="006B092E" w:rsidR="0040111D">
        <w:rPr>
          <w:szCs w:val="22"/>
        </w:rPr>
        <w:t xml:space="preserve">court’s decision on </w:t>
      </w:r>
      <w:r w:rsidRPr="006B092E" w:rsidR="00184D6E">
        <w:rPr>
          <w:szCs w:val="22"/>
        </w:rPr>
        <w:t xml:space="preserve">several </w:t>
      </w:r>
      <w:r w:rsidRPr="006B092E" w:rsidR="0040111D">
        <w:rPr>
          <w:szCs w:val="22"/>
        </w:rPr>
        <w:t xml:space="preserve">key </w:t>
      </w:r>
      <w:r w:rsidRPr="006B092E">
        <w:rPr>
          <w:szCs w:val="22"/>
        </w:rPr>
        <w:t xml:space="preserve">TCPA </w:t>
      </w:r>
      <w:r w:rsidRPr="006B092E" w:rsidR="0040111D">
        <w:rPr>
          <w:szCs w:val="22"/>
        </w:rPr>
        <w:t xml:space="preserve">issues, </w:t>
      </w:r>
      <w:r w:rsidRPr="006B092E">
        <w:rPr>
          <w:szCs w:val="22"/>
        </w:rPr>
        <w:t xml:space="preserve">we seek renewed comment on two </w:t>
      </w:r>
      <w:r w:rsidRPr="006B092E" w:rsidR="00A0624F">
        <w:rPr>
          <w:szCs w:val="22"/>
        </w:rPr>
        <w:t xml:space="preserve">pending </w:t>
      </w:r>
      <w:r w:rsidRPr="006B092E">
        <w:rPr>
          <w:szCs w:val="22"/>
        </w:rPr>
        <w:t xml:space="preserve">petitions for reconsideration of the Commission’s </w:t>
      </w:r>
      <w:r w:rsidRPr="006B092E">
        <w:rPr>
          <w:i/>
          <w:szCs w:val="22"/>
        </w:rPr>
        <w:t>Broadnet Declaratory Ruling</w:t>
      </w:r>
      <w:r w:rsidRPr="006B092E">
        <w:rPr>
          <w:szCs w:val="22"/>
        </w:rPr>
        <w:t>.</w:t>
      </w:r>
      <w:r>
        <w:rPr>
          <w:rStyle w:val="FootnoteReference"/>
          <w:szCs w:val="22"/>
        </w:rPr>
        <w:footnoteReference w:id="36"/>
      </w:r>
      <w:r w:rsidRPr="006B092E" w:rsidR="00035914">
        <w:rPr>
          <w:szCs w:val="22"/>
        </w:rPr>
        <w:t xml:space="preserve">  </w:t>
      </w:r>
      <w:r w:rsidRPr="006B092E" w:rsidR="00180FF5">
        <w:rPr>
          <w:szCs w:val="22"/>
        </w:rPr>
        <w:t>In the first, National Consumer Law Center asks the Commission to reconsider its interpretation of “person”</w:t>
      </w:r>
      <w:r>
        <w:rPr>
          <w:rStyle w:val="FootnoteReference"/>
          <w:szCs w:val="22"/>
        </w:rPr>
        <w:footnoteReference w:id="37"/>
      </w:r>
      <w:r w:rsidRPr="006B092E" w:rsidR="00180FF5">
        <w:rPr>
          <w:szCs w:val="22"/>
        </w:rPr>
        <w:t xml:space="preserve"> and </w:t>
      </w:r>
      <w:r w:rsidRPr="006B092E" w:rsidR="006B50D4">
        <w:rPr>
          <w:szCs w:val="22"/>
        </w:rPr>
        <w:t xml:space="preserve">clarify that </w:t>
      </w:r>
      <w:r w:rsidRPr="006B092E" w:rsidR="00180FF5">
        <w:rPr>
          <w:szCs w:val="22"/>
        </w:rPr>
        <w:t>federal government</w:t>
      </w:r>
      <w:r w:rsidRPr="006B092E" w:rsidR="0032190A">
        <w:rPr>
          <w:szCs w:val="22"/>
        </w:rPr>
        <w:t xml:space="preserve"> contractors</w:t>
      </w:r>
      <w:r w:rsidRPr="006B092E" w:rsidR="006B50D4">
        <w:rPr>
          <w:szCs w:val="22"/>
        </w:rPr>
        <w:t>, regardless of their status as common-law agents,</w:t>
      </w:r>
      <w:r w:rsidRPr="006B092E" w:rsidR="00180FF5">
        <w:rPr>
          <w:szCs w:val="22"/>
        </w:rPr>
        <w:t xml:space="preserve"> are </w:t>
      </w:r>
      <w:r w:rsidRPr="006B092E" w:rsidR="007C2C15">
        <w:rPr>
          <w:szCs w:val="22"/>
        </w:rPr>
        <w:t>“</w:t>
      </w:r>
      <w:r w:rsidRPr="006B092E" w:rsidR="00180FF5">
        <w:rPr>
          <w:szCs w:val="22"/>
        </w:rPr>
        <w:t>persons</w:t>
      </w:r>
      <w:r w:rsidRPr="006B092E" w:rsidR="007C2C15">
        <w:rPr>
          <w:szCs w:val="22"/>
        </w:rPr>
        <w:t>”</w:t>
      </w:r>
      <w:r w:rsidRPr="006B092E" w:rsidR="00180FF5">
        <w:rPr>
          <w:szCs w:val="22"/>
        </w:rPr>
        <w:t xml:space="preserve"> </w:t>
      </w:r>
      <w:r w:rsidRPr="006B092E" w:rsidR="0032190A">
        <w:rPr>
          <w:szCs w:val="22"/>
        </w:rPr>
        <w:t xml:space="preserve">under </w:t>
      </w:r>
      <w:r w:rsidRPr="006B092E" w:rsidR="00180FF5">
        <w:rPr>
          <w:szCs w:val="22"/>
        </w:rPr>
        <w:t>the TCPA.</w:t>
      </w:r>
      <w:r>
        <w:rPr>
          <w:rStyle w:val="FootnoteReference"/>
          <w:szCs w:val="22"/>
        </w:rPr>
        <w:footnoteReference w:id="38"/>
      </w:r>
      <w:r w:rsidRPr="006B092E" w:rsidR="00180FF5">
        <w:rPr>
          <w:szCs w:val="22"/>
        </w:rPr>
        <w:t xml:space="preserve">  In the second, Pro</w:t>
      </w:r>
      <w:r w:rsidRPr="006B092E" w:rsidR="007C2C15">
        <w:rPr>
          <w:szCs w:val="22"/>
        </w:rPr>
        <w:t>fessional Services Council</w:t>
      </w:r>
      <w:r w:rsidRPr="006B092E" w:rsidR="00180FF5">
        <w:rPr>
          <w:szCs w:val="22"/>
        </w:rPr>
        <w:t xml:space="preserve"> asks the Commission to </w:t>
      </w:r>
      <w:r w:rsidRPr="006B092E" w:rsidR="006F3B79">
        <w:rPr>
          <w:szCs w:val="22"/>
        </w:rPr>
        <w:t xml:space="preserve">reconsider its reliance on common-law agency principles and clarify that contractors acting on behalf of the federal government are not “persons” </w:t>
      </w:r>
      <w:r w:rsidRPr="006B092E" w:rsidR="0032190A">
        <w:rPr>
          <w:szCs w:val="22"/>
        </w:rPr>
        <w:t xml:space="preserve">under </w:t>
      </w:r>
      <w:r w:rsidRPr="006B092E" w:rsidR="006F3B79">
        <w:rPr>
          <w:szCs w:val="22"/>
        </w:rPr>
        <w:t>the TCPA</w:t>
      </w:r>
      <w:r w:rsidRPr="006B092E" w:rsidR="00180FF5">
        <w:rPr>
          <w:szCs w:val="22"/>
        </w:rPr>
        <w:t>.</w:t>
      </w:r>
      <w:r>
        <w:rPr>
          <w:rStyle w:val="FootnoteReference"/>
          <w:szCs w:val="22"/>
        </w:rPr>
        <w:footnoteReference w:id="39"/>
      </w:r>
      <w:r w:rsidRPr="006B092E" w:rsidR="006F3B79">
        <w:rPr>
          <w:szCs w:val="22"/>
        </w:rPr>
        <w:t xml:space="preserve">  </w:t>
      </w:r>
    </w:p>
    <w:p w:rsidR="00A02F8E" w:rsidRPr="006B092E" w:rsidP="004833A2" w14:paraId="1E3EA1A4" w14:textId="28A851BD">
      <w:pPr>
        <w:spacing w:after="120"/>
        <w:ind w:firstLine="720"/>
        <w:rPr>
          <w:szCs w:val="22"/>
        </w:rPr>
      </w:pPr>
      <w:r w:rsidRPr="006B092E">
        <w:rPr>
          <w:szCs w:val="22"/>
        </w:rPr>
        <w:t xml:space="preserve">We seek comment on </w:t>
      </w:r>
      <w:r w:rsidRPr="006B092E" w:rsidR="0032190A">
        <w:rPr>
          <w:szCs w:val="22"/>
        </w:rPr>
        <w:t xml:space="preserve">issues raised in those petitions and </w:t>
      </w:r>
      <w:r w:rsidRPr="006B092E">
        <w:rPr>
          <w:szCs w:val="22"/>
        </w:rPr>
        <w:t xml:space="preserve">whether contractors acting on behalf of federal, state, and local governments are “persons” </w:t>
      </w:r>
      <w:r w:rsidRPr="006B092E" w:rsidR="0032190A">
        <w:rPr>
          <w:szCs w:val="22"/>
        </w:rPr>
        <w:t xml:space="preserve">under </w:t>
      </w:r>
      <w:r w:rsidRPr="006B092E">
        <w:rPr>
          <w:szCs w:val="22"/>
        </w:rPr>
        <w:t>the TCPA.</w:t>
      </w:r>
      <w:r>
        <w:rPr>
          <w:rStyle w:val="FootnoteReference"/>
          <w:szCs w:val="22"/>
        </w:rPr>
        <w:footnoteReference w:id="40"/>
      </w:r>
      <w:r w:rsidRPr="006B092E">
        <w:rPr>
          <w:szCs w:val="22"/>
        </w:rPr>
        <w:t xml:space="preserve">  </w:t>
      </w:r>
      <w:r w:rsidR="00420313">
        <w:t>While t</w:t>
      </w:r>
      <w:r w:rsidRPr="0040057D" w:rsidR="00420313">
        <w:t xml:space="preserve">he question of whether contractors acting on behalf of state and local governments are “persons” for purposes of the TCPA is not raised in the pending petitions for reconsideration of the </w:t>
      </w:r>
      <w:r w:rsidRPr="0040057D" w:rsidR="00420313">
        <w:rPr>
          <w:i/>
        </w:rPr>
        <w:t>Broadnet Declaratory Ruling</w:t>
      </w:r>
      <w:r w:rsidR="00420313">
        <w:t>, the Commission has not addressed these questions.</w:t>
      </w:r>
      <w:r>
        <w:rPr>
          <w:rStyle w:val="FootnoteReference"/>
        </w:rPr>
        <w:footnoteReference w:id="41"/>
      </w:r>
      <w:r w:rsidR="00420313">
        <w:t xml:space="preserve">  Should it do so now?  </w:t>
      </w:r>
      <w:r w:rsidR="006065B3">
        <w:t xml:space="preserve">Are all three levels of government subject to the same legal framework in determining whether they are “persons”?  How is a state or local government official, or a contractor making calls on their behalf, legally </w:t>
      </w:r>
      <w:r w:rsidR="001332EA">
        <w:t xml:space="preserve">similar to </w:t>
      </w:r>
      <w:r w:rsidR="006065B3">
        <w:t xml:space="preserve">or different from federal government callers? </w:t>
      </w:r>
      <w:r w:rsidRPr="0040057D" w:rsidR="00420313">
        <w:t xml:space="preserve"> </w:t>
      </w:r>
    </w:p>
    <w:p w:rsidR="00251B19" w:rsidP="004833A2" w14:paraId="4A3D81EF" w14:textId="1BE98C46">
      <w:pPr>
        <w:spacing w:after="120"/>
        <w:ind w:firstLine="720"/>
        <w:rPr>
          <w:szCs w:val="22"/>
        </w:rPr>
      </w:pPr>
      <w:r>
        <w:rPr>
          <w:i/>
          <w:szCs w:val="22"/>
        </w:rPr>
        <w:t>Fifth</w:t>
      </w:r>
      <w:r w:rsidRPr="006B092E" w:rsidR="00B92FE1">
        <w:rPr>
          <w:szCs w:val="22"/>
        </w:rPr>
        <w:t xml:space="preserve">, we seek renewed comment on the </w:t>
      </w:r>
      <w:r w:rsidRPr="006B092E" w:rsidR="00A0624F">
        <w:rPr>
          <w:szCs w:val="22"/>
        </w:rPr>
        <w:t xml:space="preserve">pending petition for reconsideration of the </w:t>
      </w:r>
      <w:r w:rsidRPr="006B092E" w:rsidR="007C2C15">
        <w:rPr>
          <w:i/>
          <w:szCs w:val="22"/>
        </w:rPr>
        <w:t>2016 Federal Debt Collection Rules</w:t>
      </w:r>
      <w:r w:rsidRPr="006B092E" w:rsidR="00A0624F">
        <w:rPr>
          <w:szCs w:val="22"/>
        </w:rPr>
        <w:t>,</w:t>
      </w:r>
      <w:r>
        <w:rPr>
          <w:rStyle w:val="FootnoteReference"/>
          <w:szCs w:val="22"/>
        </w:rPr>
        <w:footnoteReference w:id="42"/>
      </w:r>
      <w:r w:rsidRPr="006B092E" w:rsidR="007360E5">
        <w:rPr>
          <w:szCs w:val="22"/>
        </w:rPr>
        <w:t xml:space="preserve"> </w:t>
      </w:r>
      <w:r w:rsidRPr="006B092E" w:rsidR="00A0624F">
        <w:rPr>
          <w:szCs w:val="22"/>
        </w:rPr>
        <w:t>filed by</w:t>
      </w:r>
      <w:r w:rsidRPr="006B092E" w:rsidR="007360E5">
        <w:rPr>
          <w:szCs w:val="22"/>
        </w:rPr>
        <w:t xml:space="preserve"> </w:t>
      </w:r>
      <w:r w:rsidRPr="006B092E" w:rsidR="00157CCB">
        <w:rPr>
          <w:szCs w:val="22"/>
        </w:rPr>
        <w:t xml:space="preserve">Great Lakes Higher Education Corp. </w:t>
      </w:r>
      <w:r w:rsidRPr="006B092E" w:rsidR="00A0624F">
        <w:rPr>
          <w:i/>
          <w:szCs w:val="22"/>
        </w:rPr>
        <w:t>et al</w:t>
      </w:r>
      <w:r w:rsidRPr="006B092E" w:rsidR="00A0624F">
        <w:rPr>
          <w:szCs w:val="22"/>
        </w:rPr>
        <w:t>.</w:t>
      </w:r>
      <w:r>
        <w:rPr>
          <w:rStyle w:val="FootnoteReference"/>
          <w:szCs w:val="22"/>
        </w:rPr>
        <w:footnoteReference w:id="43"/>
      </w:r>
      <w:r w:rsidRPr="006B092E" w:rsidR="00CA4ABB">
        <w:rPr>
          <w:szCs w:val="22"/>
        </w:rPr>
        <w:t xml:space="preserve">  Great Lakes asks the Commission to reconsider </w:t>
      </w:r>
      <w:r w:rsidRPr="006B092E" w:rsidR="00157CCB">
        <w:rPr>
          <w:szCs w:val="22"/>
        </w:rPr>
        <w:t xml:space="preserve">several aspects of the rules, including </w:t>
      </w:r>
      <w:r w:rsidRPr="006B092E" w:rsidR="00B24579">
        <w:rPr>
          <w:szCs w:val="22"/>
        </w:rPr>
        <w:t>the applicability of the TCPA</w:t>
      </w:r>
      <w:r w:rsidRPr="006B092E" w:rsidR="0032190A">
        <w:rPr>
          <w:szCs w:val="22"/>
        </w:rPr>
        <w:t xml:space="preserve">’s </w:t>
      </w:r>
      <w:r w:rsidRPr="006B092E" w:rsidR="00E233D2">
        <w:rPr>
          <w:szCs w:val="22"/>
        </w:rPr>
        <w:t>limit</w:t>
      </w:r>
      <w:r w:rsidRPr="006B092E" w:rsidR="0032190A">
        <w:rPr>
          <w:szCs w:val="22"/>
        </w:rPr>
        <w:t xml:space="preserve">s </w:t>
      </w:r>
      <w:r w:rsidRPr="006B092E" w:rsidR="00E233D2">
        <w:rPr>
          <w:szCs w:val="22"/>
        </w:rPr>
        <w:t>o</w:t>
      </w:r>
      <w:r w:rsidRPr="006B092E" w:rsidR="00D938F1">
        <w:rPr>
          <w:szCs w:val="22"/>
        </w:rPr>
        <w:t>n</w:t>
      </w:r>
      <w:r w:rsidRPr="006B092E" w:rsidR="00E233D2">
        <w:rPr>
          <w:szCs w:val="22"/>
        </w:rPr>
        <w:t xml:space="preserve"> </w:t>
      </w:r>
      <w:r w:rsidRPr="006B092E" w:rsidR="00B24579">
        <w:rPr>
          <w:szCs w:val="22"/>
        </w:rPr>
        <w:t>calls to reassigned wireless numbers.</w:t>
      </w:r>
      <w:r>
        <w:rPr>
          <w:rStyle w:val="FootnoteReference"/>
          <w:szCs w:val="22"/>
        </w:rPr>
        <w:footnoteReference w:id="44"/>
      </w:r>
      <w:r w:rsidRPr="006B092E" w:rsidR="00B24579">
        <w:rPr>
          <w:szCs w:val="22"/>
        </w:rPr>
        <w:t xml:space="preserve">  </w:t>
      </w:r>
      <w:r w:rsidRPr="006B092E" w:rsidR="00D938F1">
        <w:rPr>
          <w:szCs w:val="22"/>
        </w:rPr>
        <w:t>In light of the court</w:t>
      </w:r>
      <w:r w:rsidRPr="006B092E" w:rsidR="007D668D">
        <w:rPr>
          <w:szCs w:val="22"/>
        </w:rPr>
        <w:t>’s opinion on reassigned numbers,</w:t>
      </w:r>
      <w:r w:rsidRPr="006B092E" w:rsidR="00CA4ABB">
        <w:rPr>
          <w:szCs w:val="22"/>
        </w:rPr>
        <w:t xml:space="preserve"> </w:t>
      </w:r>
      <w:r w:rsidRPr="006B092E" w:rsidR="00D938F1">
        <w:rPr>
          <w:szCs w:val="22"/>
        </w:rPr>
        <w:t xml:space="preserve">we seek renewed comment on </w:t>
      </w:r>
      <w:r w:rsidRPr="006B092E" w:rsidR="007D668D">
        <w:rPr>
          <w:szCs w:val="22"/>
        </w:rPr>
        <w:t xml:space="preserve">this and other issues raised by </w:t>
      </w:r>
      <w:r w:rsidRPr="006B092E" w:rsidR="00D938F1">
        <w:rPr>
          <w:szCs w:val="22"/>
        </w:rPr>
        <w:t>the petition.</w:t>
      </w:r>
      <w:r w:rsidR="00CB7063">
        <w:rPr>
          <w:szCs w:val="22"/>
        </w:rPr>
        <w:t xml:space="preserve">  </w:t>
      </w:r>
    </w:p>
    <w:p w:rsidR="00B92FE1" w:rsidRPr="00251B19" w:rsidP="004833A2" w14:paraId="1BF655B5" w14:textId="1E3FE0F8">
      <w:pPr>
        <w:spacing w:after="120"/>
        <w:ind w:firstLine="720"/>
        <w:rPr>
          <w:szCs w:val="22"/>
        </w:rPr>
      </w:pPr>
      <w:r>
        <w:rPr>
          <w:szCs w:val="22"/>
        </w:rPr>
        <w:t xml:space="preserve">We also seek comment on the interplay between the </w:t>
      </w:r>
      <w:r>
        <w:rPr>
          <w:i/>
          <w:szCs w:val="22"/>
        </w:rPr>
        <w:t>Broadnet</w:t>
      </w:r>
      <w:r>
        <w:rPr>
          <w:szCs w:val="22"/>
        </w:rPr>
        <w:t xml:space="preserve"> decision and the Budget Act amendments</w:t>
      </w:r>
      <w:r>
        <w:rPr>
          <w:rStyle w:val="FootnoteReference"/>
          <w:szCs w:val="22"/>
        </w:rPr>
        <w:footnoteReference w:id="45"/>
      </w:r>
      <w:r>
        <w:rPr>
          <w:szCs w:val="22"/>
        </w:rPr>
        <w:t xml:space="preserve">—if a federal contractor is not a </w:t>
      </w:r>
      <w:r w:rsidR="00972C5B">
        <w:rPr>
          <w:szCs w:val="22"/>
        </w:rPr>
        <w:t>“</w:t>
      </w:r>
      <w:r>
        <w:rPr>
          <w:szCs w:val="22"/>
        </w:rPr>
        <w:t>person</w:t>
      </w:r>
      <w:r w:rsidR="00972C5B">
        <w:rPr>
          <w:szCs w:val="22"/>
        </w:rPr>
        <w:t>”</w:t>
      </w:r>
      <w:r>
        <w:rPr>
          <w:szCs w:val="22"/>
        </w:rPr>
        <w:t xml:space="preserve"> for purposes of the TCPA (as the Commission held in </w:t>
      </w:r>
      <w:r>
        <w:rPr>
          <w:i/>
          <w:szCs w:val="22"/>
        </w:rPr>
        <w:t>Broadnet</w:t>
      </w:r>
      <w:r>
        <w:rPr>
          <w:szCs w:val="22"/>
        </w:rPr>
        <w:t xml:space="preserve">), would the rules adopted in the </w:t>
      </w:r>
      <w:r w:rsidRPr="006B092E">
        <w:rPr>
          <w:i/>
          <w:szCs w:val="22"/>
        </w:rPr>
        <w:t>2016 Federal Debt Collection Rules</w:t>
      </w:r>
      <w:r>
        <w:rPr>
          <w:szCs w:val="22"/>
        </w:rPr>
        <w:t xml:space="preserve"> even apply to a federal contractor collecting a</w:t>
      </w:r>
      <w:r w:rsidR="00251B19">
        <w:rPr>
          <w:szCs w:val="22"/>
        </w:rPr>
        <w:t xml:space="preserve"> federal</w:t>
      </w:r>
      <w:r>
        <w:rPr>
          <w:szCs w:val="22"/>
        </w:rPr>
        <w:t xml:space="preserve"> debt?  </w:t>
      </w:r>
      <w:r w:rsidR="00251B19">
        <w:rPr>
          <w:szCs w:val="22"/>
        </w:rPr>
        <w:t xml:space="preserve">Do persons who are not federal contractors collect federal debts?  Or does the Budget Act amendment underlying the </w:t>
      </w:r>
      <w:r w:rsidRPr="006B092E" w:rsidR="00251B19">
        <w:rPr>
          <w:i/>
          <w:szCs w:val="22"/>
        </w:rPr>
        <w:t>2016 Federal Debt Collection Rules</w:t>
      </w:r>
      <w:r w:rsidR="00251B19">
        <w:rPr>
          <w:szCs w:val="22"/>
        </w:rPr>
        <w:t xml:space="preserve"> undermine the rationale of </w:t>
      </w:r>
      <w:r w:rsidR="00251B19">
        <w:rPr>
          <w:i/>
          <w:szCs w:val="22"/>
        </w:rPr>
        <w:t>Broadnet</w:t>
      </w:r>
      <w:r w:rsidR="00251B19">
        <w:rPr>
          <w:szCs w:val="22"/>
        </w:rPr>
        <w:t>?</w:t>
      </w:r>
    </w:p>
    <w:p w:rsidR="00D537EF" w:rsidRPr="006B092E" w:rsidP="004833A2" w14:paraId="20BAEE12" w14:textId="77777777">
      <w:pPr>
        <w:spacing w:after="120"/>
        <w:ind w:firstLine="720"/>
        <w:rPr>
          <w:szCs w:val="22"/>
        </w:rPr>
      </w:pPr>
      <w:r w:rsidRPr="006B092E">
        <w:rPr>
          <w:szCs w:val="22"/>
        </w:rPr>
        <w:t>Pursuant to section</w:t>
      </w:r>
      <w:r w:rsidRPr="006B092E" w:rsidR="00B3599D">
        <w:rPr>
          <w:szCs w:val="22"/>
        </w:rPr>
        <w:t>s</w:t>
      </w:r>
      <w:r w:rsidRPr="006B092E">
        <w:rPr>
          <w:szCs w:val="22"/>
        </w:rPr>
        <w:t xml:space="preserve"> 1.2 </w:t>
      </w:r>
      <w:r w:rsidRPr="006B092E" w:rsidR="00434BF0">
        <w:rPr>
          <w:szCs w:val="22"/>
        </w:rPr>
        <w:t xml:space="preserve">and 1.429 </w:t>
      </w:r>
      <w:r w:rsidRPr="006B092E">
        <w:rPr>
          <w:szCs w:val="22"/>
        </w:rPr>
        <w:t>of the Commission’s rules,</w:t>
      </w:r>
      <w:r>
        <w:rPr>
          <w:rStyle w:val="FootnoteReference"/>
          <w:szCs w:val="22"/>
        </w:rPr>
        <w:footnoteReference w:id="46"/>
      </w:r>
      <w:r w:rsidRPr="006B092E">
        <w:rPr>
          <w:szCs w:val="22"/>
        </w:rPr>
        <w:t xml:space="preserve"> interested parties may file comments and reply comments on or before the dates indicated on the first page of this document.  Comments may be filed using the Commission’s Electronic Comment Filing System (ECFS).  </w:t>
      </w:r>
      <w:r w:rsidRPr="006B092E">
        <w:rPr>
          <w:i/>
          <w:szCs w:val="22"/>
        </w:rPr>
        <w:t>See Electronic Filing of Documents in Rulemaking Proceedings</w:t>
      </w:r>
      <w:r w:rsidRPr="006B092E">
        <w:rPr>
          <w:szCs w:val="22"/>
        </w:rPr>
        <w:t>, 63 FR 24121 (1998).</w:t>
      </w:r>
    </w:p>
    <w:p w:rsidR="00D537EF" w:rsidRPr="006B092E" w:rsidP="004833A2" w14:paraId="0075096C" w14:textId="6CDC9211">
      <w:pPr>
        <w:widowControl/>
        <w:numPr>
          <w:ilvl w:val="0"/>
          <w:numId w:val="1"/>
        </w:numPr>
        <w:spacing w:after="120"/>
        <w:rPr>
          <w:szCs w:val="22"/>
        </w:rPr>
      </w:pPr>
      <w:r w:rsidRPr="006B092E">
        <w:rPr>
          <w:szCs w:val="22"/>
        </w:rPr>
        <w:t xml:space="preserve">Electronic Filers:  Comments may be filed electronically using the Internet by accessing the ECFS:  </w:t>
      </w:r>
      <w:r>
        <w:fldChar w:fldCharType="begin"/>
      </w:r>
      <w:r>
        <w:instrText xml:space="preserve"> HYPERLINK "http://www.fcc.gov/ecfs/" </w:instrText>
      </w:r>
      <w:r>
        <w:fldChar w:fldCharType="separate"/>
      </w:r>
      <w:r w:rsidRPr="006B092E">
        <w:rPr>
          <w:rStyle w:val="Hyperlink"/>
          <w:szCs w:val="22"/>
        </w:rPr>
        <w:t>http://www.fcc.gov/ecfs/</w:t>
      </w:r>
      <w:r>
        <w:fldChar w:fldCharType="end"/>
      </w:r>
      <w:r w:rsidRPr="006B092E">
        <w:rPr>
          <w:szCs w:val="22"/>
        </w:rPr>
        <w:t xml:space="preserve">.  </w:t>
      </w:r>
    </w:p>
    <w:p w:rsidR="00D537EF" w:rsidRPr="006B092E" w:rsidP="004833A2" w14:paraId="24F7186D" w14:textId="77777777">
      <w:pPr>
        <w:widowControl/>
        <w:numPr>
          <w:ilvl w:val="0"/>
          <w:numId w:val="2"/>
        </w:numPr>
        <w:spacing w:after="120"/>
        <w:rPr>
          <w:szCs w:val="22"/>
        </w:rPr>
      </w:pPr>
      <w:r w:rsidRPr="006B092E">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537EF" w:rsidRPr="006B092E" w:rsidP="004833A2" w14:paraId="22E1C295" w14:textId="77777777">
      <w:pPr>
        <w:spacing w:after="120"/>
        <w:ind w:left="720"/>
        <w:rPr>
          <w:szCs w:val="22"/>
        </w:rPr>
      </w:pPr>
      <w:r w:rsidRPr="006B092E">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537EF" w:rsidRPr="006B092E" w:rsidP="004833A2" w14:paraId="77E44328" w14:textId="77777777">
      <w:pPr>
        <w:widowControl/>
        <w:numPr>
          <w:ilvl w:val="0"/>
          <w:numId w:val="3"/>
        </w:numPr>
        <w:spacing w:after="120"/>
        <w:rPr>
          <w:szCs w:val="22"/>
        </w:rPr>
      </w:pPr>
      <w:r w:rsidRPr="006B092E">
        <w:rPr>
          <w:szCs w:val="22"/>
        </w:rPr>
        <w:t>All hand-delivered or messenger-delivered paper filings for the Commission’s Secretary must be delivered to FCC Headquarters at 445 12</w:t>
      </w:r>
      <w:r w:rsidRPr="006B092E">
        <w:rPr>
          <w:szCs w:val="22"/>
          <w:vertAlign w:val="superscript"/>
        </w:rPr>
        <w:t>th</w:t>
      </w:r>
      <w:r w:rsidRPr="006B092E">
        <w:rPr>
          <w:szCs w:val="22"/>
        </w:rPr>
        <w:t xml:space="preserve"> St., SW, Room TW-A325, Washington, DC 20554.  The filing hours are 8:00 a.m. to 7:00 p.m.  All hand deliveries must be held together with rubber bands or fasteners.  Any envelopes and boxes must be disposed of </w:t>
      </w:r>
      <w:r w:rsidRPr="006B092E">
        <w:rPr>
          <w:szCs w:val="22"/>
          <w:u w:val="single"/>
        </w:rPr>
        <w:t>before</w:t>
      </w:r>
      <w:r w:rsidRPr="006B092E">
        <w:rPr>
          <w:szCs w:val="22"/>
        </w:rPr>
        <w:t xml:space="preserve"> entering the building.  </w:t>
      </w:r>
    </w:p>
    <w:p w:rsidR="00D537EF" w:rsidRPr="006B092E" w:rsidP="004833A2" w14:paraId="6855F4E6" w14:textId="77777777">
      <w:pPr>
        <w:widowControl/>
        <w:numPr>
          <w:ilvl w:val="0"/>
          <w:numId w:val="3"/>
        </w:numPr>
        <w:spacing w:after="120"/>
        <w:rPr>
          <w:szCs w:val="22"/>
        </w:rPr>
      </w:pPr>
      <w:r w:rsidRPr="006B092E">
        <w:rPr>
          <w:szCs w:val="22"/>
        </w:rPr>
        <w:t>Commercial overnight mail (other than U.S. Postal Service Express Mail and Priority Mail) must be sent to 9050 Junction Drive, Annapolis Junction, MD 20701.</w:t>
      </w:r>
    </w:p>
    <w:p w:rsidR="00D537EF" w:rsidRPr="006B092E" w:rsidP="004833A2" w14:paraId="72EC5C12" w14:textId="77777777">
      <w:pPr>
        <w:widowControl/>
        <w:numPr>
          <w:ilvl w:val="0"/>
          <w:numId w:val="3"/>
        </w:numPr>
        <w:spacing w:after="120"/>
        <w:rPr>
          <w:szCs w:val="22"/>
        </w:rPr>
      </w:pPr>
      <w:r w:rsidRPr="006B092E">
        <w:rPr>
          <w:szCs w:val="22"/>
        </w:rPr>
        <w:t>U.S. Postal Service first-class, Express, and Priority mail must be addressed to 445 12</w:t>
      </w:r>
      <w:r w:rsidRPr="006B092E">
        <w:rPr>
          <w:szCs w:val="22"/>
          <w:vertAlign w:val="superscript"/>
        </w:rPr>
        <w:t>th</w:t>
      </w:r>
      <w:r w:rsidRPr="006B092E">
        <w:rPr>
          <w:szCs w:val="22"/>
        </w:rPr>
        <w:t xml:space="preserve"> Street, SW, Washington, DC 20554.</w:t>
      </w:r>
    </w:p>
    <w:p w:rsidR="00D537EF" w:rsidRPr="006B092E" w:rsidP="004833A2" w14:paraId="2056B867" w14:textId="0109CB5C">
      <w:pPr>
        <w:spacing w:after="120"/>
        <w:rPr>
          <w:szCs w:val="22"/>
        </w:rPr>
      </w:pPr>
      <w:r w:rsidRPr="006B092E">
        <w:rPr>
          <w:szCs w:val="22"/>
        </w:rPr>
        <w:t>People with Disabilities:  To request materials in accessible formats for people with disabilities (</w:t>
      </w:r>
      <w:r w:rsidRPr="006B092E" w:rsidR="00814582">
        <w:rPr>
          <w:szCs w:val="22"/>
        </w:rPr>
        <w:t>B</w:t>
      </w:r>
      <w:r w:rsidRPr="006B092E">
        <w:rPr>
          <w:szCs w:val="22"/>
        </w:rPr>
        <w:t xml:space="preserve">raille, large print, electronic files, audio format), send an e-mail to </w:t>
      </w:r>
      <w:r>
        <w:fldChar w:fldCharType="begin"/>
      </w:r>
      <w:r>
        <w:instrText xml:space="preserve"> HYPERLINK "mailto:fcc504@fcc.gov" </w:instrText>
      </w:r>
      <w:r>
        <w:fldChar w:fldCharType="separate"/>
      </w:r>
      <w:r w:rsidRPr="006B092E">
        <w:rPr>
          <w:color w:val="0000FF"/>
          <w:szCs w:val="22"/>
          <w:u w:val="single"/>
        </w:rPr>
        <w:t>fcc504@fcc.gov</w:t>
      </w:r>
      <w:r>
        <w:fldChar w:fldCharType="end"/>
      </w:r>
      <w:r w:rsidRPr="006B092E">
        <w:rPr>
          <w:szCs w:val="22"/>
        </w:rPr>
        <w:t xml:space="preserve"> or call the Consumer &amp; Governmental Affairs Bureau at 202-418-0530 (voice), 202-418-0432 (tty).</w:t>
      </w:r>
    </w:p>
    <w:p w:rsidR="00D537EF" w:rsidRPr="006B092E" w:rsidP="004833A2" w14:paraId="5333F6EE" w14:textId="77777777">
      <w:pPr>
        <w:widowControl/>
        <w:autoSpaceDE w:val="0"/>
        <w:autoSpaceDN w:val="0"/>
        <w:adjustRightInd w:val="0"/>
        <w:spacing w:after="120"/>
        <w:ind w:firstLine="720"/>
        <w:rPr>
          <w:snapToGrid/>
          <w:kern w:val="0"/>
          <w:szCs w:val="22"/>
        </w:rPr>
      </w:pPr>
      <w:r w:rsidRPr="006B092E">
        <w:rPr>
          <w:i/>
          <w:iCs/>
          <w:snapToGrid/>
          <w:kern w:val="0"/>
          <w:szCs w:val="22"/>
        </w:rPr>
        <w:t>Ex Parte Rules</w:t>
      </w:r>
      <w:r w:rsidRPr="006B092E">
        <w:rPr>
          <w:snapToGrid/>
          <w:kern w:val="0"/>
          <w:szCs w:val="22"/>
        </w:rPr>
        <w:t xml:space="preserve">.  This proceeding shall be treated as a “permit-but-disclose” proceeding in accordance with the Commission’s </w:t>
      </w:r>
      <w:r w:rsidRPr="006B092E">
        <w:rPr>
          <w:i/>
          <w:iCs/>
          <w:snapToGrid/>
          <w:kern w:val="0"/>
          <w:szCs w:val="22"/>
        </w:rPr>
        <w:t xml:space="preserve">ex parte </w:t>
      </w:r>
      <w:r w:rsidRPr="006B092E">
        <w:rPr>
          <w:snapToGrid/>
          <w:kern w:val="0"/>
          <w:szCs w:val="22"/>
        </w:rPr>
        <w:t>rules.</w:t>
      </w:r>
      <w:r>
        <w:rPr>
          <w:snapToGrid/>
          <w:kern w:val="0"/>
          <w:szCs w:val="22"/>
          <w:vertAlign w:val="superscript"/>
        </w:rPr>
        <w:footnoteReference w:id="47"/>
      </w:r>
      <w:r w:rsidRPr="006B092E">
        <w:rPr>
          <w:snapToGrid/>
          <w:kern w:val="0"/>
          <w:szCs w:val="22"/>
        </w:rPr>
        <w:t xml:space="preserve">  Persons making </w:t>
      </w:r>
      <w:r w:rsidRPr="006B092E">
        <w:rPr>
          <w:i/>
          <w:iCs/>
          <w:snapToGrid/>
          <w:kern w:val="0"/>
          <w:szCs w:val="22"/>
        </w:rPr>
        <w:t xml:space="preserve">ex parte </w:t>
      </w:r>
      <w:r w:rsidRPr="006B092E">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B092E">
        <w:rPr>
          <w:i/>
          <w:iCs/>
          <w:snapToGrid/>
          <w:kern w:val="0"/>
          <w:szCs w:val="22"/>
        </w:rPr>
        <w:t xml:space="preserve">ex parte </w:t>
      </w:r>
      <w:r w:rsidRPr="006B092E">
        <w:rPr>
          <w:snapToGrid/>
          <w:kern w:val="0"/>
          <w:szCs w:val="22"/>
        </w:rPr>
        <w:t xml:space="preserve">presentations are reminded that memoranda summarizing the presentation must: (1) list all persons attending or otherwise participating in the meeting at which the </w:t>
      </w:r>
      <w:r w:rsidRPr="006B092E">
        <w:rPr>
          <w:i/>
          <w:iCs/>
          <w:snapToGrid/>
          <w:kern w:val="0"/>
          <w:szCs w:val="22"/>
        </w:rPr>
        <w:t xml:space="preserve">ex parte </w:t>
      </w:r>
      <w:r w:rsidRPr="006B092E">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B092E">
        <w:rPr>
          <w:i/>
          <w:iCs/>
          <w:snapToGrid/>
          <w:kern w:val="0"/>
          <w:szCs w:val="22"/>
        </w:rPr>
        <w:t xml:space="preserve">ex parte </w:t>
      </w:r>
      <w:r w:rsidRPr="006B092E">
        <w:rPr>
          <w:snapToGrid/>
          <w:kern w:val="0"/>
          <w:szCs w:val="22"/>
        </w:rPr>
        <w:t xml:space="preserve">meetings are deemed to be written </w:t>
      </w:r>
      <w:r w:rsidRPr="006B092E">
        <w:rPr>
          <w:i/>
          <w:iCs/>
          <w:snapToGrid/>
          <w:kern w:val="0"/>
          <w:szCs w:val="22"/>
        </w:rPr>
        <w:t xml:space="preserve">ex parte </w:t>
      </w:r>
      <w:r w:rsidRPr="006B092E">
        <w:rPr>
          <w:snapToGrid/>
          <w:kern w:val="0"/>
          <w:szCs w:val="22"/>
        </w:rPr>
        <w:t>presentations and must be filed consistent with section 1.1206(b) of the Commission’s rules.</w:t>
      </w:r>
      <w:r>
        <w:rPr>
          <w:snapToGrid/>
          <w:kern w:val="0"/>
          <w:szCs w:val="22"/>
          <w:vertAlign w:val="superscript"/>
        </w:rPr>
        <w:footnoteReference w:id="48"/>
      </w:r>
      <w:r w:rsidRPr="006B092E">
        <w:rPr>
          <w:snapToGrid/>
          <w:kern w:val="0"/>
          <w:szCs w:val="22"/>
        </w:rPr>
        <w:t xml:space="preserve">  In proceedings governed by section 1.49(f) of the rules or for which the Commission has made available a method of electronic filing, written </w:t>
      </w:r>
      <w:r w:rsidRPr="006B092E">
        <w:rPr>
          <w:i/>
          <w:iCs/>
          <w:snapToGrid/>
          <w:kern w:val="0"/>
          <w:szCs w:val="22"/>
        </w:rPr>
        <w:t xml:space="preserve">ex parte </w:t>
      </w:r>
      <w:r w:rsidRPr="006B092E">
        <w:rPr>
          <w:snapToGrid/>
          <w:kern w:val="0"/>
          <w:szCs w:val="22"/>
        </w:rPr>
        <w:t xml:space="preserve">presentations and memoranda summarizing oral </w:t>
      </w:r>
      <w:r w:rsidRPr="006B092E">
        <w:rPr>
          <w:i/>
          <w:iCs/>
          <w:snapToGrid/>
          <w:kern w:val="0"/>
          <w:szCs w:val="22"/>
        </w:rPr>
        <w:t xml:space="preserve">ex parte </w:t>
      </w:r>
      <w:r w:rsidRPr="006B092E">
        <w:rPr>
          <w:snapToGrid/>
          <w:kern w:val="0"/>
          <w:szCs w:val="22"/>
        </w:rPr>
        <w:t>presentations, and all attachments thereto, must be filed through the electronic comment filing system available for that proceeding, and must be filed in their native format (</w:t>
      </w:r>
      <w:r w:rsidRPr="006B092E">
        <w:rPr>
          <w:i/>
          <w:iCs/>
          <w:snapToGrid/>
          <w:kern w:val="0"/>
          <w:szCs w:val="22"/>
        </w:rPr>
        <w:t>e.g.</w:t>
      </w:r>
      <w:r w:rsidRPr="006B092E">
        <w:rPr>
          <w:snapToGrid/>
          <w:kern w:val="0"/>
          <w:szCs w:val="22"/>
        </w:rPr>
        <w:t>, .doc, .xml, .ppt, searchable .pdf).</w:t>
      </w:r>
      <w:r>
        <w:rPr>
          <w:snapToGrid/>
          <w:kern w:val="0"/>
          <w:szCs w:val="22"/>
          <w:vertAlign w:val="superscript"/>
        </w:rPr>
        <w:footnoteReference w:id="49"/>
      </w:r>
      <w:r w:rsidRPr="006B092E">
        <w:rPr>
          <w:snapToGrid/>
          <w:kern w:val="0"/>
          <w:szCs w:val="22"/>
        </w:rPr>
        <w:t xml:space="preserve">  Participants in this proceeding should familiarize themselves with the Commission’s </w:t>
      </w:r>
      <w:r w:rsidRPr="006B092E">
        <w:rPr>
          <w:i/>
          <w:iCs/>
          <w:snapToGrid/>
          <w:kern w:val="0"/>
          <w:szCs w:val="22"/>
        </w:rPr>
        <w:t xml:space="preserve">ex parte </w:t>
      </w:r>
      <w:r w:rsidRPr="006B092E">
        <w:rPr>
          <w:snapToGrid/>
          <w:kern w:val="0"/>
          <w:szCs w:val="22"/>
        </w:rPr>
        <w:t>rules.</w:t>
      </w:r>
    </w:p>
    <w:p w:rsidR="00D537EF" w:rsidRPr="006B092E" w:rsidP="004833A2" w14:paraId="6DCB06D3" w14:textId="6F53C941">
      <w:pPr>
        <w:widowControl/>
        <w:spacing w:after="120"/>
        <w:rPr>
          <w:szCs w:val="22"/>
        </w:rPr>
      </w:pPr>
      <w:r w:rsidRPr="006B092E">
        <w:rPr>
          <w:i/>
          <w:szCs w:val="22"/>
        </w:rPr>
        <w:t>Additional Information.</w:t>
      </w:r>
      <w:r w:rsidRPr="006B092E">
        <w:rPr>
          <w:szCs w:val="22"/>
        </w:rPr>
        <w:t xml:space="preserve">  For further information, contact </w:t>
      </w:r>
      <w:r w:rsidRPr="006B092E" w:rsidR="00814582">
        <w:rPr>
          <w:szCs w:val="22"/>
        </w:rPr>
        <w:t>Kristi Thornton</w:t>
      </w:r>
      <w:r w:rsidRPr="006B092E">
        <w:rPr>
          <w:szCs w:val="22"/>
        </w:rPr>
        <w:t xml:space="preserve"> of the Consumer and Governmental Affairs Bureau at (202) 418-</w:t>
      </w:r>
      <w:r w:rsidRPr="006B092E" w:rsidR="00814582">
        <w:rPr>
          <w:szCs w:val="22"/>
        </w:rPr>
        <w:t>2467</w:t>
      </w:r>
      <w:r w:rsidRPr="006B092E">
        <w:rPr>
          <w:szCs w:val="22"/>
        </w:rPr>
        <w:t xml:space="preserve"> or </w:t>
      </w:r>
      <w:r>
        <w:fldChar w:fldCharType="begin"/>
      </w:r>
      <w:r>
        <w:instrText xml:space="preserve"> HYPERLINK "mailto:Kristi.Thornton@fcc.gov" </w:instrText>
      </w:r>
      <w:r>
        <w:fldChar w:fldCharType="separate"/>
      </w:r>
      <w:r w:rsidRPr="0054648E" w:rsidR="009212CF">
        <w:rPr>
          <w:rStyle w:val="Hyperlink"/>
          <w:szCs w:val="22"/>
        </w:rPr>
        <w:t>Kristi.Thornton@fcc.gov</w:t>
      </w:r>
      <w:r>
        <w:fldChar w:fldCharType="end"/>
      </w:r>
      <w:r w:rsidR="009212CF">
        <w:rPr>
          <w:szCs w:val="22"/>
        </w:rPr>
        <w:t>; Christina Clearwater at</w:t>
      </w:r>
      <w:r w:rsidR="00B51813">
        <w:rPr>
          <w:szCs w:val="22"/>
        </w:rPr>
        <w:t xml:space="preserve"> (202) 418-1893 or </w:t>
      </w:r>
      <w:r>
        <w:fldChar w:fldCharType="begin"/>
      </w:r>
      <w:r>
        <w:instrText xml:space="preserve"> HYPERLINK "mailto:Christina.Clearwater@fcc.gov" </w:instrText>
      </w:r>
      <w:r>
        <w:fldChar w:fldCharType="separate"/>
      </w:r>
      <w:r w:rsidRPr="0054648E" w:rsidR="00B51813">
        <w:rPr>
          <w:rStyle w:val="Hyperlink"/>
          <w:szCs w:val="22"/>
        </w:rPr>
        <w:t>Christina.Clearwater@fcc.gov</w:t>
      </w:r>
      <w:r>
        <w:fldChar w:fldCharType="end"/>
      </w:r>
      <w:r w:rsidR="00B51813">
        <w:rPr>
          <w:szCs w:val="22"/>
        </w:rPr>
        <w:t xml:space="preserve">; or Karen Schroeder at (202) 418-0654 or </w:t>
      </w:r>
      <w:r>
        <w:fldChar w:fldCharType="begin"/>
      </w:r>
      <w:r>
        <w:instrText xml:space="preserve"> HYPERLINK "mailto:Karen.Schroeder@fcc.gov" </w:instrText>
      </w:r>
      <w:r>
        <w:fldChar w:fldCharType="separate"/>
      </w:r>
      <w:r w:rsidRPr="007B2A5A" w:rsidR="00AB0181">
        <w:rPr>
          <w:rStyle w:val="Hyperlink"/>
          <w:szCs w:val="22"/>
        </w:rPr>
        <w:t>Karen.Schroeder@fcc.gov</w:t>
      </w:r>
      <w:r>
        <w:fldChar w:fldCharType="end"/>
      </w:r>
      <w:r w:rsidRPr="006B092E">
        <w:rPr>
          <w:szCs w:val="22"/>
        </w:rPr>
        <w:t>.</w:t>
      </w:r>
    </w:p>
    <w:sectPr w:rsidSect="002800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Emoji">
    <w:charset w:val="00"/>
    <w:family w:val="swiss"/>
    <w:pitch w:val="variable"/>
    <w:sig w:usb0="00000003" w:usb1="02000000" w:usb2="00000000" w:usb3="00000000" w:csb0="00000001" w:csb1="00000000"/>
  </w:font>
  <w:font w:name="Yu Gothic Light">
    <w:altName w:val="Times New Roman"/>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2B84" w14:paraId="1167CB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410E" w14:paraId="66EE41D4" w14:textId="7E7A8873">
    <w:pPr>
      <w:pStyle w:val="Footer"/>
      <w:jc w:val="center"/>
    </w:pPr>
    <w:r>
      <w:fldChar w:fldCharType="begin"/>
    </w:r>
    <w:r>
      <w:instrText xml:space="preserve"> PAGE   \* MERGEFORMAT </w:instrText>
    </w:r>
    <w:r>
      <w:fldChar w:fldCharType="separate"/>
    </w:r>
    <w:r w:rsidR="008F0A4B">
      <w:rPr>
        <w:noProof/>
      </w:rPr>
      <w:t>7</w:t>
    </w:r>
    <w:r>
      <w:rPr>
        <w:noProof/>
      </w:rPr>
      <w:fldChar w:fldCharType="end"/>
    </w:r>
  </w:p>
  <w:p w:rsidR="00CA410E" w14:paraId="5D60569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2B84" w14:paraId="2156D1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0AD2" w14:paraId="4C90DDD6" w14:textId="77777777">
      <w:r>
        <w:separator/>
      </w:r>
    </w:p>
  </w:footnote>
  <w:footnote w:type="continuationSeparator" w:id="1">
    <w:p w:rsidR="00E70AD2" w14:paraId="19094C22" w14:textId="77777777">
      <w:r>
        <w:continuationSeparator/>
      </w:r>
    </w:p>
  </w:footnote>
  <w:footnote w:type="continuationNotice" w:id="2">
    <w:p w:rsidR="00E70AD2" w14:paraId="4DBB06DC" w14:textId="77777777"/>
  </w:footnote>
  <w:footnote w:id="3">
    <w:p w:rsidR="00CA410E" w:rsidRPr="0040057D" w:rsidP="00CA4144" w14:paraId="0ABE5745" w14:textId="66686EB2">
      <w:pPr>
        <w:spacing w:after="120"/>
        <w:rPr>
          <w:snapToGrid/>
          <w:kern w:val="0"/>
          <w:sz w:val="20"/>
        </w:rPr>
      </w:pPr>
      <w:r w:rsidRPr="0040057D">
        <w:rPr>
          <w:rStyle w:val="FootnoteReference"/>
        </w:rPr>
        <w:footnoteRef/>
      </w:r>
      <w:r w:rsidRPr="0040057D">
        <w:rPr>
          <w:sz w:val="20"/>
        </w:rPr>
        <w:t xml:space="preserve"> The TCPA is codified at </w:t>
      </w:r>
      <w:bookmarkStart w:id="2" w:name="_Hlk511112867"/>
      <w:r w:rsidRPr="0040057D">
        <w:rPr>
          <w:sz w:val="20"/>
        </w:rPr>
        <w:t>47 U.S.C. § 227</w:t>
      </w:r>
      <w:bookmarkEnd w:id="2"/>
      <w:r w:rsidRPr="0040057D">
        <w:rPr>
          <w:sz w:val="20"/>
        </w:rPr>
        <w:t>.  The Commission’s implementing rules are codified at 47 CFR §</w:t>
      </w:r>
      <w:r w:rsidR="004833A2">
        <w:rPr>
          <w:sz w:val="20"/>
        </w:rPr>
        <w:t> </w:t>
      </w:r>
      <w:r w:rsidRPr="0040057D">
        <w:rPr>
          <w:sz w:val="20"/>
        </w:rPr>
        <w:t>64.1200.</w:t>
      </w:r>
      <w:r w:rsidRPr="0040057D">
        <w:rPr>
          <w:rFonts w:eastAsia="Segoe UI Emoji"/>
          <w:snapToGrid/>
          <w:kern w:val="0"/>
          <w:sz w:val="20"/>
        </w:rPr>
        <w:t xml:space="preserve"> </w:t>
      </w:r>
    </w:p>
  </w:footnote>
  <w:footnote w:id="4">
    <w:p w:rsidR="00CA410E" w:rsidRPr="0040057D" w14:paraId="4326A039" w14:textId="5ECA2445">
      <w:pPr>
        <w:pStyle w:val="FootnoteText"/>
      </w:pPr>
      <w:r w:rsidRPr="0040057D">
        <w:rPr>
          <w:rStyle w:val="FootnoteReference"/>
        </w:rPr>
        <w:footnoteRef/>
      </w:r>
      <w:r w:rsidRPr="0040057D">
        <w:t xml:space="preserve"> </w:t>
      </w:r>
      <w:r w:rsidRPr="0040057D">
        <w:rPr>
          <w:i/>
        </w:rPr>
        <w:t>ACA Int’l, et al. v. FCC</w:t>
      </w:r>
      <w:r w:rsidRPr="0040057D">
        <w:t xml:space="preserve">, </w:t>
      </w:r>
      <w:r w:rsidR="00DC3598">
        <w:t>885 F.3d 687</w:t>
      </w:r>
      <w:r w:rsidRPr="0040057D">
        <w:t xml:space="preserve"> (D.C. Cir. 2018) </w:t>
      </w:r>
      <w:r w:rsidR="00283917">
        <w:t xml:space="preserve">(mandate issued May 8, 2018) </w:t>
      </w:r>
      <w:r w:rsidRPr="0040057D">
        <w:t xml:space="preserve">(affirming in part and vacating in part </w:t>
      </w:r>
      <w:r w:rsidRPr="0040057D">
        <w:rPr>
          <w:i/>
        </w:rPr>
        <w:t>Rules and Regulations Implementing the Telephone Consumer Protection Act of 1991</w:t>
      </w:r>
      <w:r w:rsidRPr="0040057D">
        <w:t>, CG Docket No. 02-278, WC Docket No. 07-135, Declaratory Ruling and Order, 30 FCC Rcd 7961 (2015) (</w:t>
      </w:r>
      <w:r w:rsidRPr="0040057D">
        <w:rPr>
          <w:i/>
        </w:rPr>
        <w:t>2015 TCPA Declaratory Ruling and Order</w:t>
      </w:r>
      <w:r w:rsidRPr="0040057D">
        <w:t>)).</w:t>
      </w:r>
    </w:p>
  </w:footnote>
  <w:footnote w:id="5">
    <w:p w:rsidR="00CA410E" w:rsidRPr="0040057D" w14:paraId="3BDD805A" w14:textId="79560EE2">
      <w:pPr>
        <w:pStyle w:val="FootnoteText"/>
      </w:pPr>
      <w:r w:rsidRPr="0040057D">
        <w:rPr>
          <w:rStyle w:val="FootnoteReference"/>
        </w:rPr>
        <w:footnoteRef/>
      </w:r>
      <w:r w:rsidRPr="0040057D">
        <w:t xml:space="preserve"> </w:t>
      </w:r>
      <w:r w:rsidRPr="0040057D">
        <w:rPr>
          <w:i/>
        </w:rPr>
        <w:t xml:space="preserve">See </w:t>
      </w:r>
      <w:r w:rsidRPr="0040057D">
        <w:rPr>
          <w:rFonts w:eastAsia="Calibri"/>
          <w:color w:val="010101"/>
        </w:rPr>
        <w:t>47 U.S.C. § 227(a)(1); 47 CFR § 64.1200(a)(1)</w:t>
      </w:r>
      <w:r w:rsidR="004833A2">
        <w:rPr>
          <w:rFonts w:eastAsia="Calibri"/>
          <w:color w:val="010101"/>
        </w:rPr>
        <w:t>.  The Commission’s rules also use the term “autodialer,” which we have defined as synonymous with an automatic telephone dialing system.</w:t>
      </w:r>
      <w:r w:rsidRPr="0040057D">
        <w:rPr>
          <w:rFonts w:eastAsia="Calibri"/>
          <w:color w:val="010101"/>
        </w:rPr>
        <w:t xml:space="preserve"> </w:t>
      </w:r>
      <w:r w:rsidR="004833A2">
        <w:rPr>
          <w:rFonts w:eastAsia="Calibri"/>
          <w:color w:val="010101"/>
        </w:rPr>
        <w:t xml:space="preserve"> </w:t>
      </w:r>
      <w:r w:rsidR="004833A2">
        <w:rPr>
          <w:rFonts w:eastAsia="Calibri"/>
          <w:i/>
          <w:iCs/>
          <w:color w:val="010101"/>
        </w:rPr>
        <w:t>S</w:t>
      </w:r>
      <w:r w:rsidRPr="0040057D">
        <w:rPr>
          <w:rFonts w:eastAsia="Calibri"/>
          <w:i/>
          <w:iCs/>
          <w:color w:val="010101"/>
        </w:rPr>
        <w:t xml:space="preserve">ee </w:t>
      </w:r>
      <w:r w:rsidRPr="0040057D">
        <w:rPr>
          <w:rFonts w:eastAsia="Calibri"/>
          <w:color w:val="010101"/>
        </w:rPr>
        <w:t>47 CFR § 64.1200(f)(2).</w:t>
      </w:r>
    </w:p>
  </w:footnote>
  <w:footnote w:id="6">
    <w:p w:rsidR="00CA410E" w:rsidRPr="0040057D" w14:paraId="62A9D0EB" w14:textId="25E540D2">
      <w:pPr>
        <w:pStyle w:val="FootnoteText"/>
      </w:pPr>
      <w:r w:rsidRPr="0040057D">
        <w:rPr>
          <w:rStyle w:val="FootnoteReference"/>
        </w:rPr>
        <w:footnoteRef/>
      </w:r>
      <w:r w:rsidRPr="0040057D">
        <w:t xml:space="preserve"> 47 U.S.C. § 227(a)(1)</w:t>
      </w:r>
      <w:r w:rsidR="00D15D39">
        <w:t xml:space="preserve"> (emphasis added)</w:t>
      </w:r>
      <w:r w:rsidRPr="0040057D">
        <w:t>.</w:t>
      </w:r>
    </w:p>
  </w:footnote>
  <w:footnote w:id="7">
    <w:p w:rsidR="00D4511C" w:rsidRPr="007E3AAC" w14:paraId="6633441A" w14:textId="46B3D57F">
      <w:pPr>
        <w:pStyle w:val="FootnoteText"/>
      </w:pPr>
      <w:r>
        <w:rPr>
          <w:rStyle w:val="FootnoteReference"/>
        </w:rPr>
        <w:footnoteRef/>
      </w:r>
      <w:r>
        <w:t xml:space="preserve"> </w:t>
      </w:r>
      <w:r w:rsidRPr="0040057D" w:rsidR="007E3AAC">
        <w:rPr>
          <w:i/>
        </w:rPr>
        <w:t>2015 TCPA Declaratory Ruling and Order</w:t>
      </w:r>
      <w:r w:rsidR="007E3AAC">
        <w:t>, 30 FCC Rcd at 7975, para. 18.</w:t>
      </w:r>
    </w:p>
  </w:footnote>
  <w:footnote w:id="8">
    <w:p w:rsidR="00D4511C" w14:paraId="5665AAEA" w14:textId="60D44188">
      <w:pPr>
        <w:pStyle w:val="FootnoteText"/>
      </w:pPr>
      <w:r>
        <w:rPr>
          <w:rStyle w:val="FootnoteReference"/>
        </w:rPr>
        <w:footnoteRef/>
      </w:r>
      <w:r>
        <w:t xml:space="preserve"> </w:t>
      </w:r>
      <w:r w:rsidRPr="0040057D">
        <w:rPr>
          <w:i/>
        </w:rPr>
        <w:t>ACA Int’l</w:t>
      </w:r>
      <w:r w:rsidRPr="0040057D">
        <w:t xml:space="preserve">, </w:t>
      </w:r>
      <w:r w:rsidR="00DC3598">
        <w:t>885 F.3d at 696</w:t>
      </w:r>
      <w:r w:rsidRPr="0040057D">
        <w:t>.</w:t>
      </w:r>
    </w:p>
  </w:footnote>
  <w:footnote w:id="9">
    <w:p w:rsidR="004833A2" w:rsidRPr="0040057D" w:rsidP="004833A2" w14:paraId="19AE0633" w14:textId="279C9A7D">
      <w:pPr>
        <w:pStyle w:val="FootnoteText"/>
      </w:pPr>
      <w:r w:rsidRPr="0040057D">
        <w:rPr>
          <w:rStyle w:val="FootnoteReference"/>
        </w:rPr>
        <w:footnoteRef/>
      </w:r>
      <w:r w:rsidRPr="0040057D">
        <w:t xml:space="preserve"> </w:t>
      </w:r>
      <w:r w:rsidRPr="0040057D">
        <w:rPr>
          <w:i/>
        </w:rPr>
        <w:t>ACA Int’l</w:t>
      </w:r>
      <w:r w:rsidRPr="006574AC">
        <w:t xml:space="preserve">, </w:t>
      </w:r>
      <w:r w:rsidR="00DC3598">
        <w:t>885 F.3d</w:t>
      </w:r>
      <w:r w:rsidRPr="0040057D">
        <w:t xml:space="preserve"> at </w:t>
      </w:r>
      <w:r w:rsidR="00DC3598">
        <w:t>698</w:t>
      </w:r>
      <w:r w:rsidRPr="0040057D">
        <w:t>.</w:t>
      </w:r>
    </w:p>
  </w:footnote>
  <w:footnote w:id="10">
    <w:p w:rsidR="00CA410E" w:rsidRPr="008A0789" w14:paraId="0058B146" w14:textId="7CA916E3">
      <w:pPr>
        <w:pStyle w:val="FootnoteText"/>
      </w:pPr>
      <w:r w:rsidRPr="0040057D">
        <w:rPr>
          <w:rStyle w:val="FootnoteReference"/>
        </w:rPr>
        <w:footnoteRef/>
      </w:r>
      <w:r w:rsidRPr="0040057D">
        <w:t xml:space="preserve"> </w:t>
      </w:r>
      <w:r w:rsidRPr="0040057D" w:rsidR="00A9555F">
        <w:rPr>
          <w:i/>
        </w:rPr>
        <w:t>Id.</w:t>
      </w:r>
      <w:r w:rsidR="008A0789">
        <w:t xml:space="preserve"> at </w:t>
      </w:r>
      <w:r w:rsidR="00DC3598">
        <w:t>696</w:t>
      </w:r>
      <w:r w:rsidR="008A0789">
        <w:t>.</w:t>
      </w:r>
    </w:p>
  </w:footnote>
  <w:footnote w:id="11">
    <w:p w:rsidR="00807B47" w:rsidRPr="00807B47" w14:paraId="74FAE117" w14:textId="39116318">
      <w:pPr>
        <w:pStyle w:val="FootnoteText"/>
      </w:pPr>
      <w:r>
        <w:rPr>
          <w:rStyle w:val="FootnoteReference"/>
        </w:rPr>
        <w:footnoteRef/>
      </w:r>
      <w:r>
        <w:t xml:space="preserve"> </w:t>
      </w:r>
      <w:r>
        <w:rPr>
          <w:i/>
        </w:rPr>
        <w:t>Id.</w:t>
      </w:r>
      <w:r>
        <w:t xml:space="preserve"> at </w:t>
      </w:r>
      <w:r w:rsidR="00DC3598">
        <w:t>697</w:t>
      </w:r>
      <w:r>
        <w:t>.</w:t>
      </w:r>
    </w:p>
  </w:footnote>
  <w:footnote w:id="12">
    <w:p w:rsidR="00807B47" w:rsidRPr="00807B47" w14:paraId="75106FC4" w14:textId="61BE121B">
      <w:pPr>
        <w:pStyle w:val="FootnoteText"/>
      </w:pPr>
      <w:r>
        <w:rPr>
          <w:rStyle w:val="FootnoteReference"/>
        </w:rPr>
        <w:footnoteRef/>
      </w:r>
      <w:r>
        <w:t xml:space="preserve"> </w:t>
      </w:r>
      <w:r>
        <w:rPr>
          <w:i/>
        </w:rPr>
        <w:t>Id.</w:t>
      </w:r>
      <w:r>
        <w:t xml:space="preserve"> at </w:t>
      </w:r>
      <w:r w:rsidR="00DC3598">
        <w:t>698</w:t>
      </w:r>
      <w:r>
        <w:t>.</w:t>
      </w:r>
    </w:p>
  </w:footnote>
  <w:footnote w:id="13">
    <w:p w:rsidR="00D15D39" w:rsidRPr="0040057D" w:rsidP="00D15D39" w14:paraId="55AA8C79" w14:textId="77777777">
      <w:pPr>
        <w:pStyle w:val="FootnoteText"/>
      </w:pPr>
      <w:r w:rsidRPr="0040057D">
        <w:rPr>
          <w:rStyle w:val="FootnoteReference"/>
        </w:rPr>
        <w:footnoteRef/>
      </w:r>
      <w:r w:rsidRPr="0040057D">
        <w:t xml:space="preserve"> 47 U.S.C. § 227(a)(1)</w:t>
      </w:r>
      <w:r>
        <w:t xml:space="preserve"> (emphasis added)</w:t>
      </w:r>
      <w:r w:rsidRPr="0040057D">
        <w:t>.</w:t>
      </w:r>
    </w:p>
  </w:footnote>
  <w:footnote w:id="14">
    <w:p w:rsidR="00555668" w14:paraId="5DC5C3D7" w14:textId="0AE0D6F3">
      <w:pPr>
        <w:pStyle w:val="FootnoteText"/>
      </w:pPr>
      <w:r>
        <w:rPr>
          <w:rStyle w:val="FootnoteReference"/>
        </w:rPr>
        <w:footnoteRef/>
      </w:r>
      <w:r>
        <w:t xml:space="preserve"> </w:t>
      </w:r>
      <w:r w:rsidRPr="0040057D">
        <w:rPr>
          <w:i/>
        </w:rPr>
        <w:t>2015 TCPA Declaratory Ruling and Order</w:t>
      </w:r>
      <w:r>
        <w:t>, 30 FCC Rcd at 7975, para. 17.</w:t>
      </w:r>
    </w:p>
  </w:footnote>
  <w:footnote w:id="15">
    <w:p w:rsidR="00555668" w:rsidRPr="00555668" w14:paraId="40C0230A" w14:textId="7FE63F50">
      <w:pPr>
        <w:pStyle w:val="FootnoteText"/>
      </w:pPr>
      <w:r>
        <w:rPr>
          <w:rStyle w:val="FootnoteReference"/>
        </w:rPr>
        <w:footnoteRef/>
      </w:r>
      <w:r>
        <w:t xml:space="preserve"> </w:t>
      </w:r>
      <w:r>
        <w:rPr>
          <w:i/>
        </w:rPr>
        <w:t>Id.</w:t>
      </w:r>
      <w:r>
        <w:t xml:space="preserve"> at 7976, para. 20.</w:t>
      </w:r>
    </w:p>
  </w:footnote>
  <w:footnote w:id="16">
    <w:p w:rsidR="00555668" w:rsidRPr="00555668" w14:paraId="6143B902" w14:textId="540D07ED">
      <w:pPr>
        <w:pStyle w:val="FootnoteText"/>
      </w:pPr>
      <w:r>
        <w:rPr>
          <w:rStyle w:val="FootnoteReference"/>
        </w:rPr>
        <w:footnoteRef/>
      </w:r>
      <w:r>
        <w:t xml:space="preserve"> </w:t>
      </w:r>
      <w:r w:rsidRPr="0040057D">
        <w:rPr>
          <w:i/>
        </w:rPr>
        <w:t>ACA Int’l</w:t>
      </w:r>
      <w:r>
        <w:t xml:space="preserve">, </w:t>
      </w:r>
      <w:r w:rsidR="00DC3598">
        <w:t>885 F.3d</w:t>
      </w:r>
      <w:r w:rsidRPr="0040057D" w:rsidR="006574AC">
        <w:t xml:space="preserve"> </w:t>
      </w:r>
      <w:r>
        <w:t xml:space="preserve">at </w:t>
      </w:r>
      <w:r w:rsidR="00DC3598">
        <w:t>703</w:t>
      </w:r>
      <w:r>
        <w:t>.</w:t>
      </w:r>
    </w:p>
  </w:footnote>
  <w:footnote w:id="17">
    <w:p w:rsidR="00555668" w14:paraId="54538C20" w14:textId="11D742F8">
      <w:pPr>
        <w:pStyle w:val="FootnoteText"/>
      </w:pPr>
      <w:r>
        <w:rPr>
          <w:rStyle w:val="FootnoteReference"/>
        </w:rPr>
        <w:footnoteRef/>
      </w:r>
      <w:r>
        <w:t xml:space="preserve"> </w:t>
      </w:r>
      <w:r w:rsidRPr="0040057D">
        <w:rPr>
          <w:i/>
        </w:rPr>
        <w:t>2015 TCPA Declaratory Ruling and Order</w:t>
      </w:r>
      <w:r>
        <w:t>, 30 FCC Rcd at 7975, para. 17.</w:t>
      </w:r>
    </w:p>
  </w:footnote>
  <w:footnote w:id="18">
    <w:p w:rsidR="00555668" w14:paraId="2C293ABC" w14:textId="50C9223F">
      <w:pPr>
        <w:pStyle w:val="FootnoteText"/>
      </w:pPr>
      <w:r>
        <w:rPr>
          <w:rStyle w:val="FootnoteReference"/>
        </w:rPr>
        <w:footnoteRef/>
      </w:r>
      <w:r>
        <w:t xml:space="preserve"> </w:t>
      </w:r>
      <w:r w:rsidRPr="0040057D">
        <w:rPr>
          <w:i/>
        </w:rPr>
        <w:t>ACA Int’l</w:t>
      </w:r>
      <w:r>
        <w:t xml:space="preserve">, </w:t>
      </w:r>
      <w:r w:rsidR="00DC3598">
        <w:t>885 F.3d</w:t>
      </w:r>
      <w:r w:rsidRPr="0040057D" w:rsidR="00FA7AED">
        <w:t xml:space="preserve"> </w:t>
      </w:r>
      <w:r>
        <w:t xml:space="preserve">at </w:t>
      </w:r>
      <w:r w:rsidR="00DC3598">
        <w:t>703</w:t>
      </w:r>
      <w:r>
        <w:t>.</w:t>
      </w:r>
    </w:p>
  </w:footnote>
  <w:footnote w:id="19">
    <w:p w:rsidR="00392034" w:rsidRPr="00392034" w14:paraId="3A20D8BC" w14:textId="7CACF6F9">
      <w:pPr>
        <w:pStyle w:val="FootnoteText"/>
      </w:pPr>
      <w:r>
        <w:rPr>
          <w:rStyle w:val="FootnoteReference"/>
        </w:rPr>
        <w:footnoteRef/>
      </w:r>
      <w:r>
        <w:t xml:space="preserve"> </w:t>
      </w:r>
      <w:r>
        <w:rPr>
          <w:i/>
        </w:rPr>
        <w:t>Id.</w:t>
      </w:r>
      <w:r>
        <w:t xml:space="preserve"> </w:t>
      </w:r>
    </w:p>
  </w:footnote>
  <w:footnote w:id="20">
    <w:p w:rsidR="00392034" w:rsidRPr="00392034" w14:paraId="2EE674F0" w14:textId="6F557F20">
      <w:pPr>
        <w:pStyle w:val="FootnoteText"/>
      </w:pPr>
      <w:r>
        <w:rPr>
          <w:rStyle w:val="FootnoteReference"/>
        </w:rPr>
        <w:footnoteRef/>
      </w:r>
      <w:r>
        <w:t xml:space="preserve"> </w:t>
      </w:r>
      <w:r>
        <w:rPr>
          <w:i/>
        </w:rPr>
        <w:t>Id.</w:t>
      </w:r>
      <w:r>
        <w:t xml:space="preserve"> at </w:t>
      </w:r>
      <w:r w:rsidR="00DC3598">
        <w:t>702</w:t>
      </w:r>
      <w:r>
        <w:t>.</w:t>
      </w:r>
    </w:p>
  </w:footnote>
  <w:footnote w:id="21">
    <w:p w:rsidR="006E7020" w:rsidRPr="006E7020" w14:paraId="73AF488F" w14:textId="70C1EAC3">
      <w:pPr>
        <w:pStyle w:val="FootnoteText"/>
      </w:pPr>
      <w:r>
        <w:rPr>
          <w:rStyle w:val="FootnoteReference"/>
        </w:rPr>
        <w:footnoteRef/>
      </w:r>
      <w:r>
        <w:t xml:space="preserve"> </w:t>
      </w:r>
      <w:r>
        <w:rPr>
          <w:i/>
        </w:rPr>
        <w:t>Id.</w:t>
      </w:r>
      <w:r>
        <w:t xml:space="preserve"> at </w:t>
      </w:r>
      <w:r w:rsidR="00DC3598">
        <w:t>703</w:t>
      </w:r>
      <w:r>
        <w:t xml:space="preserve">; </w:t>
      </w:r>
      <w:r>
        <w:rPr>
          <w:i/>
        </w:rPr>
        <w:t>see also</w:t>
      </w:r>
      <w:r>
        <w:t xml:space="preserve"> </w:t>
      </w:r>
      <w:r>
        <w:rPr>
          <w:i/>
        </w:rPr>
        <w:t>id.</w:t>
      </w:r>
      <w:r>
        <w:t xml:space="preserve"> at </w:t>
      </w:r>
      <w:r w:rsidR="00DC3598">
        <w:t>702</w:t>
      </w:r>
      <w:r>
        <w:t xml:space="preserve"> (explaining that dialing numbers from a set list cannot, by itself, qualify as dialing random or sequential numbers since “[a]nytime phone numbers are dialed from a set list, the database of numbers must be called in some order—either in a random or some other sequence”).</w:t>
      </w:r>
    </w:p>
  </w:footnote>
  <w:footnote w:id="22">
    <w:p w:rsidR="006E7020" w14:paraId="2719CAFD" w14:textId="49F81A46">
      <w:pPr>
        <w:pStyle w:val="FootnoteText"/>
      </w:pPr>
      <w:r>
        <w:rPr>
          <w:rStyle w:val="FootnoteReference"/>
        </w:rPr>
        <w:footnoteRef/>
      </w:r>
      <w:r>
        <w:t xml:space="preserve"> </w:t>
      </w:r>
      <w:r w:rsidRPr="0040057D">
        <w:t>47 U.S.C. § 227(b)(1)(A)</w:t>
      </w:r>
      <w:r>
        <w:t>.</w:t>
      </w:r>
    </w:p>
  </w:footnote>
  <w:footnote w:id="23">
    <w:p w:rsidR="008B7881" w14:paraId="781231B4" w14:textId="18699B53">
      <w:pPr>
        <w:pStyle w:val="FootnoteText"/>
      </w:pPr>
      <w:r>
        <w:rPr>
          <w:rStyle w:val="FootnoteReference"/>
        </w:rPr>
        <w:footnoteRef/>
      </w:r>
      <w:r>
        <w:t xml:space="preserve"> </w:t>
      </w:r>
      <w:r w:rsidRPr="0040057D">
        <w:rPr>
          <w:i/>
        </w:rPr>
        <w:t>See</w:t>
      </w:r>
      <w:r w:rsidRPr="0040057D">
        <w:t xml:space="preserve"> </w:t>
      </w:r>
      <w:r w:rsidRPr="0040057D">
        <w:rPr>
          <w:i/>
        </w:rPr>
        <w:t>ACA Int’l</w:t>
      </w:r>
      <w:r w:rsidRPr="00E075FA">
        <w:t>,</w:t>
      </w:r>
      <w:r w:rsidRPr="009518AF" w:rsidR="006574AC">
        <w:t xml:space="preserve"> </w:t>
      </w:r>
      <w:r w:rsidR="00DC3598">
        <w:t>885 F.3d</w:t>
      </w:r>
      <w:r w:rsidRPr="0040057D">
        <w:rPr>
          <w:i/>
        </w:rPr>
        <w:t xml:space="preserve"> </w:t>
      </w:r>
      <w:r w:rsidRPr="0040057D">
        <w:t xml:space="preserve">at </w:t>
      </w:r>
      <w:r w:rsidR="00DC3598">
        <w:t>704</w:t>
      </w:r>
      <w:r w:rsidRPr="0040057D">
        <w:t>.</w:t>
      </w:r>
    </w:p>
  </w:footnote>
  <w:footnote w:id="24">
    <w:p w:rsidR="00064269" w:rsidRPr="00064269" w14:paraId="799380CF" w14:textId="1F775F9F">
      <w:pPr>
        <w:pStyle w:val="FootnoteText"/>
      </w:pPr>
      <w:r>
        <w:rPr>
          <w:rStyle w:val="FootnoteReference"/>
        </w:rPr>
        <w:footnoteRef/>
      </w:r>
      <w:r>
        <w:t xml:space="preserve"> </w:t>
      </w:r>
      <w:r>
        <w:rPr>
          <w:i/>
        </w:rPr>
        <w:t>Id.</w:t>
      </w:r>
      <w:r>
        <w:t xml:space="preserve"> </w:t>
      </w:r>
    </w:p>
  </w:footnote>
  <w:footnote w:id="25">
    <w:p w:rsidR="007D1B9D" w14:paraId="363AF965" w14:textId="5FA0AF3C">
      <w:pPr>
        <w:pStyle w:val="FootnoteText"/>
      </w:pPr>
      <w:r>
        <w:rPr>
          <w:rStyle w:val="FootnoteReference"/>
        </w:rPr>
        <w:footnoteRef/>
      </w:r>
      <w:r>
        <w:t xml:space="preserve"> </w:t>
      </w:r>
      <w:r w:rsidR="00147FA6">
        <w:t xml:space="preserve">U.S. Chamber Institute for Legal Reform </w:t>
      </w:r>
      <w:r w:rsidR="00147FA6">
        <w:rPr>
          <w:i/>
        </w:rPr>
        <w:t>et al.</w:t>
      </w:r>
      <w:r w:rsidR="00147FA6">
        <w:t>, Petition for Declaratory Ruling, CG Docket No. 02-278 (filed May 3, 2018).</w:t>
      </w:r>
    </w:p>
  </w:footnote>
  <w:footnote w:id="26">
    <w:p w:rsidR="00064269" w14:paraId="68315FA3" w14:textId="5A3F9FEF">
      <w:pPr>
        <w:pStyle w:val="FootnoteText"/>
      </w:pPr>
      <w:r>
        <w:rPr>
          <w:rStyle w:val="FootnoteReference"/>
        </w:rPr>
        <w:footnoteRef/>
      </w:r>
      <w:r>
        <w:t xml:space="preserve"> </w:t>
      </w:r>
      <w:r w:rsidRPr="0040057D">
        <w:t>47 U.S.C. § 227(b)(1)(A)</w:t>
      </w:r>
      <w:r>
        <w:t>.</w:t>
      </w:r>
    </w:p>
  </w:footnote>
  <w:footnote w:id="27">
    <w:p w:rsidR="00CA410E" w:rsidRPr="0040057D" w14:paraId="655BFB15" w14:textId="4244BAD0">
      <w:pPr>
        <w:pStyle w:val="FootnoteText"/>
      </w:pPr>
      <w:r w:rsidRPr="0040057D">
        <w:rPr>
          <w:rStyle w:val="FootnoteReference"/>
        </w:rPr>
        <w:footnoteRef/>
      </w:r>
      <w:r w:rsidRPr="0040057D">
        <w:t xml:space="preserve"> </w:t>
      </w:r>
      <w:r w:rsidRPr="0040057D">
        <w:rPr>
          <w:i/>
        </w:rPr>
        <w:t>ACA Int’l</w:t>
      </w:r>
      <w:r w:rsidRPr="008D015D">
        <w:t xml:space="preserve">, </w:t>
      </w:r>
      <w:r w:rsidR="00DC3598">
        <w:t>885 F.3d</w:t>
      </w:r>
      <w:r w:rsidRPr="0040057D">
        <w:t xml:space="preserve"> at </w:t>
      </w:r>
      <w:r w:rsidR="00DC3598">
        <w:t>708-09</w:t>
      </w:r>
      <w:r w:rsidRPr="0040057D">
        <w:t>.</w:t>
      </w:r>
    </w:p>
  </w:footnote>
  <w:footnote w:id="28">
    <w:p w:rsidR="00CD0802" w:rsidRPr="00CD0802" w14:paraId="06C44AF9" w14:textId="3BD43640">
      <w:pPr>
        <w:pStyle w:val="FootnoteText"/>
      </w:pPr>
      <w:r>
        <w:rPr>
          <w:rStyle w:val="FootnoteReference"/>
        </w:rPr>
        <w:footnoteRef/>
      </w:r>
      <w:r>
        <w:t xml:space="preserve"> </w:t>
      </w:r>
      <w:r>
        <w:rPr>
          <w:i/>
        </w:rPr>
        <w:t>Id.</w:t>
      </w:r>
      <w:r>
        <w:t xml:space="preserve"> at </w:t>
      </w:r>
      <w:r w:rsidR="00DC3598">
        <w:t>707</w:t>
      </w:r>
      <w:r>
        <w:t>.</w:t>
      </w:r>
    </w:p>
  </w:footnote>
  <w:footnote w:id="29">
    <w:p w:rsidR="007B4D71" w14:paraId="463FAB5C" w14:textId="7CB9E8DF">
      <w:pPr>
        <w:pStyle w:val="FootnoteText"/>
      </w:pPr>
      <w:r>
        <w:rPr>
          <w:rStyle w:val="FootnoteReference"/>
        </w:rPr>
        <w:footnoteRef/>
      </w:r>
      <w:r>
        <w:t xml:space="preserve"> We ask parties to also address the significance of other court rulings on this point.  </w:t>
      </w:r>
      <w:r w:rsidRPr="00BC5E4F">
        <w:rPr>
          <w:i/>
          <w:iCs/>
        </w:rPr>
        <w:t>Soppet v. Enhanced Recovery Co.</w:t>
      </w:r>
      <w:r w:rsidRPr="00BC5E4F">
        <w:t xml:space="preserve">, 679 F.3d 637, 638–42 (7th Cir. 2012); </w:t>
      </w:r>
      <w:r w:rsidRPr="00BC5E4F">
        <w:rPr>
          <w:i/>
          <w:iCs/>
        </w:rPr>
        <w:t>Osorio v. State Farm Bank, F.S.B.</w:t>
      </w:r>
      <w:r w:rsidRPr="00BC5E4F">
        <w:t>, 746 F.3d 1242, 1250–52 (11th Cir. 2014).</w:t>
      </w:r>
    </w:p>
  </w:footnote>
  <w:footnote w:id="30">
    <w:p w:rsidR="00CD0802" w:rsidRPr="00CD0802" w14:paraId="1557B0A8" w14:textId="51727DE5">
      <w:pPr>
        <w:pStyle w:val="FootnoteText"/>
      </w:pPr>
      <w:r>
        <w:rPr>
          <w:rStyle w:val="FootnoteReference"/>
        </w:rPr>
        <w:footnoteRef/>
      </w:r>
      <w:r>
        <w:t xml:space="preserve"> </w:t>
      </w:r>
      <w:r w:rsidRPr="0040057D" w:rsidR="00972C5B">
        <w:rPr>
          <w:i/>
        </w:rPr>
        <w:t>ACA Int’l</w:t>
      </w:r>
      <w:r w:rsidRPr="008D015D" w:rsidR="00972C5B">
        <w:t xml:space="preserve">, </w:t>
      </w:r>
      <w:r w:rsidR="00972C5B">
        <w:t>885 F.3d</w:t>
      </w:r>
      <w:r w:rsidRPr="0040057D" w:rsidR="00972C5B">
        <w:t xml:space="preserve"> </w:t>
      </w:r>
      <w:r>
        <w:t xml:space="preserve">at </w:t>
      </w:r>
      <w:r w:rsidR="00DC3598">
        <w:t>705</w:t>
      </w:r>
      <w:r>
        <w:t>.</w:t>
      </w:r>
    </w:p>
  </w:footnote>
  <w:footnote w:id="31">
    <w:p w:rsidR="0040064C" w:rsidRPr="0040064C" w14:paraId="54CDAF09" w14:textId="1E47C0F2">
      <w:pPr>
        <w:pStyle w:val="FootnoteText"/>
      </w:pPr>
      <w:r>
        <w:rPr>
          <w:rStyle w:val="FootnoteReference"/>
        </w:rPr>
        <w:footnoteRef/>
      </w:r>
      <w:r>
        <w:t xml:space="preserve"> </w:t>
      </w:r>
      <w:r>
        <w:rPr>
          <w:i/>
        </w:rPr>
        <w:t>Id.</w:t>
      </w:r>
      <w:r>
        <w:t xml:space="preserve"> at </w:t>
      </w:r>
      <w:r w:rsidR="00DC3598">
        <w:t>707</w:t>
      </w:r>
      <w:r>
        <w:t>.</w:t>
      </w:r>
    </w:p>
  </w:footnote>
  <w:footnote w:id="32">
    <w:p w:rsidR="0040064C" w:rsidRPr="0040064C" w14:paraId="4E9284B6" w14:textId="5CB55627">
      <w:pPr>
        <w:pStyle w:val="FootnoteText"/>
      </w:pPr>
      <w:r>
        <w:rPr>
          <w:rStyle w:val="FootnoteReference"/>
        </w:rPr>
        <w:footnoteRef/>
      </w:r>
      <w:r>
        <w:t xml:space="preserve"> </w:t>
      </w:r>
      <w:r>
        <w:rPr>
          <w:i/>
        </w:rPr>
        <w:t>Cf.</w:t>
      </w:r>
      <w:r>
        <w:t xml:space="preserve"> </w:t>
      </w:r>
      <w:r>
        <w:rPr>
          <w:i/>
        </w:rPr>
        <w:t>id.</w:t>
      </w:r>
      <w:r>
        <w:t xml:space="preserve"> at </w:t>
      </w:r>
      <w:r w:rsidR="00DC3598">
        <w:t>706-07</w:t>
      </w:r>
      <w:r>
        <w:t xml:space="preserve"> (noting that although the Commission had interpreted “called party” to mean the “present subscriber,” “[f]or that one call [of the safe harbor], the Commission understood the statutory term ‘prior express consent’ to refer to the consent given by the previous subscriber” or a “wireless number’s ‘customary user’”).</w:t>
      </w:r>
    </w:p>
  </w:footnote>
  <w:footnote w:id="33">
    <w:p w:rsidR="00CA410E" w:rsidRPr="0040057D" w14:paraId="14BC40D4" w14:textId="7282DBBA">
      <w:pPr>
        <w:pStyle w:val="FootnoteText"/>
      </w:pPr>
      <w:r w:rsidRPr="0040057D">
        <w:rPr>
          <w:rStyle w:val="FootnoteReference"/>
        </w:rPr>
        <w:footnoteRef/>
      </w:r>
      <w:r w:rsidRPr="0040057D">
        <w:t xml:space="preserve"> </w:t>
      </w:r>
      <w:r w:rsidRPr="0040057D" w:rsidR="00A9555F">
        <w:rPr>
          <w:i/>
        </w:rPr>
        <w:t>Id.</w:t>
      </w:r>
      <w:r w:rsidR="00DC3598">
        <w:rPr>
          <w:i/>
        </w:rPr>
        <w:t xml:space="preserve"> </w:t>
      </w:r>
      <w:r w:rsidR="00DC3598">
        <w:t>at 692.</w:t>
      </w:r>
    </w:p>
  </w:footnote>
  <w:footnote w:id="34">
    <w:p w:rsidR="00C005AB" w:rsidRPr="00C005AB" w14:paraId="7D659C7C" w14:textId="29043326">
      <w:pPr>
        <w:pStyle w:val="FootnoteText"/>
      </w:pPr>
      <w:r>
        <w:rPr>
          <w:rStyle w:val="FootnoteReference"/>
        </w:rPr>
        <w:footnoteRef/>
      </w:r>
      <w:r>
        <w:t xml:space="preserve"> </w:t>
      </w:r>
      <w:r>
        <w:rPr>
          <w:i/>
        </w:rPr>
        <w:t>Id.</w:t>
      </w:r>
      <w:r>
        <w:t xml:space="preserve"> at </w:t>
      </w:r>
      <w:r w:rsidR="00DC3598">
        <w:t>709</w:t>
      </w:r>
      <w:r>
        <w:t>.</w:t>
      </w:r>
    </w:p>
  </w:footnote>
  <w:footnote w:id="35">
    <w:p w:rsidR="00C005AB" w:rsidRPr="00C005AB" w14:paraId="6D645A7C" w14:textId="67514C20">
      <w:pPr>
        <w:pStyle w:val="FootnoteText"/>
      </w:pPr>
      <w:r>
        <w:rPr>
          <w:rStyle w:val="FootnoteReference"/>
        </w:rPr>
        <w:footnoteRef/>
      </w:r>
      <w:r>
        <w:t xml:space="preserve"> </w:t>
      </w:r>
      <w:r>
        <w:rPr>
          <w:i/>
        </w:rPr>
        <w:t>Id.</w:t>
      </w:r>
      <w:r>
        <w:t xml:space="preserve"> at </w:t>
      </w:r>
      <w:r w:rsidR="00DC3598">
        <w:t>710</w:t>
      </w:r>
      <w:r>
        <w:t>.</w:t>
      </w:r>
    </w:p>
  </w:footnote>
  <w:footnote w:id="36">
    <w:p w:rsidR="00CA410E" w:rsidRPr="0040057D" w14:paraId="18CEF84F" w14:textId="39116683">
      <w:pPr>
        <w:pStyle w:val="FootnoteText"/>
      </w:pPr>
      <w:r w:rsidRPr="0040057D">
        <w:rPr>
          <w:rStyle w:val="FootnoteReference"/>
        </w:rPr>
        <w:footnoteRef/>
      </w:r>
      <w:r w:rsidRPr="0040057D">
        <w:t xml:space="preserve"> </w:t>
      </w:r>
      <w:r w:rsidRPr="0040057D">
        <w:rPr>
          <w:i/>
        </w:rPr>
        <w:t>Rules and Regulations Implementing the Telephone Consumer Protection Act of 1991, Broadnet Teleservices LLC Petition for Declaratory Ruling</w:t>
      </w:r>
      <w:r w:rsidRPr="0040057D">
        <w:t>, CG Docket No. 02-278, Declaratory Ruling, 31 FCC Rcd 7394 (2016) (</w:t>
      </w:r>
      <w:r w:rsidRPr="0040057D">
        <w:rPr>
          <w:i/>
        </w:rPr>
        <w:t>Broadnet Declaratory Ruling</w:t>
      </w:r>
      <w:r w:rsidR="006641B9">
        <w:rPr>
          <w:i/>
        </w:rPr>
        <w:t xml:space="preserve"> </w:t>
      </w:r>
      <w:r w:rsidR="006641B9">
        <w:t xml:space="preserve">or </w:t>
      </w:r>
      <w:r w:rsidR="006641B9">
        <w:rPr>
          <w:i/>
        </w:rPr>
        <w:t>Broadnet</w:t>
      </w:r>
      <w:r w:rsidRPr="0040057D">
        <w:t xml:space="preserve">).  </w:t>
      </w:r>
    </w:p>
  </w:footnote>
  <w:footnote w:id="37">
    <w:p w:rsidR="00CA410E" w:rsidRPr="0040057D" w14:paraId="5718A59F" w14:textId="7EDAEB1D">
      <w:pPr>
        <w:pStyle w:val="FootnoteText"/>
      </w:pPr>
      <w:r w:rsidRPr="0040057D">
        <w:rPr>
          <w:rStyle w:val="FootnoteReference"/>
        </w:rPr>
        <w:footnoteRef/>
      </w:r>
      <w:r w:rsidRPr="0040057D">
        <w:t xml:space="preserve"> </w:t>
      </w:r>
      <w:r w:rsidRPr="0040057D">
        <w:rPr>
          <w:i/>
        </w:rPr>
        <w:t>See</w:t>
      </w:r>
      <w:r w:rsidRPr="0040057D">
        <w:t xml:space="preserve"> 47 U.S.C. §227(b)(1) (making it unlawful for “any </w:t>
      </w:r>
      <w:r w:rsidRPr="0040057D">
        <w:rPr>
          <w:i/>
        </w:rPr>
        <w:t>person</w:t>
      </w:r>
      <w:r w:rsidRPr="0040057D">
        <w:t xml:space="preserve"> within the United States, or any </w:t>
      </w:r>
      <w:r w:rsidRPr="0040057D">
        <w:rPr>
          <w:i/>
        </w:rPr>
        <w:t>person</w:t>
      </w:r>
      <w:r w:rsidRPr="0040057D">
        <w:t xml:space="preserve"> outside the United States if the recipient is within the United States” to place an autodialed or prerecorded or artificial</w:t>
      </w:r>
      <w:r w:rsidR="002622B7">
        <w:t xml:space="preserve"> </w:t>
      </w:r>
      <w:r w:rsidRPr="0040057D">
        <w:t>voice call to a wireless telephone number, except with the prior express consent of the called party or in an emergency, or unless the call is solely to collect a debt owed to or guaranteed by the United States) (emphasis added).</w:t>
      </w:r>
    </w:p>
  </w:footnote>
  <w:footnote w:id="38">
    <w:p w:rsidR="00CA410E" w:rsidRPr="0040057D" w:rsidP="00180FF5" w14:paraId="6796A412" w14:textId="77777777">
      <w:pPr>
        <w:pStyle w:val="FootnoteText"/>
      </w:pPr>
      <w:r w:rsidRPr="0040057D">
        <w:rPr>
          <w:rStyle w:val="FootnoteReference"/>
        </w:rPr>
        <w:footnoteRef/>
      </w:r>
      <w:r w:rsidRPr="0040057D">
        <w:t xml:space="preserve"> </w:t>
      </w:r>
      <w:r w:rsidRPr="0040057D">
        <w:rPr>
          <w:rFonts w:eastAsia="Calibri"/>
        </w:rPr>
        <w:t xml:space="preserve">Petition of National Consumer Law Center et al. for Reconsideration of Declaratory Ruling and Request for Stay Pending Reconsideration, CG Docket No. 02-278 (filed July 26, 2016); </w:t>
      </w:r>
      <w:r w:rsidRPr="0040057D">
        <w:rPr>
          <w:rFonts w:eastAsia="Calibri"/>
          <w:i/>
        </w:rPr>
        <w:t>Consumer and Governmental Affairs Bureau Seeks Comment on National Consumer Law Center Petition for Reconsideration of the FCC’s Broadnet Declaratory Ruling</w:t>
      </w:r>
      <w:r w:rsidRPr="0040057D">
        <w:rPr>
          <w:rFonts w:eastAsia="Calibri"/>
        </w:rPr>
        <w:t xml:space="preserve">, CG Docket No. 02-278, Public Notice, 31 FCC Rcd 8725 (2016).  </w:t>
      </w:r>
    </w:p>
  </w:footnote>
  <w:footnote w:id="39">
    <w:p w:rsidR="00CA410E" w:rsidRPr="0040057D" w14:paraId="1921222E" w14:textId="77777777">
      <w:pPr>
        <w:pStyle w:val="FootnoteText"/>
      </w:pPr>
      <w:r w:rsidRPr="0040057D">
        <w:rPr>
          <w:rStyle w:val="FootnoteReference"/>
        </w:rPr>
        <w:footnoteRef/>
      </w:r>
      <w:r w:rsidRPr="0040057D">
        <w:t xml:space="preserve"> </w:t>
      </w:r>
      <w:r w:rsidRPr="0040057D">
        <w:rPr>
          <w:rFonts w:eastAsia="Calibri"/>
        </w:rPr>
        <w:t xml:space="preserve">Professional Services Council Petition for Reconsideration, CG Docket No. 02-278 (filed Aug. 4, 2016); </w:t>
      </w:r>
      <w:r w:rsidRPr="0040057D">
        <w:rPr>
          <w:rFonts w:eastAsia="Calibri"/>
          <w:i/>
        </w:rPr>
        <w:t>Consumer and Governmental Affairs Bureau Seeks Comment on Professional Services Council Petition for Reconsideration of the FCC’s Broadnet Declaratory Ruling</w:t>
      </w:r>
      <w:r w:rsidRPr="0040057D">
        <w:rPr>
          <w:rFonts w:eastAsia="Calibri"/>
        </w:rPr>
        <w:t>, CG Docket No. 02-278, Public Notice, 31 FCC Rcd 8931 (2016).</w:t>
      </w:r>
    </w:p>
  </w:footnote>
  <w:footnote w:id="40">
    <w:p w:rsidR="00CA410E" w:rsidRPr="0040057D" w14:paraId="2728F7CF" w14:textId="187450AF">
      <w:pPr>
        <w:pStyle w:val="FootnoteText"/>
      </w:pPr>
      <w:r w:rsidRPr="0040057D">
        <w:rPr>
          <w:rStyle w:val="FootnoteReference"/>
        </w:rPr>
        <w:footnoteRef/>
      </w:r>
      <w:r w:rsidRPr="0040057D">
        <w:t xml:space="preserve"> </w:t>
      </w:r>
      <w:r w:rsidRPr="0040057D">
        <w:rPr>
          <w:i/>
        </w:rPr>
        <w:t>See</w:t>
      </w:r>
      <w:r w:rsidRPr="0040057D">
        <w:t xml:space="preserve"> Petition of Broadnet Teleservices LLC for Declaratory Ruling, CG Docket No. 02-278 (filed Sept. 16, 2015).  </w:t>
      </w:r>
    </w:p>
  </w:footnote>
  <w:footnote w:id="41">
    <w:p w:rsidR="006065B3" w:rsidRPr="006065B3" w14:paraId="57D192CA" w14:textId="73DD6D16">
      <w:pPr>
        <w:pStyle w:val="FootnoteText"/>
      </w:pPr>
      <w:r>
        <w:rPr>
          <w:rStyle w:val="FootnoteReference"/>
        </w:rPr>
        <w:footnoteRef/>
      </w:r>
      <w:r>
        <w:t xml:space="preserve"> </w:t>
      </w:r>
      <w:r>
        <w:rPr>
          <w:i/>
        </w:rPr>
        <w:t>See</w:t>
      </w:r>
      <w:r>
        <w:t xml:space="preserve"> </w:t>
      </w:r>
      <w:r>
        <w:rPr>
          <w:i/>
        </w:rPr>
        <w:t>Broadnet Declaratory Ruling</w:t>
      </w:r>
      <w:r>
        <w:t>, 31 FCC Rcd at 7399, para. 11 n.60.</w:t>
      </w:r>
    </w:p>
  </w:footnote>
  <w:footnote w:id="42">
    <w:p w:rsidR="00CA410E" w:rsidRPr="0040057D" w14:paraId="69B78368" w14:textId="391FD0C4">
      <w:pPr>
        <w:pStyle w:val="FootnoteText"/>
      </w:pPr>
      <w:r w:rsidRPr="0040057D">
        <w:rPr>
          <w:rStyle w:val="FootnoteReference"/>
        </w:rPr>
        <w:footnoteRef/>
      </w:r>
      <w:r w:rsidRPr="0040057D">
        <w:t xml:space="preserve"> </w:t>
      </w:r>
      <w:r w:rsidRPr="0040057D">
        <w:rPr>
          <w:i/>
        </w:rPr>
        <w:t>Rules and Regulations Implementing the Telephone Consumer Protection Act of 1991</w:t>
      </w:r>
      <w:r w:rsidRPr="0040057D">
        <w:t>, CG Docket No. 02-278, Report and Order, 31 FCC Rcd 9074 (2016) (</w:t>
      </w:r>
      <w:r w:rsidRPr="0040057D">
        <w:rPr>
          <w:i/>
        </w:rPr>
        <w:t>2016</w:t>
      </w:r>
      <w:r w:rsidRPr="0040057D">
        <w:t xml:space="preserve"> </w:t>
      </w:r>
      <w:r w:rsidRPr="0040057D">
        <w:rPr>
          <w:i/>
        </w:rPr>
        <w:t>Federal Debt Collection Rules</w:t>
      </w:r>
      <w:r w:rsidRPr="0040057D">
        <w:t>).</w:t>
      </w:r>
    </w:p>
  </w:footnote>
  <w:footnote w:id="43">
    <w:p w:rsidR="00CA410E" w:rsidRPr="0040057D" w:rsidP="00CA4ABB" w14:paraId="40392A5D" w14:textId="7236A59C">
      <w:pPr>
        <w:pStyle w:val="FootnoteText"/>
      </w:pPr>
      <w:r w:rsidRPr="0040057D">
        <w:rPr>
          <w:rStyle w:val="FootnoteReference"/>
        </w:rPr>
        <w:footnoteRef/>
      </w:r>
      <w:r w:rsidRPr="0040057D">
        <w:t xml:space="preserve"> </w:t>
      </w:r>
      <w:r w:rsidRPr="0040057D">
        <w:rPr>
          <w:i/>
        </w:rPr>
        <w:t>See</w:t>
      </w:r>
      <w:r w:rsidRPr="0040057D">
        <w:t xml:space="preserve"> Petition for Reconsideration of Great Lakes Higher Education Corp.; Nelnet, Inc.; Pennsylvania Higher Education Assistance Agency; and the Student Loan Servicing Alliance, CG Docket No. 02-278 (</w:t>
      </w:r>
      <w:r w:rsidRPr="0040057D" w:rsidR="00662674">
        <w:t xml:space="preserve">filed </w:t>
      </w:r>
      <w:r w:rsidRPr="0040057D">
        <w:t xml:space="preserve">Dec. 16, 2016); </w:t>
      </w:r>
      <w:r w:rsidRPr="0040057D">
        <w:rPr>
          <w:rFonts w:eastAsia="Calibri"/>
          <w:i/>
        </w:rPr>
        <w:t>Petition for Reconsideration of Action in Rulemaking Proceeding</w:t>
      </w:r>
      <w:r w:rsidRPr="0040057D">
        <w:rPr>
          <w:rFonts w:eastAsia="Calibri"/>
        </w:rPr>
        <w:t>, CG Docket No. 02-278, Public Notice, 2017 WL 68132 (Jan. 6, 2017); Petition for Reconsideration of Action in Rulemaking Proceeding, 82 Fed. Reg. 4837 (Jan. 17, 2017).</w:t>
      </w:r>
    </w:p>
  </w:footnote>
  <w:footnote w:id="44">
    <w:p w:rsidR="00CA410E" w:rsidRPr="0040057D" w14:paraId="6C1AF5BE" w14:textId="07F4F829">
      <w:pPr>
        <w:pStyle w:val="FootnoteText"/>
      </w:pPr>
      <w:r w:rsidRPr="0040057D">
        <w:rPr>
          <w:rStyle w:val="FootnoteReference"/>
        </w:rPr>
        <w:footnoteRef/>
      </w:r>
      <w:r w:rsidRPr="0040057D">
        <w:t xml:space="preserve"> </w:t>
      </w:r>
      <w:r w:rsidRPr="0040057D">
        <w:rPr>
          <w:i/>
        </w:rPr>
        <w:t>See</w:t>
      </w:r>
      <w:r w:rsidRPr="0040057D">
        <w:t xml:space="preserve"> Petition for Reconsideration of Great Lakes Higher Education Corp.; Nelnet, Inc.; Pennsylvania Higher Education Assistance Agency; and the Student Loan Servicing Alliance, CG Docket No. 02-278</w:t>
      </w:r>
      <w:r w:rsidRPr="0040057D" w:rsidR="00F17C99">
        <w:t>,</w:t>
      </w:r>
      <w:r w:rsidRPr="0040057D">
        <w:t xml:space="preserve"> at 13-14 (</w:t>
      </w:r>
      <w:r w:rsidRPr="0040057D" w:rsidR="00662674">
        <w:t xml:space="preserve">filed </w:t>
      </w:r>
      <w:r w:rsidRPr="0040057D">
        <w:t>Dec. 16, 2016)</w:t>
      </w:r>
      <w:r w:rsidRPr="0040057D">
        <w:rPr>
          <w:rFonts w:eastAsia="Calibri"/>
        </w:rPr>
        <w:t>.</w:t>
      </w:r>
    </w:p>
  </w:footnote>
  <w:footnote w:id="45">
    <w:p w:rsidR="00042C9B" w14:paraId="10CCAF82" w14:textId="02C87B62">
      <w:pPr>
        <w:pStyle w:val="FootnoteText"/>
      </w:pPr>
      <w:r>
        <w:rPr>
          <w:rStyle w:val="FootnoteReference"/>
        </w:rPr>
        <w:footnoteRef/>
      </w:r>
      <w:r>
        <w:t xml:space="preserve"> The Bipartisan Budget Act of 2015, Pub. L. No. 114-74, 129 Stat. 584 (Budget Act), amended the TCPA.  </w:t>
      </w:r>
      <w:r w:rsidRPr="00042C9B">
        <w:rPr>
          <w:i/>
        </w:rPr>
        <w:t>See</w:t>
      </w:r>
      <w:r>
        <w:t xml:space="preserve"> </w:t>
      </w:r>
      <w:r w:rsidRPr="00042C9B">
        <w:t>Budget</w:t>
      </w:r>
      <w:r>
        <w:t xml:space="preserve"> Act § 301(a)(1)(A) (amending 47 U.S.C. § 227(b)(1)(A)); </w:t>
      </w:r>
      <w:r>
        <w:rPr>
          <w:i/>
        </w:rPr>
        <w:t xml:space="preserve">see also id. </w:t>
      </w:r>
      <w:r>
        <w:t>§ 301(a)(1)(B) (amending 47 U.S.C. § 227(b)(1)(B) to read, in part, that artificial or prerecorded</w:t>
      </w:r>
      <w:r w:rsidR="00A14017">
        <w:t xml:space="preserve"> </w:t>
      </w:r>
      <w:r>
        <w:t>voice calls cannot be made to a residential telephone line without the consent of the called party unless the call is “made solely pursuant to the collection of a debt owed to or guaranteed by the United States”).</w:t>
      </w:r>
    </w:p>
  </w:footnote>
  <w:footnote w:id="46">
    <w:p w:rsidR="00CA410E" w:rsidRPr="0040057D" w:rsidP="004C4301" w14:paraId="6152708F" w14:textId="77777777">
      <w:pPr>
        <w:pStyle w:val="FootnoteText"/>
      </w:pPr>
      <w:r w:rsidRPr="0040057D">
        <w:rPr>
          <w:rStyle w:val="FootnoteReference"/>
        </w:rPr>
        <w:footnoteRef/>
      </w:r>
      <w:r w:rsidRPr="0040057D">
        <w:t xml:space="preserve"> 47 CFR §§ 1.2, 1.429.</w:t>
      </w:r>
    </w:p>
  </w:footnote>
  <w:footnote w:id="47">
    <w:p w:rsidR="00CA410E" w:rsidRPr="0040057D" w:rsidP="004C4301" w14:paraId="32B50594" w14:textId="77777777">
      <w:pPr>
        <w:pStyle w:val="FootnoteText"/>
        <w:rPr>
          <w:color w:val="242021"/>
        </w:rPr>
      </w:pPr>
      <w:r w:rsidRPr="0040057D">
        <w:rPr>
          <w:rStyle w:val="FootnoteReference"/>
        </w:rPr>
        <w:footnoteRef/>
      </w:r>
      <w:r w:rsidRPr="0040057D">
        <w:t xml:space="preserve"> </w:t>
      </w:r>
      <w:r w:rsidRPr="0040057D">
        <w:rPr>
          <w:i/>
          <w:iCs/>
          <w:color w:val="242021"/>
          <w:spacing w:val="1"/>
        </w:rPr>
        <w:t>Se</w:t>
      </w:r>
      <w:r w:rsidRPr="0040057D">
        <w:rPr>
          <w:i/>
          <w:iCs/>
          <w:color w:val="242021"/>
        </w:rPr>
        <w:t>e</w:t>
      </w:r>
      <w:r w:rsidRPr="0040057D">
        <w:rPr>
          <w:i/>
          <w:iCs/>
          <w:color w:val="242021"/>
          <w:spacing w:val="-2"/>
        </w:rPr>
        <w:t xml:space="preserve"> id.</w:t>
      </w:r>
      <w:r w:rsidRPr="0040057D">
        <w:rPr>
          <w:color w:val="242021"/>
          <w:spacing w:val="-5"/>
        </w:rPr>
        <w:t xml:space="preserve"> </w:t>
      </w:r>
      <w:r w:rsidRPr="0040057D">
        <w:rPr>
          <w:color w:val="242021"/>
          <w:spacing w:val="1"/>
        </w:rPr>
        <w:t>§</w:t>
      </w:r>
      <w:r w:rsidRPr="0040057D">
        <w:rPr>
          <w:color w:val="242021"/>
        </w:rPr>
        <w:t>§</w:t>
      </w:r>
      <w:r w:rsidRPr="0040057D">
        <w:rPr>
          <w:color w:val="242021"/>
          <w:spacing w:val="-2"/>
        </w:rPr>
        <w:t xml:space="preserve"> </w:t>
      </w:r>
      <w:r w:rsidRPr="0040057D">
        <w:rPr>
          <w:color w:val="242021"/>
          <w:spacing w:val="1"/>
        </w:rPr>
        <w:t>1.120</w:t>
      </w:r>
      <w:r w:rsidRPr="0040057D">
        <w:rPr>
          <w:color w:val="242021"/>
        </w:rPr>
        <w:t>0</w:t>
      </w:r>
      <w:r w:rsidRPr="0040057D">
        <w:rPr>
          <w:color w:val="242021"/>
          <w:spacing w:val="-4"/>
        </w:rPr>
        <w:t xml:space="preserve"> </w:t>
      </w:r>
      <w:r w:rsidRPr="0040057D">
        <w:rPr>
          <w:i/>
          <w:iCs/>
          <w:color w:val="242021"/>
          <w:spacing w:val="-1"/>
        </w:rPr>
        <w:t>e</w:t>
      </w:r>
      <w:r w:rsidRPr="0040057D">
        <w:rPr>
          <w:i/>
          <w:iCs/>
          <w:color w:val="242021"/>
        </w:rPr>
        <w:t>t</w:t>
      </w:r>
      <w:r w:rsidRPr="0040057D">
        <w:rPr>
          <w:i/>
          <w:iCs/>
          <w:color w:val="242021"/>
          <w:spacing w:val="-1"/>
        </w:rPr>
        <w:t xml:space="preserve"> se</w:t>
      </w:r>
      <w:r w:rsidRPr="0040057D">
        <w:rPr>
          <w:i/>
          <w:iCs/>
          <w:color w:val="242021"/>
          <w:spacing w:val="1"/>
        </w:rPr>
        <w:t>q</w:t>
      </w:r>
      <w:r w:rsidRPr="0040057D">
        <w:rPr>
          <w:color w:val="242021"/>
        </w:rPr>
        <w:t>.</w:t>
      </w:r>
    </w:p>
  </w:footnote>
  <w:footnote w:id="48">
    <w:p w:rsidR="00CA410E" w:rsidRPr="0040057D" w:rsidP="004C4301" w14:paraId="65A3BA42" w14:textId="77777777">
      <w:pPr>
        <w:pStyle w:val="FootnoteText"/>
      </w:pPr>
      <w:r w:rsidRPr="0040057D">
        <w:rPr>
          <w:rStyle w:val="FootnoteReference"/>
        </w:rPr>
        <w:footnoteRef/>
      </w:r>
      <w:r w:rsidRPr="0040057D">
        <w:t xml:space="preserve"> </w:t>
      </w:r>
      <w:r w:rsidRPr="0040057D">
        <w:rPr>
          <w:i/>
        </w:rPr>
        <w:t xml:space="preserve">Id. </w:t>
      </w:r>
      <w:r w:rsidRPr="0040057D">
        <w:t>§ 1.1206(b).</w:t>
      </w:r>
    </w:p>
  </w:footnote>
  <w:footnote w:id="49">
    <w:p w:rsidR="00CA410E" w:rsidRPr="0040057D" w:rsidP="00C55E7D" w14:paraId="552D585B" w14:textId="77777777">
      <w:pPr>
        <w:pStyle w:val="FootnoteText"/>
      </w:pPr>
      <w:r w:rsidRPr="0040057D">
        <w:rPr>
          <w:rStyle w:val="FootnoteReference"/>
        </w:rPr>
        <w:footnoteRef/>
      </w:r>
      <w:r w:rsidRPr="0040057D">
        <w:t xml:space="preserve"> </w:t>
      </w:r>
      <w:r w:rsidRPr="0040057D">
        <w:rPr>
          <w:i/>
        </w:rPr>
        <w:t>Id.</w:t>
      </w:r>
      <w:r w:rsidRPr="0040057D">
        <w:t xml:space="preserve">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2B84" w14:paraId="16CEEA8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2B84" w14:paraId="23CF665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2B84" w14:paraId="0618D2B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F120F88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1AF26438"/>
    <w:multiLevelType w:val="hybridMultilevel"/>
    <w:tmpl w:val="F35229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revisionView w:comments="1" w:formatting="1" w:inkAnnotations="0" w:insDel="1" w:markup="1"/>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99"/>
    <w:rsid w:val="00004F71"/>
    <w:rsid w:val="00026233"/>
    <w:rsid w:val="00035914"/>
    <w:rsid w:val="00037AB3"/>
    <w:rsid w:val="00042C9B"/>
    <w:rsid w:val="00047951"/>
    <w:rsid w:val="00061152"/>
    <w:rsid w:val="00064269"/>
    <w:rsid w:val="000741E6"/>
    <w:rsid w:val="00080873"/>
    <w:rsid w:val="0008117B"/>
    <w:rsid w:val="00086035"/>
    <w:rsid w:val="00090207"/>
    <w:rsid w:val="00093FE6"/>
    <w:rsid w:val="000A194C"/>
    <w:rsid w:val="000B5A9D"/>
    <w:rsid w:val="000C0650"/>
    <w:rsid w:val="000C2ABA"/>
    <w:rsid w:val="000C4914"/>
    <w:rsid w:val="000E0CD8"/>
    <w:rsid w:val="000F2C4B"/>
    <w:rsid w:val="000F3662"/>
    <w:rsid w:val="000F5944"/>
    <w:rsid w:val="00113121"/>
    <w:rsid w:val="00126A3B"/>
    <w:rsid w:val="001332EA"/>
    <w:rsid w:val="00135907"/>
    <w:rsid w:val="0013724A"/>
    <w:rsid w:val="001374D8"/>
    <w:rsid w:val="00141682"/>
    <w:rsid w:val="00147FA6"/>
    <w:rsid w:val="00150850"/>
    <w:rsid w:val="001526B8"/>
    <w:rsid w:val="001535D0"/>
    <w:rsid w:val="0015365B"/>
    <w:rsid w:val="00156B77"/>
    <w:rsid w:val="00157CCB"/>
    <w:rsid w:val="00161CAF"/>
    <w:rsid w:val="0017082C"/>
    <w:rsid w:val="0017225F"/>
    <w:rsid w:val="00176A79"/>
    <w:rsid w:val="00180FF5"/>
    <w:rsid w:val="00184D6E"/>
    <w:rsid w:val="0018577A"/>
    <w:rsid w:val="0019042F"/>
    <w:rsid w:val="00195334"/>
    <w:rsid w:val="001971AB"/>
    <w:rsid w:val="001A4A14"/>
    <w:rsid w:val="001B1979"/>
    <w:rsid w:val="001B4AFC"/>
    <w:rsid w:val="001C20E9"/>
    <w:rsid w:val="001C2922"/>
    <w:rsid w:val="001C3C7A"/>
    <w:rsid w:val="001D77E9"/>
    <w:rsid w:val="001E086C"/>
    <w:rsid w:val="001E73A9"/>
    <w:rsid w:val="001F44BF"/>
    <w:rsid w:val="00207E7F"/>
    <w:rsid w:val="00212984"/>
    <w:rsid w:val="0021657E"/>
    <w:rsid w:val="002243C8"/>
    <w:rsid w:val="00232063"/>
    <w:rsid w:val="00234088"/>
    <w:rsid w:val="002344ED"/>
    <w:rsid w:val="00235F5A"/>
    <w:rsid w:val="00236E52"/>
    <w:rsid w:val="00237F71"/>
    <w:rsid w:val="002462C0"/>
    <w:rsid w:val="0025123A"/>
    <w:rsid w:val="00251B19"/>
    <w:rsid w:val="00251D45"/>
    <w:rsid w:val="00257027"/>
    <w:rsid w:val="002622B7"/>
    <w:rsid w:val="00266569"/>
    <w:rsid w:val="0026798D"/>
    <w:rsid w:val="0027434C"/>
    <w:rsid w:val="002770DB"/>
    <w:rsid w:val="0028008F"/>
    <w:rsid w:val="00280440"/>
    <w:rsid w:val="002820B6"/>
    <w:rsid w:val="00282B84"/>
    <w:rsid w:val="00283917"/>
    <w:rsid w:val="002918C5"/>
    <w:rsid w:val="0029447F"/>
    <w:rsid w:val="00297A2A"/>
    <w:rsid w:val="002A011B"/>
    <w:rsid w:val="002A2629"/>
    <w:rsid w:val="002A66B2"/>
    <w:rsid w:val="002A7CF6"/>
    <w:rsid w:val="002C1B04"/>
    <w:rsid w:val="002D577D"/>
    <w:rsid w:val="002E41AA"/>
    <w:rsid w:val="002E7F79"/>
    <w:rsid w:val="002F6353"/>
    <w:rsid w:val="003072A9"/>
    <w:rsid w:val="00311E26"/>
    <w:rsid w:val="00314DA6"/>
    <w:rsid w:val="00315E54"/>
    <w:rsid w:val="00317ADE"/>
    <w:rsid w:val="003203E6"/>
    <w:rsid w:val="00320410"/>
    <w:rsid w:val="0032190A"/>
    <w:rsid w:val="00321983"/>
    <w:rsid w:val="00325ACB"/>
    <w:rsid w:val="00326873"/>
    <w:rsid w:val="003275F5"/>
    <w:rsid w:val="00330773"/>
    <w:rsid w:val="003364A0"/>
    <w:rsid w:val="003364D2"/>
    <w:rsid w:val="00341625"/>
    <w:rsid w:val="00352A0C"/>
    <w:rsid w:val="003533F6"/>
    <w:rsid w:val="00355429"/>
    <w:rsid w:val="0035551A"/>
    <w:rsid w:val="003601B8"/>
    <w:rsid w:val="003606A7"/>
    <w:rsid w:val="00365FA5"/>
    <w:rsid w:val="00392034"/>
    <w:rsid w:val="003A0EB4"/>
    <w:rsid w:val="003A5FEA"/>
    <w:rsid w:val="003A7366"/>
    <w:rsid w:val="003B2527"/>
    <w:rsid w:val="003B435E"/>
    <w:rsid w:val="003B4F2E"/>
    <w:rsid w:val="003B5AD0"/>
    <w:rsid w:val="003D14C0"/>
    <w:rsid w:val="003D314D"/>
    <w:rsid w:val="003E1B35"/>
    <w:rsid w:val="003F4D3D"/>
    <w:rsid w:val="003F6C0C"/>
    <w:rsid w:val="0040057D"/>
    <w:rsid w:val="0040064C"/>
    <w:rsid w:val="0040111D"/>
    <w:rsid w:val="00401B9F"/>
    <w:rsid w:val="00402940"/>
    <w:rsid w:val="004033C6"/>
    <w:rsid w:val="004136AA"/>
    <w:rsid w:val="0041392A"/>
    <w:rsid w:val="0041428D"/>
    <w:rsid w:val="0041603C"/>
    <w:rsid w:val="00416325"/>
    <w:rsid w:val="00416CEB"/>
    <w:rsid w:val="00420313"/>
    <w:rsid w:val="00426766"/>
    <w:rsid w:val="004275C5"/>
    <w:rsid w:val="00434BF0"/>
    <w:rsid w:val="00434DCB"/>
    <w:rsid w:val="0046542A"/>
    <w:rsid w:val="00467BC9"/>
    <w:rsid w:val="00477B68"/>
    <w:rsid w:val="00480D78"/>
    <w:rsid w:val="004833A2"/>
    <w:rsid w:val="0048680E"/>
    <w:rsid w:val="004928EC"/>
    <w:rsid w:val="00494AD0"/>
    <w:rsid w:val="004A0774"/>
    <w:rsid w:val="004A0CD9"/>
    <w:rsid w:val="004A171C"/>
    <w:rsid w:val="004A2BCA"/>
    <w:rsid w:val="004C06F9"/>
    <w:rsid w:val="004C2A20"/>
    <w:rsid w:val="004C2D36"/>
    <w:rsid w:val="004C4301"/>
    <w:rsid w:val="004E1BA7"/>
    <w:rsid w:val="004E6B9A"/>
    <w:rsid w:val="004F513E"/>
    <w:rsid w:val="0050187D"/>
    <w:rsid w:val="00506114"/>
    <w:rsid w:val="0050646F"/>
    <w:rsid w:val="00512BCA"/>
    <w:rsid w:val="00527DE2"/>
    <w:rsid w:val="0054004B"/>
    <w:rsid w:val="00540613"/>
    <w:rsid w:val="0054192B"/>
    <w:rsid w:val="0054338D"/>
    <w:rsid w:val="00543D43"/>
    <w:rsid w:val="0054648E"/>
    <w:rsid w:val="00546BFB"/>
    <w:rsid w:val="00550369"/>
    <w:rsid w:val="00551F01"/>
    <w:rsid w:val="005538C0"/>
    <w:rsid w:val="00555668"/>
    <w:rsid w:val="00556542"/>
    <w:rsid w:val="005603AB"/>
    <w:rsid w:val="00562E04"/>
    <w:rsid w:val="00575B4A"/>
    <w:rsid w:val="00576A37"/>
    <w:rsid w:val="00583AAA"/>
    <w:rsid w:val="005911DE"/>
    <w:rsid w:val="00595293"/>
    <w:rsid w:val="0059790C"/>
    <w:rsid w:val="005A75CD"/>
    <w:rsid w:val="005B7773"/>
    <w:rsid w:val="005C2487"/>
    <w:rsid w:val="005C4961"/>
    <w:rsid w:val="005C55A3"/>
    <w:rsid w:val="005C7F12"/>
    <w:rsid w:val="005D1EEA"/>
    <w:rsid w:val="005D6D7A"/>
    <w:rsid w:val="005E2E34"/>
    <w:rsid w:val="005E3361"/>
    <w:rsid w:val="005E380B"/>
    <w:rsid w:val="005E5C59"/>
    <w:rsid w:val="005E7817"/>
    <w:rsid w:val="005F0CD3"/>
    <w:rsid w:val="005F6A16"/>
    <w:rsid w:val="006033A7"/>
    <w:rsid w:val="00603F3E"/>
    <w:rsid w:val="00603FDD"/>
    <w:rsid w:val="006065B3"/>
    <w:rsid w:val="00607A45"/>
    <w:rsid w:val="006167B3"/>
    <w:rsid w:val="006219C8"/>
    <w:rsid w:val="00625322"/>
    <w:rsid w:val="00631AEC"/>
    <w:rsid w:val="006338F8"/>
    <w:rsid w:val="00635204"/>
    <w:rsid w:val="006404D1"/>
    <w:rsid w:val="0064137F"/>
    <w:rsid w:val="00642561"/>
    <w:rsid w:val="0064643B"/>
    <w:rsid w:val="00646753"/>
    <w:rsid w:val="00652FBF"/>
    <w:rsid w:val="00653BD2"/>
    <w:rsid w:val="006545E4"/>
    <w:rsid w:val="006574AC"/>
    <w:rsid w:val="00657E51"/>
    <w:rsid w:val="00662674"/>
    <w:rsid w:val="00662CF3"/>
    <w:rsid w:val="006641B9"/>
    <w:rsid w:val="0066539A"/>
    <w:rsid w:val="00665611"/>
    <w:rsid w:val="00667E97"/>
    <w:rsid w:val="00676B7C"/>
    <w:rsid w:val="00686F24"/>
    <w:rsid w:val="0069485E"/>
    <w:rsid w:val="006A03B0"/>
    <w:rsid w:val="006A5A20"/>
    <w:rsid w:val="006B092E"/>
    <w:rsid w:val="006B1E2F"/>
    <w:rsid w:val="006B328E"/>
    <w:rsid w:val="006B50D4"/>
    <w:rsid w:val="006B5CA1"/>
    <w:rsid w:val="006C2F40"/>
    <w:rsid w:val="006C34A3"/>
    <w:rsid w:val="006D1E45"/>
    <w:rsid w:val="006D3216"/>
    <w:rsid w:val="006D402C"/>
    <w:rsid w:val="006D6B80"/>
    <w:rsid w:val="006E0A3D"/>
    <w:rsid w:val="006E2FB5"/>
    <w:rsid w:val="006E7020"/>
    <w:rsid w:val="006F17AE"/>
    <w:rsid w:val="006F374D"/>
    <w:rsid w:val="006F3B79"/>
    <w:rsid w:val="006F62AF"/>
    <w:rsid w:val="00700AF7"/>
    <w:rsid w:val="00700E95"/>
    <w:rsid w:val="0070395B"/>
    <w:rsid w:val="00706895"/>
    <w:rsid w:val="007161D2"/>
    <w:rsid w:val="0072108F"/>
    <w:rsid w:val="007360E5"/>
    <w:rsid w:val="007364B7"/>
    <w:rsid w:val="00742E8F"/>
    <w:rsid w:val="00743AD4"/>
    <w:rsid w:val="007532AB"/>
    <w:rsid w:val="00790211"/>
    <w:rsid w:val="007A2F08"/>
    <w:rsid w:val="007A7238"/>
    <w:rsid w:val="007B0133"/>
    <w:rsid w:val="007B0B10"/>
    <w:rsid w:val="007B0E64"/>
    <w:rsid w:val="007B1C08"/>
    <w:rsid w:val="007B2A5A"/>
    <w:rsid w:val="007B4D71"/>
    <w:rsid w:val="007C2C15"/>
    <w:rsid w:val="007C4779"/>
    <w:rsid w:val="007D050D"/>
    <w:rsid w:val="007D1B9D"/>
    <w:rsid w:val="007D2171"/>
    <w:rsid w:val="007D2515"/>
    <w:rsid w:val="007D2EF1"/>
    <w:rsid w:val="007D668D"/>
    <w:rsid w:val="007E3AAC"/>
    <w:rsid w:val="007E3D0E"/>
    <w:rsid w:val="007F78C4"/>
    <w:rsid w:val="00804989"/>
    <w:rsid w:val="0080683A"/>
    <w:rsid w:val="00807B47"/>
    <w:rsid w:val="00814582"/>
    <w:rsid w:val="00815526"/>
    <w:rsid w:val="00816DB6"/>
    <w:rsid w:val="00827C6F"/>
    <w:rsid w:val="00840ECE"/>
    <w:rsid w:val="008436C3"/>
    <w:rsid w:val="0085179B"/>
    <w:rsid w:val="00851F01"/>
    <w:rsid w:val="00853601"/>
    <w:rsid w:val="008548EF"/>
    <w:rsid w:val="008555BE"/>
    <w:rsid w:val="00856CB5"/>
    <w:rsid w:val="0087388F"/>
    <w:rsid w:val="00873AA0"/>
    <w:rsid w:val="00875865"/>
    <w:rsid w:val="00876F00"/>
    <w:rsid w:val="00884BD2"/>
    <w:rsid w:val="00890A0E"/>
    <w:rsid w:val="008A0789"/>
    <w:rsid w:val="008A0801"/>
    <w:rsid w:val="008A7CAA"/>
    <w:rsid w:val="008B4710"/>
    <w:rsid w:val="008B7881"/>
    <w:rsid w:val="008C4FB0"/>
    <w:rsid w:val="008D015D"/>
    <w:rsid w:val="008D35D1"/>
    <w:rsid w:val="008D47DE"/>
    <w:rsid w:val="008F0A4B"/>
    <w:rsid w:val="008F40A8"/>
    <w:rsid w:val="00906138"/>
    <w:rsid w:val="0091602F"/>
    <w:rsid w:val="009212CF"/>
    <w:rsid w:val="009362BB"/>
    <w:rsid w:val="009378EC"/>
    <w:rsid w:val="0094745C"/>
    <w:rsid w:val="009518AF"/>
    <w:rsid w:val="009549B0"/>
    <w:rsid w:val="00962E51"/>
    <w:rsid w:val="009673DE"/>
    <w:rsid w:val="00972C5B"/>
    <w:rsid w:val="00977ADE"/>
    <w:rsid w:val="0098355F"/>
    <w:rsid w:val="009847B1"/>
    <w:rsid w:val="00997A40"/>
    <w:rsid w:val="009A05DA"/>
    <w:rsid w:val="009A4EBE"/>
    <w:rsid w:val="009A5E16"/>
    <w:rsid w:val="009A7FD0"/>
    <w:rsid w:val="009B2EF9"/>
    <w:rsid w:val="009C0A0F"/>
    <w:rsid w:val="009C18A8"/>
    <w:rsid w:val="009D3278"/>
    <w:rsid w:val="009D58C6"/>
    <w:rsid w:val="009D72EA"/>
    <w:rsid w:val="009F6FC0"/>
    <w:rsid w:val="00A02F8E"/>
    <w:rsid w:val="00A05294"/>
    <w:rsid w:val="00A05FA5"/>
    <w:rsid w:val="00A0624F"/>
    <w:rsid w:val="00A07FFD"/>
    <w:rsid w:val="00A133C6"/>
    <w:rsid w:val="00A14017"/>
    <w:rsid w:val="00A173C0"/>
    <w:rsid w:val="00A249AD"/>
    <w:rsid w:val="00A3223B"/>
    <w:rsid w:val="00A42E1E"/>
    <w:rsid w:val="00A45C44"/>
    <w:rsid w:val="00A54F5B"/>
    <w:rsid w:val="00A60F2A"/>
    <w:rsid w:val="00A63014"/>
    <w:rsid w:val="00A709F2"/>
    <w:rsid w:val="00A71816"/>
    <w:rsid w:val="00A74F47"/>
    <w:rsid w:val="00A74FC4"/>
    <w:rsid w:val="00A9555F"/>
    <w:rsid w:val="00A96817"/>
    <w:rsid w:val="00AA1F5B"/>
    <w:rsid w:val="00AA6982"/>
    <w:rsid w:val="00AA6BE1"/>
    <w:rsid w:val="00AB0181"/>
    <w:rsid w:val="00AB6627"/>
    <w:rsid w:val="00AB7293"/>
    <w:rsid w:val="00AB74F4"/>
    <w:rsid w:val="00AC1C00"/>
    <w:rsid w:val="00AC3D4B"/>
    <w:rsid w:val="00AC3E5A"/>
    <w:rsid w:val="00AD0842"/>
    <w:rsid w:val="00AD0CAC"/>
    <w:rsid w:val="00AD798F"/>
    <w:rsid w:val="00AE0B4C"/>
    <w:rsid w:val="00AF0B24"/>
    <w:rsid w:val="00AF3799"/>
    <w:rsid w:val="00AF3CA0"/>
    <w:rsid w:val="00B05FE6"/>
    <w:rsid w:val="00B063F4"/>
    <w:rsid w:val="00B07077"/>
    <w:rsid w:val="00B10740"/>
    <w:rsid w:val="00B1533F"/>
    <w:rsid w:val="00B17DCF"/>
    <w:rsid w:val="00B2422D"/>
    <w:rsid w:val="00B24579"/>
    <w:rsid w:val="00B30B29"/>
    <w:rsid w:val="00B3599D"/>
    <w:rsid w:val="00B45322"/>
    <w:rsid w:val="00B51813"/>
    <w:rsid w:val="00B51D3D"/>
    <w:rsid w:val="00B521C8"/>
    <w:rsid w:val="00B570B0"/>
    <w:rsid w:val="00B57759"/>
    <w:rsid w:val="00B728AD"/>
    <w:rsid w:val="00B72902"/>
    <w:rsid w:val="00B7739D"/>
    <w:rsid w:val="00B77B13"/>
    <w:rsid w:val="00B8593C"/>
    <w:rsid w:val="00B86CC7"/>
    <w:rsid w:val="00B92FE1"/>
    <w:rsid w:val="00B931A4"/>
    <w:rsid w:val="00B93572"/>
    <w:rsid w:val="00B95986"/>
    <w:rsid w:val="00BA32C7"/>
    <w:rsid w:val="00BA4497"/>
    <w:rsid w:val="00BB1C69"/>
    <w:rsid w:val="00BB73C3"/>
    <w:rsid w:val="00BB7F47"/>
    <w:rsid w:val="00BC0B44"/>
    <w:rsid w:val="00BC10E7"/>
    <w:rsid w:val="00BC270F"/>
    <w:rsid w:val="00BC53BA"/>
    <w:rsid w:val="00BC5E4F"/>
    <w:rsid w:val="00BC7FC4"/>
    <w:rsid w:val="00BD1D53"/>
    <w:rsid w:val="00BD2113"/>
    <w:rsid w:val="00BD67F3"/>
    <w:rsid w:val="00BE7F3B"/>
    <w:rsid w:val="00BF1BE6"/>
    <w:rsid w:val="00BF3BF2"/>
    <w:rsid w:val="00BF3C63"/>
    <w:rsid w:val="00BF4DB0"/>
    <w:rsid w:val="00C005AB"/>
    <w:rsid w:val="00C04A26"/>
    <w:rsid w:val="00C113AA"/>
    <w:rsid w:val="00C1170F"/>
    <w:rsid w:val="00C21D0D"/>
    <w:rsid w:val="00C30AC7"/>
    <w:rsid w:val="00C32BD9"/>
    <w:rsid w:val="00C37ED8"/>
    <w:rsid w:val="00C525FB"/>
    <w:rsid w:val="00C55E7D"/>
    <w:rsid w:val="00C57176"/>
    <w:rsid w:val="00C63046"/>
    <w:rsid w:val="00C642E5"/>
    <w:rsid w:val="00C64FA6"/>
    <w:rsid w:val="00C674EB"/>
    <w:rsid w:val="00C740EF"/>
    <w:rsid w:val="00C847F7"/>
    <w:rsid w:val="00C95F8F"/>
    <w:rsid w:val="00CA410E"/>
    <w:rsid w:val="00CA4144"/>
    <w:rsid w:val="00CA4ABB"/>
    <w:rsid w:val="00CB18C8"/>
    <w:rsid w:val="00CB4140"/>
    <w:rsid w:val="00CB5EE5"/>
    <w:rsid w:val="00CB7063"/>
    <w:rsid w:val="00CB7BA8"/>
    <w:rsid w:val="00CB7D62"/>
    <w:rsid w:val="00CC18ED"/>
    <w:rsid w:val="00CD0802"/>
    <w:rsid w:val="00CD0B00"/>
    <w:rsid w:val="00CD4FDF"/>
    <w:rsid w:val="00CD5DEC"/>
    <w:rsid w:val="00CE0296"/>
    <w:rsid w:val="00CE4079"/>
    <w:rsid w:val="00CE6719"/>
    <w:rsid w:val="00CE7370"/>
    <w:rsid w:val="00CE787E"/>
    <w:rsid w:val="00CF289E"/>
    <w:rsid w:val="00CF340C"/>
    <w:rsid w:val="00CF47EC"/>
    <w:rsid w:val="00D01ABC"/>
    <w:rsid w:val="00D034D4"/>
    <w:rsid w:val="00D046BD"/>
    <w:rsid w:val="00D04C96"/>
    <w:rsid w:val="00D07836"/>
    <w:rsid w:val="00D15D39"/>
    <w:rsid w:val="00D17C9F"/>
    <w:rsid w:val="00D20707"/>
    <w:rsid w:val="00D31C71"/>
    <w:rsid w:val="00D42F47"/>
    <w:rsid w:val="00D435D9"/>
    <w:rsid w:val="00D44631"/>
    <w:rsid w:val="00D4511C"/>
    <w:rsid w:val="00D45926"/>
    <w:rsid w:val="00D467C7"/>
    <w:rsid w:val="00D537EF"/>
    <w:rsid w:val="00D55ED5"/>
    <w:rsid w:val="00D62B94"/>
    <w:rsid w:val="00D65840"/>
    <w:rsid w:val="00D66FE0"/>
    <w:rsid w:val="00D71994"/>
    <w:rsid w:val="00D75B15"/>
    <w:rsid w:val="00D75B5B"/>
    <w:rsid w:val="00D75C6E"/>
    <w:rsid w:val="00D77A05"/>
    <w:rsid w:val="00D80792"/>
    <w:rsid w:val="00D80937"/>
    <w:rsid w:val="00D81832"/>
    <w:rsid w:val="00D81C29"/>
    <w:rsid w:val="00D938F1"/>
    <w:rsid w:val="00DA1ABD"/>
    <w:rsid w:val="00DA5814"/>
    <w:rsid w:val="00DA5EF7"/>
    <w:rsid w:val="00DA5F6D"/>
    <w:rsid w:val="00DB0623"/>
    <w:rsid w:val="00DB199F"/>
    <w:rsid w:val="00DC3598"/>
    <w:rsid w:val="00DC44ED"/>
    <w:rsid w:val="00DC48F9"/>
    <w:rsid w:val="00DD32CB"/>
    <w:rsid w:val="00DE1475"/>
    <w:rsid w:val="00DF1535"/>
    <w:rsid w:val="00DF49EA"/>
    <w:rsid w:val="00E02225"/>
    <w:rsid w:val="00E075FA"/>
    <w:rsid w:val="00E1218E"/>
    <w:rsid w:val="00E16DFE"/>
    <w:rsid w:val="00E2013C"/>
    <w:rsid w:val="00E227DE"/>
    <w:rsid w:val="00E233D2"/>
    <w:rsid w:val="00E23E7C"/>
    <w:rsid w:val="00E25827"/>
    <w:rsid w:val="00E3170D"/>
    <w:rsid w:val="00E35CE5"/>
    <w:rsid w:val="00E3723E"/>
    <w:rsid w:val="00E44EF3"/>
    <w:rsid w:val="00E47992"/>
    <w:rsid w:val="00E533E4"/>
    <w:rsid w:val="00E53E3E"/>
    <w:rsid w:val="00E547D6"/>
    <w:rsid w:val="00E54A08"/>
    <w:rsid w:val="00E64027"/>
    <w:rsid w:val="00E64A73"/>
    <w:rsid w:val="00E67852"/>
    <w:rsid w:val="00E70AD2"/>
    <w:rsid w:val="00E75F58"/>
    <w:rsid w:val="00E77FAA"/>
    <w:rsid w:val="00E86220"/>
    <w:rsid w:val="00E95A48"/>
    <w:rsid w:val="00EA10E3"/>
    <w:rsid w:val="00EB2E1B"/>
    <w:rsid w:val="00EB3C4A"/>
    <w:rsid w:val="00EC2B0C"/>
    <w:rsid w:val="00EC3088"/>
    <w:rsid w:val="00EC7755"/>
    <w:rsid w:val="00ED121D"/>
    <w:rsid w:val="00ED34E6"/>
    <w:rsid w:val="00ED36E4"/>
    <w:rsid w:val="00EE4AD6"/>
    <w:rsid w:val="00EE6244"/>
    <w:rsid w:val="00EF751A"/>
    <w:rsid w:val="00F104D3"/>
    <w:rsid w:val="00F16E6A"/>
    <w:rsid w:val="00F17C99"/>
    <w:rsid w:val="00F24448"/>
    <w:rsid w:val="00F357BC"/>
    <w:rsid w:val="00F449B0"/>
    <w:rsid w:val="00F47CB1"/>
    <w:rsid w:val="00F57EC3"/>
    <w:rsid w:val="00F66028"/>
    <w:rsid w:val="00F6735E"/>
    <w:rsid w:val="00F71838"/>
    <w:rsid w:val="00F73B81"/>
    <w:rsid w:val="00F81DC1"/>
    <w:rsid w:val="00F82B82"/>
    <w:rsid w:val="00F82D22"/>
    <w:rsid w:val="00F84037"/>
    <w:rsid w:val="00F87237"/>
    <w:rsid w:val="00F9024B"/>
    <w:rsid w:val="00F957BC"/>
    <w:rsid w:val="00F96053"/>
    <w:rsid w:val="00FA6BC3"/>
    <w:rsid w:val="00FA7074"/>
    <w:rsid w:val="00FA7AED"/>
    <w:rsid w:val="00FB7260"/>
    <w:rsid w:val="00FC37C5"/>
    <w:rsid w:val="00FC5BEE"/>
    <w:rsid w:val="00FC6190"/>
    <w:rsid w:val="00FD60C5"/>
    <w:rsid w:val="00FD61CD"/>
    <w:rsid w:val="00FE1EAF"/>
    <w:rsid w:val="00FE52E8"/>
    <w:rsid w:val="00FE71F2"/>
    <w:rsid w:val="00FF54BD"/>
    <w:rsid w:val="00FF7BD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64C"/>
    <w:pPr>
      <w:widowControl w:val="0"/>
    </w:pPr>
    <w:rPr>
      <w:rFonts w:ascii="Times New Roman" w:eastAsia="Times New Roman" w:hAnsi="Times New Roman"/>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297A2A"/>
    <w:pPr>
      <w:spacing w:before="40"/>
    </w:pPr>
    <w:rPr>
      <w:rFonts w:ascii="Arial" w:hAnsi="Arial" w:cs="Arial"/>
      <w:b/>
      <w:sz w:val="96"/>
    </w:rPr>
  </w:style>
  <w:style w:type="character" w:customStyle="1" w:styleId="HeaderChar">
    <w:name w:val="Header Char"/>
    <w:link w:val="Header"/>
    <w:rsid w:val="00297A2A"/>
    <w:rPr>
      <w:rFonts w:ascii="Arial" w:eastAsia="Times New Roman" w:hAnsi="Arial" w:cs="Arial"/>
      <w:b/>
      <w:snapToGrid w:val="0"/>
      <w:kern w:val="28"/>
      <w:sz w:val="96"/>
    </w:rPr>
  </w:style>
  <w:style w:type="character" w:styleId="Hyperlink">
    <w:name w:val="Hyperlink"/>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1"/>
    <w:uiPriority w:val="99"/>
    <w:pPr>
      <w:spacing w:after="120"/>
    </w:pPr>
    <w:rPr>
      <w:rFonts w:ascii="Times New Roman" w:eastAsia="Times New Roman" w:hAnsi="Times New Roman"/>
    </w:rPr>
  </w:style>
  <w:style w:type="character" w:customStyle="1" w:styleId="FootnoteTextChar">
    <w:name w:val="Footnote Text Char"/>
    <w:uiPriority w:val="99"/>
    <w:semiHidden/>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Style 12"/>
    <w:uiPriority w:val="99"/>
    <w:rsid w:val="0040064C"/>
    <w:rPr>
      <w:rFonts w:ascii="Times New Roman" w:hAnsi="Times New Roman"/>
      <w:dstrike w:val="0"/>
      <w:color w:val="auto"/>
      <w:vertAlign w:val="superscript"/>
    </w:rPr>
  </w:style>
  <w:style w:type="character" w:customStyle="1" w:styleId="FootnoteTextChar1">
    <w:name w:val="Footnote Text Char1"/>
    <w:aliases w:val="ALTS FOOTNOTE Char Char,ALTS FOOTNOTE Char1,Footnote Text Char Char Char Char,Footnote Text Char1 Char Char,Footnote Text Char1 Char1 Char Char Char Char,Footnote Text Char2 Char Char Char Char,f Char,fn Char Char,fn Char1"/>
    <w:link w:val="FootnoteText"/>
    <w:uiPriority w:val="99"/>
    <w:rPr>
      <w:rFonts w:ascii="Times New Roman" w:eastAsia="Times New Roman" w:hAnsi="Times New Roman" w:cs="Times New Roman"/>
      <w:sz w:val="20"/>
      <w:szCs w:val="20"/>
    </w:rPr>
  </w:style>
  <w:style w:type="paragraph" w:styleId="PlainText">
    <w:name w:val="Plain Text"/>
    <w:basedOn w:val="Normal"/>
    <w:link w:val="PlainTextChar"/>
    <w:pPr>
      <w:widowControl/>
    </w:pPr>
    <w:rPr>
      <w:rFonts w:ascii="Courier New" w:hAnsi="Courier New" w:cs="Courier New"/>
      <w:snapToGrid/>
      <w:kern w:val="0"/>
      <w:sz w:val="20"/>
    </w:rPr>
  </w:style>
  <w:style w:type="character" w:customStyle="1" w:styleId="PlainTextChar">
    <w:name w:val="Plain Text Char"/>
    <w:link w:val="PlainText"/>
    <w:rPr>
      <w:rFonts w:ascii="Courier New" w:eastAsia="Times New Roman" w:hAnsi="Courier New" w:cs="Courier New"/>
      <w:sz w:val="20"/>
      <w:szCs w:val="2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napToGrid w:val="0"/>
      <w:kern w:val="28"/>
      <w:sz w:val="18"/>
      <w:szCs w:val="1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napToGrid w:val="0"/>
      <w:kern w:val="28"/>
      <w:szCs w:val="20"/>
    </w:rPr>
  </w:style>
  <w:style w:type="paragraph" w:customStyle="1" w:styleId="ColorfulShading-Accent11">
    <w:name w:val="Colorful Shading - Accent 11"/>
    <w:hidden/>
    <w:uiPriority w:val="99"/>
    <w:semiHidden/>
    <w:rPr>
      <w:rFonts w:ascii="Times New Roman" w:eastAsia="Times New Roman" w:hAnsi="Times New Roman"/>
      <w:snapToGrid w:val="0"/>
      <w:kern w:val="28"/>
      <w:sz w:val="22"/>
    </w:rPr>
  </w:style>
  <w:style w:type="paragraph" w:styleId="EndnoteText">
    <w:name w:val="endnote text"/>
    <w:basedOn w:val="Normal"/>
    <w:link w:val="EndnoteTextChar"/>
    <w:uiPriority w:val="99"/>
    <w:semiHidden/>
    <w:unhideWhenUsed/>
    <w:rsid w:val="00CB5EE5"/>
    <w:rPr>
      <w:sz w:val="20"/>
    </w:rPr>
  </w:style>
  <w:style w:type="character" w:customStyle="1" w:styleId="EndnoteTextChar">
    <w:name w:val="Endnote Text Char"/>
    <w:link w:val="EndnoteText"/>
    <w:uiPriority w:val="99"/>
    <w:semiHidden/>
    <w:rsid w:val="00CB5EE5"/>
    <w:rPr>
      <w:rFonts w:ascii="Times New Roman" w:eastAsia="Times New Roman" w:hAnsi="Times New Roman"/>
      <w:snapToGrid w:val="0"/>
      <w:kern w:val="28"/>
    </w:rPr>
  </w:style>
  <w:style w:type="character" w:styleId="EndnoteReference">
    <w:name w:val="endnote reference"/>
    <w:uiPriority w:val="99"/>
    <w:semiHidden/>
    <w:unhideWhenUsed/>
    <w:rsid w:val="00CB5EE5"/>
    <w:rPr>
      <w:vertAlign w:val="superscript"/>
    </w:rPr>
  </w:style>
  <w:style w:type="character" w:customStyle="1" w:styleId="apple-converted-space">
    <w:name w:val="apple-converted-space"/>
    <w:rsid w:val="0054004B"/>
  </w:style>
  <w:style w:type="character" w:styleId="FollowedHyperlink">
    <w:name w:val="FollowedHyperlink"/>
    <w:uiPriority w:val="99"/>
    <w:semiHidden/>
    <w:unhideWhenUsed/>
    <w:rsid w:val="0054004B"/>
    <w:rPr>
      <w:color w:val="800080"/>
      <w:u w:val="single"/>
    </w:rPr>
  </w:style>
  <w:style w:type="character" w:styleId="Emphasis">
    <w:name w:val="Emphasis"/>
    <w:uiPriority w:val="20"/>
    <w:qFormat/>
    <w:rsid w:val="00B86CC7"/>
    <w:rPr>
      <w:i/>
      <w:iCs/>
    </w:rPr>
  </w:style>
  <w:style w:type="paragraph" w:styleId="Revision">
    <w:name w:val="Revision"/>
    <w:hidden/>
    <w:uiPriority w:val="99"/>
    <w:semiHidden/>
    <w:rsid w:val="00FA7074"/>
    <w:rPr>
      <w:rFonts w:ascii="Times New Roman" w:eastAsia="Times New Roman" w:hAnsi="Times New Roman"/>
      <w:snapToGrid w:val="0"/>
      <w:kern w:val="28"/>
      <w:sz w:val="22"/>
    </w:rPr>
  </w:style>
  <w:style w:type="character" w:customStyle="1" w:styleId="UnresolvedMention1">
    <w:name w:val="Unresolved Mention1"/>
    <w:basedOn w:val="DefaultParagraphFont"/>
    <w:uiPriority w:val="99"/>
    <w:semiHidden/>
    <w:unhideWhenUsed/>
    <w:rsid w:val="009212CF"/>
    <w:rPr>
      <w:color w:val="808080"/>
      <w:shd w:val="clear" w:color="auto" w:fill="E6E6E6"/>
    </w:rPr>
  </w:style>
  <w:style w:type="character" w:customStyle="1" w:styleId="UnresolvedMention">
    <w:name w:val="Unresolved Mention"/>
    <w:basedOn w:val="DefaultParagraphFont"/>
    <w:uiPriority w:val="99"/>
    <w:semiHidden/>
    <w:unhideWhenUsed/>
    <w:rsid w:val="00AB01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A6FDF-6F7F-4FC4-8B2B-0ECC3AA4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2018-05-14T19:37:51Z</dcterms:created>
  <dcterms:modified xsi:type="dcterms:W3CDTF">2018-05-14T19:37:51Z</dcterms:modified>
</cp:coreProperties>
</file>