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4C2EE3" w14:paraId="3BA78B39" w14:textId="77777777">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P="00921803" w14:paraId="2594E665" w14:textId="77777777">
      <w:pPr>
        <w:pStyle w:val="StyleBoldCentered"/>
      </w:pPr>
      <w:r>
        <w:t>F</w:t>
      </w:r>
      <w:r>
        <w:rPr>
          <w:caps w:val="0"/>
        </w:rPr>
        <w:t>ederal Communications Commission</w:t>
      </w:r>
    </w:p>
    <w:p w:rsidR="004C2EE3" w:rsidP="00096D8C" w14:paraId="5C577E9E" w14:textId="77777777">
      <w:pPr>
        <w:pStyle w:val="StyleBoldCentered"/>
      </w:pPr>
      <w:r>
        <w:rPr>
          <w:caps w:val="0"/>
        </w:rPr>
        <w:t>Washington, D.C. 20554</w:t>
      </w:r>
    </w:p>
    <w:p w:rsidR="004C2EE3" w:rsidP="0070224F" w14:paraId="23A149A5" w14:textId="77777777"/>
    <w:p w:rsidR="004C2EE3" w:rsidP="0070224F" w14:paraId="7D92F509" w14:textId="77777777"/>
    <w:tbl>
      <w:tblPr>
        <w:tblW w:w="0" w:type="auto"/>
        <w:tblInd w:w="0" w:type="dxa"/>
        <w:tblLayout w:type="fixed"/>
        <w:tblCellMar>
          <w:top w:w="0" w:type="dxa"/>
          <w:left w:w="108" w:type="dxa"/>
          <w:bottom w:w="0" w:type="dxa"/>
          <w:right w:w="108" w:type="dxa"/>
        </w:tblCellMar>
        <w:tblLook w:val="0000"/>
      </w:tblPr>
      <w:tblGrid>
        <w:gridCol w:w="4698"/>
        <w:gridCol w:w="630"/>
        <w:gridCol w:w="4248"/>
      </w:tblGrid>
      <w:tr w14:paraId="7B9C222E" w14:textId="77777777">
        <w:tblPrEx>
          <w:tblW w:w="0" w:type="auto"/>
          <w:tblInd w:w="0" w:type="dxa"/>
          <w:tblLayout w:type="fixed"/>
          <w:tblCellMar>
            <w:top w:w="0" w:type="dxa"/>
            <w:left w:w="108" w:type="dxa"/>
            <w:bottom w:w="0" w:type="dxa"/>
            <w:right w:w="108" w:type="dxa"/>
          </w:tblCellMar>
          <w:tblLook w:val="0000"/>
        </w:tblPrEx>
        <w:tc>
          <w:tcPr>
            <w:tcW w:w="4698" w:type="dxa"/>
          </w:tcPr>
          <w:p w:rsidR="004C2EE3" w14:paraId="09CF6005" w14:textId="77777777">
            <w:pPr>
              <w:widowControl w:val="0"/>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In the Matter of</w:t>
            </w:r>
            <w:r w:rsidR="00C02DDB">
              <w:rPr>
                <w:snapToGrid w:val="0"/>
                <w:spacing w:val="-2"/>
                <w:kern w:val="28"/>
                <w:sz w:val="22"/>
                <w:lang w:val="en-US" w:eastAsia="en-US" w:bidi="ar-SA"/>
              </w:rPr>
              <w:t xml:space="preserve"> the Application</w:t>
            </w:r>
            <w:r w:rsidR="00105057">
              <w:rPr>
                <w:snapToGrid w:val="0"/>
                <w:spacing w:val="-2"/>
                <w:kern w:val="28"/>
                <w:sz w:val="22"/>
                <w:lang w:val="en-US" w:eastAsia="en-US" w:bidi="ar-SA"/>
              </w:rPr>
              <w:t xml:space="preserve"> of</w:t>
            </w:r>
          </w:p>
          <w:p w:rsidR="004C2EE3" w14:paraId="73A35C21" w14:textId="77777777">
            <w:pPr>
              <w:widowControl w:val="0"/>
              <w:tabs>
                <w:tab w:val="center" w:pos="4680"/>
              </w:tabs>
              <w:suppressAutoHyphens/>
              <w:rPr>
                <w:rStyle w:val="DefaultParagraphFont"/>
                <w:snapToGrid w:val="0"/>
                <w:spacing w:val="-2"/>
                <w:kern w:val="28"/>
                <w:sz w:val="22"/>
                <w:lang w:val="en-US" w:eastAsia="en-US" w:bidi="ar-SA"/>
              </w:rPr>
            </w:pPr>
          </w:p>
          <w:p w:rsidR="003179B7" w:rsidP="00105057" w14:paraId="5D1266A8" w14:textId="77777777">
            <w:pPr>
              <w:widowControl/>
              <w:autoSpaceDE w:val="0"/>
              <w:autoSpaceDN w:val="0"/>
              <w:adjustRightInd w:val="0"/>
              <w:rPr>
                <w:rStyle w:val="DefaultParagraphFont"/>
                <w:snapToGrid w:val="0"/>
                <w:spacing w:val="-2"/>
                <w:kern w:val="28"/>
                <w:sz w:val="22"/>
                <w:lang w:val="en-US" w:eastAsia="en-US" w:bidi="ar-SA"/>
              </w:rPr>
            </w:pPr>
            <w:r>
              <w:rPr>
                <w:snapToGrid w:val="0"/>
                <w:spacing w:val="-2"/>
                <w:kern w:val="28"/>
                <w:sz w:val="22"/>
                <w:lang w:val="en-US" w:eastAsia="en-US" w:bidi="ar-SA"/>
              </w:rPr>
              <w:t>Amendment of Section 73.</w:t>
            </w:r>
            <w:r w:rsidR="00671F04">
              <w:rPr>
                <w:snapToGrid w:val="0"/>
                <w:spacing w:val="-2"/>
                <w:kern w:val="28"/>
                <w:sz w:val="22"/>
                <w:lang w:val="en-US" w:eastAsia="en-US" w:bidi="ar-SA"/>
              </w:rPr>
              <w:t>622(i)</w:t>
            </w:r>
            <w:r>
              <w:rPr>
                <w:snapToGrid w:val="0"/>
                <w:spacing w:val="-2"/>
                <w:kern w:val="28"/>
                <w:sz w:val="22"/>
                <w:lang w:val="en-US" w:eastAsia="en-US" w:bidi="ar-SA"/>
              </w:rPr>
              <w:t xml:space="preserve">) </w:t>
            </w:r>
          </w:p>
          <w:p w:rsidR="003179B7" w:rsidP="00105057" w14:paraId="25F920DC" w14:textId="77777777">
            <w:pPr>
              <w:widowControl/>
              <w:autoSpaceDE w:val="0"/>
              <w:autoSpaceDN w:val="0"/>
              <w:adjustRightInd w:val="0"/>
              <w:rPr>
                <w:rStyle w:val="DefaultParagraphFont"/>
                <w:snapToGrid w:val="0"/>
                <w:spacing w:val="-2"/>
                <w:kern w:val="28"/>
                <w:sz w:val="22"/>
                <w:lang w:val="en-US" w:eastAsia="en-US" w:bidi="ar-SA"/>
              </w:rPr>
            </w:pPr>
            <w:r>
              <w:rPr>
                <w:snapToGrid w:val="0"/>
                <w:spacing w:val="-2"/>
                <w:kern w:val="28"/>
                <w:sz w:val="22"/>
                <w:lang w:val="en-US" w:eastAsia="en-US" w:bidi="ar-SA"/>
              </w:rPr>
              <w:t>Digital Television Broadcast Stations</w:t>
            </w:r>
          </w:p>
          <w:p w:rsidR="003179B7" w:rsidRPr="00105057" w:rsidP="00105057" w14:paraId="616E6BFD" w14:textId="77777777">
            <w:pPr>
              <w:widowControl/>
              <w:autoSpaceDE w:val="0"/>
              <w:autoSpaceDN w:val="0"/>
              <w:adjustRightInd w:val="0"/>
              <w:rPr>
                <w:rStyle w:val="DefaultParagraphFont"/>
                <w:snapToGrid w:val="0"/>
                <w:spacing w:val="-2"/>
                <w:kern w:val="28"/>
                <w:sz w:val="22"/>
                <w:lang w:val="en-US" w:eastAsia="en-US" w:bidi="ar-SA"/>
              </w:rPr>
            </w:pPr>
            <w:r>
              <w:rPr>
                <w:snapToGrid w:val="0"/>
                <w:spacing w:val="-2"/>
                <w:kern w:val="28"/>
                <w:sz w:val="22"/>
                <w:lang w:val="en-US" w:eastAsia="en-US" w:bidi="ar-SA"/>
              </w:rPr>
              <w:t>(Block Island and Newport, Rhode Island)</w:t>
            </w:r>
          </w:p>
          <w:p w:rsidR="004C2EE3" w:rsidRPr="007115F7" w:rsidP="00CF0B5C" w14:paraId="6431C178" w14:textId="77777777">
            <w:pPr>
              <w:widowControl/>
              <w:autoSpaceDE w:val="0"/>
              <w:autoSpaceDN w:val="0"/>
              <w:adjustRightInd w:val="0"/>
              <w:rPr>
                <w:rStyle w:val="DefaultParagraphFont"/>
                <w:snapToGrid w:val="0"/>
                <w:spacing w:val="-2"/>
                <w:kern w:val="28"/>
                <w:sz w:val="22"/>
                <w:lang w:val="en-US" w:eastAsia="en-US" w:bidi="ar-SA"/>
              </w:rPr>
            </w:pPr>
          </w:p>
        </w:tc>
        <w:tc>
          <w:tcPr>
            <w:tcW w:w="630" w:type="dxa"/>
          </w:tcPr>
          <w:p w:rsidR="004C2EE3" w:rsidRPr="00105057" w14:paraId="63D7FC65" w14:textId="77777777">
            <w:pPr>
              <w:widowControl w:val="0"/>
              <w:tabs>
                <w:tab w:val="center" w:pos="4680"/>
              </w:tabs>
              <w:suppressAutoHyphens/>
              <w:rPr>
                <w:rStyle w:val="DefaultParagraphFont"/>
                <w:snapToGrid w:val="0"/>
                <w:spacing w:val="-2"/>
                <w:kern w:val="28"/>
                <w:sz w:val="22"/>
                <w:lang w:val="en-US" w:eastAsia="en-US" w:bidi="ar-SA"/>
              </w:rPr>
            </w:pPr>
            <w:r w:rsidRPr="00105057">
              <w:rPr>
                <w:snapToGrid w:val="0"/>
                <w:spacing w:val="-2"/>
                <w:kern w:val="28"/>
                <w:sz w:val="22"/>
                <w:lang w:val="en-US" w:eastAsia="en-US" w:bidi="ar-SA"/>
              </w:rPr>
              <w:t>)</w:t>
            </w:r>
          </w:p>
          <w:p w:rsidR="004C2EE3" w:rsidRPr="00105057" w14:paraId="6FFAACCB" w14:textId="77777777">
            <w:pPr>
              <w:widowControl w:val="0"/>
              <w:tabs>
                <w:tab w:val="center" w:pos="4680"/>
              </w:tabs>
              <w:suppressAutoHyphens/>
              <w:rPr>
                <w:rStyle w:val="DefaultParagraphFont"/>
                <w:snapToGrid w:val="0"/>
                <w:spacing w:val="-2"/>
                <w:kern w:val="28"/>
                <w:sz w:val="22"/>
                <w:lang w:val="en-US" w:eastAsia="en-US" w:bidi="ar-SA"/>
              </w:rPr>
            </w:pPr>
            <w:r w:rsidRPr="00105057">
              <w:rPr>
                <w:snapToGrid w:val="0"/>
                <w:spacing w:val="-2"/>
                <w:kern w:val="28"/>
                <w:sz w:val="22"/>
                <w:lang w:val="en-US" w:eastAsia="en-US" w:bidi="ar-SA"/>
              </w:rPr>
              <w:t>)</w:t>
            </w:r>
          </w:p>
          <w:p w:rsidR="004C2EE3" w:rsidRPr="00105057" w14:paraId="7EC3DC7B" w14:textId="77777777">
            <w:pPr>
              <w:widowControl w:val="0"/>
              <w:tabs>
                <w:tab w:val="center" w:pos="4680"/>
              </w:tabs>
              <w:suppressAutoHyphens/>
              <w:rPr>
                <w:rStyle w:val="DefaultParagraphFont"/>
                <w:snapToGrid w:val="0"/>
                <w:spacing w:val="-2"/>
                <w:kern w:val="28"/>
                <w:sz w:val="22"/>
                <w:lang w:val="en-US" w:eastAsia="en-US" w:bidi="ar-SA"/>
              </w:rPr>
            </w:pPr>
            <w:r w:rsidRPr="00105057">
              <w:rPr>
                <w:snapToGrid w:val="0"/>
                <w:spacing w:val="-2"/>
                <w:kern w:val="28"/>
                <w:sz w:val="22"/>
                <w:lang w:val="en-US" w:eastAsia="en-US" w:bidi="ar-SA"/>
              </w:rPr>
              <w:t>)</w:t>
            </w:r>
          </w:p>
          <w:p w:rsidR="004C2EE3" w:rsidRPr="00105057" w14:paraId="3AEE5AE3" w14:textId="77777777">
            <w:pPr>
              <w:widowControl w:val="0"/>
              <w:tabs>
                <w:tab w:val="center" w:pos="4680"/>
              </w:tabs>
              <w:suppressAutoHyphens/>
              <w:rPr>
                <w:rStyle w:val="DefaultParagraphFont"/>
                <w:snapToGrid w:val="0"/>
                <w:spacing w:val="-2"/>
                <w:kern w:val="28"/>
                <w:sz w:val="22"/>
                <w:lang w:val="en-US" w:eastAsia="en-US" w:bidi="ar-SA"/>
              </w:rPr>
            </w:pPr>
            <w:r w:rsidRPr="00105057">
              <w:rPr>
                <w:snapToGrid w:val="0"/>
                <w:spacing w:val="-2"/>
                <w:kern w:val="28"/>
                <w:sz w:val="22"/>
                <w:lang w:val="en-US" w:eastAsia="en-US" w:bidi="ar-SA"/>
              </w:rPr>
              <w:t>)</w:t>
            </w:r>
          </w:p>
          <w:p w:rsidR="004C2EE3" w:rsidRPr="00105057" w14:paraId="65218836" w14:textId="77777777">
            <w:pPr>
              <w:widowControl w:val="0"/>
              <w:tabs>
                <w:tab w:val="center" w:pos="4680"/>
              </w:tabs>
              <w:suppressAutoHyphens/>
              <w:rPr>
                <w:rStyle w:val="DefaultParagraphFont"/>
                <w:snapToGrid w:val="0"/>
                <w:spacing w:val="-2"/>
                <w:kern w:val="28"/>
                <w:sz w:val="22"/>
                <w:lang w:val="en-US" w:eastAsia="en-US" w:bidi="ar-SA"/>
              </w:rPr>
            </w:pPr>
            <w:r w:rsidRPr="00105057">
              <w:rPr>
                <w:snapToGrid w:val="0"/>
                <w:spacing w:val="-2"/>
                <w:kern w:val="28"/>
                <w:sz w:val="22"/>
                <w:lang w:val="en-US" w:eastAsia="en-US" w:bidi="ar-SA"/>
              </w:rPr>
              <w:t>)</w:t>
            </w:r>
          </w:p>
          <w:p w:rsidR="00CF0B5C" w14:paraId="52735FF9" w14:textId="77777777">
            <w:pPr>
              <w:widowControl w:val="0"/>
              <w:tabs>
                <w:tab w:val="center" w:pos="4680"/>
              </w:tabs>
              <w:suppressAutoHyphens/>
              <w:rPr>
                <w:rStyle w:val="DefaultParagraphFont"/>
                <w:snapToGrid w:val="0"/>
                <w:spacing w:val="-2"/>
                <w:kern w:val="28"/>
                <w:sz w:val="22"/>
                <w:lang w:val="en-US" w:eastAsia="en-US" w:bidi="ar-SA"/>
              </w:rPr>
            </w:pPr>
          </w:p>
        </w:tc>
        <w:tc>
          <w:tcPr>
            <w:tcW w:w="4248" w:type="dxa"/>
          </w:tcPr>
          <w:p w:rsidR="004C2EE3" w14:paraId="2F35C3ED" w14:textId="77777777">
            <w:pPr>
              <w:widowControl w:val="0"/>
              <w:tabs>
                <w:tab w:val="center" w:pos="4680"/>
              </w:tabs>
              <w:suppressAutoHyphens/>
              <w:rPr>
                <w:rStyle w:val="DefaultParagraphFont"/>
                <w:snapToGrid w:val="0"/>
                <w:spacing w:val="-2"/>
                <w:kern w:val="28"/>
                <w:sz w:val="22"/>
                <w:lang w:val="en-US" w:eastAsia="en-US" w:bidi="ar-SA"/>
              </w:rPr>
            </w:pPr>
          </w:p>
          <w:p w:rsidR="004C2EE3" w14:paraId="3CAA273A" w14:textId="77777777">
            <w:pPr>
              <w:pStyle w:val="TOAHeading"/>
              <w:widowControl w:val="0"/>
              <w:tabs>
                <w:tab w:val="center" w:pos="4680"/>
                <w:tab w:val="clear" w:pos="9360"/>
              </w:tabs>
              <w:suppressAutoHyphens/>
              <w:rPr>
                <w:rStyle w:val="DefaultParagraphFont"/>
                <w:snapToGrid w:val="0"/>
                <w:spacing w:val="-2"/>
                <w:kern w:val="28"/>
                <w:sz w:val="22"/>
                <w:lang w:val="en-US" w:eastAsia="en-US" w:bidi="ar-SA"/>
              </w:rPr>
            </w:pPr>
          </w:p>
          <w:p w:rsidR="004C2EE3" w14:paraId="66AFA486" w14:textId="0589D282">
            <w:pPr>
              <w:widowControl w:val="0"/>
              <w:tabs>
                <w:tab w:val="center" w:pos="4680"/>
              </w:tabs>
              <w:suppressAutoHyphens/>
              <w:rPr>
                <w:rStyle w:val="DefaultParagraphFont"/>
                <w:snapToGrid w:val="0"/>
                <w:spacing w:val="-2"/>
                <w:kern w:val="28"/>
                <w:sz w:val="22"/>
                <w:lang w:val="en-US" w:eastAsia="en-US" w:bidi="ar-SA"/>
              </w:rPr>
            </w:pPr>
            <w:bookmarkStart w:id="1" w:name="_Hlk500146806"/>
            <w:r>
              <w:rPr>
                <w:snapToGrid w:val="0"/>
                <w:spacing w:val="-2"/>
                <w:kern w:val="28"/>
                <w:sz w:val="22"/>
                <w:lang w:val="en-US" w:eastAsia="en-US" w:bidi="ar-SA"/>
              </w:rPr>
              <w:t>MB Docket No.</w:t>
            </w:r>
            <w:r w:rsidR="008D617A">
              <w:rPr>
                <w:snapToGrid w:val="0"/>
                <w:spacing w:val="-2"/>
                <w:kern w:val="28"/>
                <w:sz w:val="22"/>
                <w:lang w:val="en-US" w:eastAsia="en-US" w:bidi="ar-SA"/>
              </w:rPr>
              <w:t xml:space="preserve"> 18-153</w:t>
            </w:r>
          </w:p>
          <w:p w:rsidR="00C7372D" w14:paraId="7B479B51" w14:textId="27EEE060">
            <w:pPr>
              <w:widowControl w:val="0"/>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RM-</w:t>
            </w:r>
            <w:r w:rsidR="008D617A">
              <w:rPr>
                <w:snapToGrid w:val="0"/>
                <w:spacing w:val="-2"/>
                <w:kern w:val="28"/>
                <w:sz w:val="22"/>
                <w:lang w:val="en-US" w:eastAsia="en-US" w:bidi="ar-SA"/>
              </w:rPr>
              <w:t>11801</w:t>
            </w:r>
          </w:p>
          <w:p w:rsidR="00105057" w:rsidP="00C7372D" w14:paraId="051E6F2F" w14:textId="77777777">
            <w:pPr>
              <w:widowControl/>
              <w:autoSpaceDE w:val="0"/>
              <w:autoSpaceDN w:val="0"/>
              <w:adjustRightInd w:val="0"/>
              <w:rPr>
                <w:rStyle w:val="DefaultParagraphFont"/>
                <w:snapToGrid w:val="0"/>
                <w:spacing w:val="-2"/>
                <w:kern w:val="28"/>
                <w:sz w:val="22"/>
                <w:lang w:val="en-US" w:eastAsia="en-US" w:bidi="ar-SA"/>
              </w:rPr>
            </w:pPr>
            <w:bookmarkEnd w:id="1"/>
          </w:p>
        </w:tc>
      </w:tr>
    </w:tbl>
    <w:p w:rsidR="004C2EE3" w:rsidP="0070224F" w14:paraId="2FD8432F" w14:textId="77777777"/>
    <w:p w:rsidR="00841AB1" w:rsidP="00F021FA" w14:paraId="16964150" w14:textId="77777777">
      <w:pPr>
        <w:pStyle w:val="StyleBoldCentered"/>
      </w:pPr>
      <w:r>
        <w:t xml:space="preserve">Notice of Proposed RuleMaking </w:t>
      </w:r>
    </w:p>
    <w:p w:rsidR="004C2EE3" w14:paraId="1D54485F" w14:textId="77777777">
      <w:pPr>
        <w:tabs>
          <w:tab w:val="left" w:pos="-720"/>
        </w:tabs>
        <w:suppressAutoHyphens/>
        <w:spacing w:line="227" w:lineRule="auto"/>
        <w:rPr>
          <w:spacing w:val="-2"/>
        </w:rPr>
      </w:pPr>
    </w:p>
    <w:p w:rsidR="004C2EE3" w:rsidP="00133F79" w14:paraId="456921BA" w14:textId="05F031A4">
      <w:pPr>
        <w:tabs>
          <w:tab w:val="left" w:pos="720"/>
          <w:tab w:val="right" w:pos="9360"/>
        </w:tabs>
        <w:suppressAutoHyphens/>
        <w:spacing w:line="227" w:lineRule="auto"/>
        <w:rPr>
          <w:spacing w:val="-2"/>
        </w:rPr>
      </w:pPr>
      <w:r>
        <w:rPr>
          <w:b/>
          <w:spacing w:val="-2"/>
        </w:rPr>
        <w:t>Adopted:  May 14, 2018</w:t>
      </w:r>
      <w:r w:rsidR="00CE1F7C">
        <w:rPr>
          <w:b/>
          <w:spacing w:val="-2"/>
        </w:rPr>
        <w:t xml:space="preserve">                                                                                     </w:t>
      </w:r>
      <w:r w:rsidR="00822CE0">
        <w:rPr>
          <w:b/>
          <w:spacing w:val="-2"/>
        </w:rPr>
        <w:t>Released</w:t>
      </w:r>
      <w:r>
        <w:rPr>
          <w:b/>
          <w:spacing w:val="-2"/>
        </w:rPr>
        <w:t>:</w:t>
      </w:r>
      <w:r w:rsidR="00822CE0">
        <w:rPr>
          <w:b/>
          <w:spacing w:val="-2"/>
        </w:rPr>
        <w:t xml:space="preserve"> </w:t>
      </w:r>
      <w:r>
        <w:rPr>
          <w:b/>
          <w:spacing w:val="-2"/>
        </w:rPr>
        <w:t xml:space="preserve"> May 15, 2018</w:t>
      </w:r>
    </w:p>
    <w:p w:rsidR="00822CE0" w14:paraId="6D3FC5C4" w14:textId="77777777"/>
    <w:p w:rsidR="00C7372D" w14:paraId="4292F14E" w14:textId="77777777">
      <w:r>
        <w:t>Comment Date:</w:t>
      </w:r>
      <w:r w:rsidR="001349BA">
        <w:t xml:space="preserve"> </w:t>
      </w:r>
      <w:r w:rsidRPr="00E13606" w:rsidR="001349BA">
        <w:t>[30 days after date of publication in the Federal Register]</w:t>
      </w:r>
    </w:p>
    <w:p w:rsidR="00C7372D" w14:paraId="1A4015FB" w14:textId="77777777">
      <w:r>
        <w:t>Reply Comment Date:</w:t>
      </w:r>
      <w:r w:rsidR="001349BA">
        <w:t xml:space="preserve"> [45 days after date of publ</w:t>
      </w:r>
      <w:r w:rsidR="001D1734">
        <w:t>ication in the Federal Register]</w:t>
      </w:r>
    </w:p>
    <w:p w:rsidR="00C7372D" w14:paraId="2797ED17" w14:textId="77777777"/>
    <w:p w:rsidR="004C2EE3" w14:paraId="0A6F59F5" w14:textId="77777777">
      <w:pPr>
        <w:rPr>
          <w:spacing w:val="-2"/>
        </w:rPr>
      </w:pPr>
      <w:r>
        <w:t xml:space="preserve">By </w:t>
      </w:r>
      <w:r w:rsidR="004E4A22">
        <w:t>the</w:t>
      </w:r>
      <w:r w:rsidR="002A2D2E">
        <w:t xml:space="preserve"> </w:t>
      </w:r>
      <w:r w:rsidR="003F47A5">
        <w:t xml:space="preserve">Chief, Video Division, </w:t>
      </w:r>
      <w:r w:rsidR="00105057">
        <w:t>Media Bureau</w:t>
      </w:r>
      <w:r>
        <w:rPr>
          <w:spacing w:val="-2"/>
        </w:rPr>
        <w:t>:</w:t>
      </w:r>
    </w:p>
    <w:p w:rsidR="00412FC5" w:rsidP="00412FC5" w14:paraId="6CDAD43B" w14:textId="77777777"/>
    <w:p w:rsidR="00B87078" w:rsidP="00A25603" w14:paraId="220CDF89" w14:textId="332D434E">
      <w:pPr>
        <w:pStyle w:val="ParaNum"/>
        <w:tabs>
          <w:tab w:val="clear" w:pos="1080"/>
          <w:tab w:val="num" w:pos="1440"/>
        </w:tabs>
      </w:pPr>
      <w:r>
        <w:t>The</w:t>
      </w:r>
      <w:r w:rsidR="00C7372D">
        <w:t xml:space="preserve"> Commission has before it a petition for rulemaking </w:t>
      </w:r>
      <w:r w:rsidR="001947B7">
        <w:t xml:space="preserve">(Petition) </w:t>
      </w:r>
      <w:r w:rsidR="00C7372D">
        <w:t>filed by Ocean State Television, LLC (Petitioner</w:t>
      </w:r>
      <w:r w:rsidR="00DF3050">
        <w:t xml:space="preserve"> or OST</w:t>
      </w:r>
      <w:r w:rsidR="00C7372D">
        <w:t>), licensee of television station WPXQ-TV, channel 17</w:t>
      </w:r>
      <w:r w:rsidR="001947B7">
        <w:t>, Block Island, Rhode Island</w:t>
      </w:r>
      <w:r w:rsidR="00DF3050">
        <w:t xml:space="preserve"> (WPXQ)</w:t>
      </w:r>
      <w:r w:rsidR="001947B7">
        <w:t>.</w:t>
      </w:r>
      <w:r>
        <w:rPr>
          <w:rStyle w:val="FootnoteReference"/>
        </w:rPr>
        <w:footnoteReference w:id="3"/>
      </w:r>
      <w:r w:rsidR="001947B7">
        <w:t xml:space="preserve">  </w:t>
      </w:r>
      <w:r w:rsidR="00DF3050">
        <w:t>WPXQ operates on channel 17 on a shared basis with commercial television station WLWC, New Bedford, Massachusetts, also licensed to OST.  OST</w:t>
      </w:r>
      <w:r w:rsidR="001947B7">
        <w:t xml:space="preserve"> </w:t>
      </w:r>
      <w:r w:rsidR="002228A1">
        <w:t>requests an</w:t>
      </w:r>
      <w:r w:rsidR="001947B7">
        <w:t xml:space="preserve"> </w:t>
      </w:r>
      <w:r w:rsidR="009E2E69">
        <w:t>amend</w:t>
      </w:r>
      <w:r w:rsidR="000E3CB9">
        <w:t>ment</w:t>
      </w:r>
      <w:r w:rsidR="00513726">
        <w:t xml:space="preserve"> </w:t>
      </w:r>
      <w:r w:rsidR="002228A1">
        <w:t>of</w:t>
      </w:r>
      <w:r w:rsidR="00671F04">
        <w:t xml:space="preserve"> </w:t>
      </w:r>
      <w:r w:rsidR="00DF3050">
        <w:t xml:space="preserve">the </w:t>
      </w:r>
      <w:r w:rsidR="00671F04">
        <w:t>DTV Table of Allotments</w:t>
      </w:r>
      <w:r w:rsidR="00DC76CF">
        <w:t xml:space="preserve"> </w:t>
      </w:r>
      <w:r w:rsidR="00671F04">
        <w:t>to</w:t>
      </w:r>
      <w:r w:rsidR="00431BD6">
        <w:t xml:space="preserve"> delet</w:t>
      </w:r>
      <w:r w:rsidR="00671F04">
        <w:t>e</w:t>
      </w:r>
      <w:r w:rsidR="00431BD6">
        <w:t xml:space="preserve"> c</w:t>
      </w:r>
      <w:r w:rsidR="001947B7">
        <w:t>hannel 17 at Block Isla</w:t>
      </w:r>
      <w:r w:rsidR="00431BD6">
        <w:t>nd</w:t>
      </w:r>
      <w:r w:rsidR="009E2E69">
        <w:t>, Rhode Island,</w:t>
      </w:r>
      <w:r w:rsidR="00513726">
        <w:t xml:space="preserve"> and</w:t>
      </w:r>
      <w:r w:rsidR="00431BD6">
        <w:t xml:space="preserve"> substitut</w:t>
      </w:r>
      <w:r w:rsidR="00671F04">
        <w:t>e</w:t>
      </w:r>
      <w:r w:rsidR="00431BD6">
        <w:t xml:space="preserve"> channel 17 at Newpor</w:t>
      </w:r>
      <w:r w:rsidR="00513726">
        <w:t>t</w:t>
      </w:r>
      <w:r w:rsidR="009E2E69">
        <w:t>, Rhode Island</w:t>
      </w:r>
      <w:r w:rsidR="001947B7">
        <w:t>.</w:t>
      </w:r>
      <w:r w:rsidRPr="00CE3D90" w:rsidR="00CE3D90">
        <w:rPr>
          <w:rStyle w:val="FootnoteReference"/>
        </w:rPr>
        <w:t xml:space="preserve"> </w:t>
      </w:r>
      <w:r>
        <w:rPr>
          <w:rStyle w:val="FootnoteReference"/>
        </w:rPr>
        <w:footnoteReference w:id="4"/>
      </w:r>
      <w:r w:rsidR="00CE3D90">
        <w:t xml:space="preserve"> </w:t>
      </w:r>
      <w:r w:rsidR="001947B7">
        <w:t xml:space="preserve"> Petitioner </w:t>
      </w:r>
      <w:r w:rsidR="00CE1F7C">
        <w:t>further</w:t>
      </w:r>
      <w:r w:rsidR="001947B7">
        <w:t xml:space="preserve"> requests modification of WPXQ’s license to specify Newport as </w:t>
      </w:r>
      <w:r w:rsidR="00513726">
        <w:t>its</w:t>
      </w:r>
      <w:r w:rsidR="001947B7">
        <w:t xml:space="preserve"> community of license</w:t>
      </w:r>
      <w:r w:rsidR="006F08B2">
        <w:t xml:space="preserve"> purs</w:t>
      </w:r>
      <w:r w:rsidR="002228A1">
        <w:t xml:space="preserve">uant to Section 1.420(i) of the </w:t>
      </w:r>
      <w:r w:rsidR="006F08B2">
        <w:t>Rules</w:t>
      </w:r>
      <w:r w:rsidR="001947B7">
        <w:t>.</w:t>
      </w:r>
      <w:r>
        <w:rPr>
          <w:rStyle w:val="FootnoteReference"/>
        </w:rPr>
        <w:footnoteReference w:id="5"/>
      </w:r>
    </w:p>
    <w:p w:rsidR="005052EA" w:rsidP="00DA219E" w14:paraId="62E8473C" w14:textId="01B91C52">
      <w:pPr>
        <w:pStyle w:val="ParaNum"/>
        <w:tabs>
          <w:tab w:val="clear" w:pos="1080"/>
          <w:tab w:val="num" w:pos="1440"/>
        </w:tabs>
      </w:pPr>
      <w:bookmarkStart w:id="2" w:name="_Hlk501539640"/>
      <w:r>
        <w:t>Section 1.</w:t>
      </w:r>
      <w:r>
        <w:t>42</w:t>
      </w:r>
      <w:r>
        <w:t>0</w:t>
      </w:r>
      <w:r>
        <w:t xml:space="preserve">(i) of the </w:t>
      </w:r>
      <w:r w:rsidR="00DC76CF">
        <w:t>Rules</w:t>
      </w:r>
      <w:r w:rsidR="006F08B2">
        <w:t xml:space="preserve"> provides that </w:t>
      </w:r>
      <w:r w:rsidR="00335E11">
        <w:t>the Commission, during</w:t>
      </w:r>
      <w:r w:rsidR="006F08B2">
        <w:t xml:space="preserve"> a rulemaking proceeding to amend the Tab</w:t>
      </w:r>
      <w:r w:rsidR="00335E11">
        <w:t>le of Allotments,</w:t>
      </w:r>
      <w:r w:rsidR="006F08B2">
        <w:t xml:space="preserve"> may modify a station’s license to specify </w:t>
      </w:r>
      <w:r>
        <w:t xml:space="preserve">a new community of license without affording other interested parties </w:t>
      </w:r>
      <w:r w:rsidR="00115C5E">
        <w:t>an opportunity to file co</w:t>
      </w:r>
      <w:r>
        <w:t>mp</w:t>
      </w:r>
      <w:r w:rsidR="00115C5E">
        <w:t>e</w:t>
      </w:r>
      <w:r>
        <w:t>ting expressions of interest</w:t>
      </w:r>
      <w:r w:rsidR="003103D3">
        <w:t>.</w:t>
      </w:r>
      <w:r>
        <w:rPr>
          <w:rStyle w:val="FootnoteReference"/>
        </w:rPr>
        <w:footnoteReference w:id="6"/>
      </w:r>
      <w:r w:rsidR="003103D3">
        <w:t xml:space="preserve">  The Commission will apply this procedure in the limited circumstances in which:</w:t>
      </w:r>
      <w:r w:rsidR="009409CC">
        <w:t xml:space="preserve"> </w:t>
      </w:r>
      <w:r w:rsidR="003103D3">
        <w:t xml:space="preserve">(1) the new allotment will be mutually exclusive with a station’s existing allotment; (2) the new allotment will result in </w:t>
      </w:r>
      <w:bookmarkStart w:id="3" w:name="_Hlk506388394"/>
      <w:r w:rsidR="003103D3">
        <w:t xml:space="preserve">a preferential arrangement of the allotments </w:t>
      </w:r>
      <w:bookmarkEnd w:id="3"/>
      <w:r w:rsidR="003103D3">
        <w:t>according to the Commission’s television allotment priorities; and (3) the new allotment will not deprive a community of its sole local transmission outlet.</w:t>
      </w:r>
      <w:r>
        <w:rPr>
          <w:rStyle w:val="FootnoteReference"/>
        </w:rPr>
        <w:footnoteReference w:id="7"/>
      </w:r>
      <w:r w:rsidR="00341124">
        <w:t xml:space="preserve">  Generally, </w:t>
      </w:r>
      <w:r w:rsidR="0090164F">
        <w:t xml:space="preserve">the </w:t>
      </w:r>
      <w:r w:rsidR="0090164F">
        <w:t xml:space="preserve">Commission believes that its prohibition on the removal of a community’s first local service is justified because such a removal </w:t>
      </w:r>
      <w:r w:rsidR="0028157D">
        <w:t xml:space="preserve">is </w:t>
      </w:r>
      <w:r w:rsidR="0090164F">
        <w:t>presumptively</w:t>
      </w:r>
      <w:r w:rsidR="00F4277B">
        <w:t xml:space="preserve"> inconsistent with</w:t>
      </w:r>
      <w:r w:rsidR="0090164F">
        <w:t xml:space="preserve"> the public interest.</w:t>
      </w:r>
      <w:r>
        <w:rPr>
          <w:rStyle w:val="FootnoteReference"/>
        </w:rPr>
        <w:footnoteReference w:id="8"/>
      </w:r>
      <w:r w:rsidR="0090164F">
        <w:t xml:space="preserve">  However, the Commission will entertain a request to waive its general prohibition on the removal of</w:t>
      </w:r>
      <w:r w:rsidR="00F4277B">
        <w:t xml:space="preserve"> a community’s sole first</w:t>
      </w:r>
      <w:r w:rsidR="0090164F">
        <w:t xml:space="preserve"> local service in the rare circumstance where such a removal might serve the public interest, for example, providing a first reception </w:t>
      </w:r>
      <w:r w:rsidR="003B57B7">
        <w:t>service</w:t>
      </w:r>
      <w:r w:rsidR="0090164F">
        <w:t xml:space="preserve"> to a significantly sized population.</w:t>
      </w:r>
      <w:r>
        <w:rPr>
          <w:rStyle w:val="FootnoteReference"/>
        </w:rPr>
        <w:footnoteReference w:id="9"/>
      </w:r>
      <w:r w:rsidR="003103D3">
        <w:t xml:space="preserve">  </w:t>
      </w:r>
    </w:p>
    <w:p w:rsidR="00CE1F7C" w:rsidP="00764495" w14:paraId="0401B90B" w14:textId="1028564D">
      <w:pPr>
        <w:pStyle w:val="ParaNum"/>
      </w:pPr>
      <w:r>
        <w:t>The</w:t>
      </w:r>
      <w:r w:rsidR="00CD2A27">
        <w:t xml:space="preserve"> </w:t>
      </w:r>
      <w:r w:rsidR="008A5C21">
        <w:t>Petitioner</w:t>
      </w:r>
      <w:r w:rsidR="00E27087">
        <w:t xml:space="preserve"> do</w:t>
      </w:r>
      <w:r w:rsidR="006873FB">
        <w:t>es</w:t>
      </w:r>
      <w:r w:rsidR="00E27087">
        <w:t xml:space="preserve"> not propose any changes in WPXQ’s </w:t>
      </w:r>
      <w:r w:rsidR="00A748F1">
        <w:t>authorized</w:t>
      </w:r>
      <w:r w:rsidR="00E27087">
        <w:t xml:space="preserve"> facilities and will continue to p</w:t>
      </w:r>
      <w:r w:rsidR="009A1BF7">
        <w:t>rovide a signal encompassing</w:t>
      </w:r>
      <w:r w:rsidR="00E27087">
        <w:t xml:space="preserve"> </w:t>
      </w:r>
      <w:r w:rsidR="00345118">
        <w:t xml:space="preserve">both </w:t>
      </w:r>
      <w:r w:rsidR="00E27087">
        <w:t xml:space="preserve">Newport </w:t>
      </w:r>
      <w:r w:rsidR="00936AA6">
        <w:t xml:space="preserve">and Block Island </w:t>
      </w:r>
      <w:r w:rsidR="006873FB">
        <w:t xml:space="preserve">from </w:t>
      </w:r>
      <w:r w:rsidR="000E3CB9">
        <w:t>its</w:t>
      </w:r>
      <w:r w:rsidR="00E27087">
        <w:t xml:space="preserve"> currently au</w:t>
      </w:r>
      <w:r w:rsidR="006873FB">
        <w:t>thorized transmission facilities</w:t>
      </w:r>
      <w:r w:rsidR="00936AA6">
        <w:t>.</w:t>
      </w:r>
      <w:r>
        <w:rPr>
          <w:rStyle w:val="FootnoteReference"/>
        </w:rPr>
        <w:footnoteReference w:id="10"/>
      </w:r>
      <w:r w:rsidR="008A5C21">
        <w:t xml:space="preserve"> </w:t>
      </w:r>
      <w:r w:rsidR="00BD1914">
        <w:t xml:space="preserve"> </w:t>
      </w:r>
      <w:r w:rsidR="00186CB6">
        <w:t xml:space="preserve">The </w:t>
      </w:r>
      <w:r w:rsidR="00345118">
        <w:t>Peti</w:t>
      </w:r>
      <w:r w:rsidR="00186CB6">
        <w:t>tioner assert</w:t>
      </w:r>
      <w:r w:rsidR="005C776D">
        <w:t>s</w:t>
      </w:r>
      <w:r w:rsidR="00186CB6">
        <w:t xml:space="preserve"> that Newport</w:t>
      </w:r>
      <w:r w:rsidR="005C776D">
        <w:t xml:space="preserve"> qualifies as a community for allotment purposes</w:t>
      </w:r>
      <w:r w:rsidR="00417050">
        <w:t xml:space="preserve">, </w:t>
      </w:r>
      <w:r w:rsidR="00186CB6">
        <w:t>is deserving of its first local television service</w:t>
      </w:r>
      <w:r w:rsidR="00417050">
        <w:t>,</w:t>
      </w:r>
      <w:r>
        <w:rPr>
          <w:rStyle w:val="FootnoteReference"/>
        </w:rPr>
        <w:footnoteReference w:id="11"/>
      </w:r>
      <w:r w:rsidR="005C776D">
        <w:t xml:space="preserve"> </w:t>
      </w:r>
      <w:r w:rsidR="00417050">
        <w:t>and that “if the Commission were making an initial choice between these two communities for a new service allotment, Newport would unquestionably be the preferred community for a first local service.</w:t>
      </w:r>
      <w:r w:rsidR="00FF7DF8">
        <w:t>”</w:t>
      </w:r>
      <w:r>
        <w:rPr>
          <w:rStyle w:val="FootnoteReference"/>
        </w:rPr>
        <w:footnoteReference w:id="12"/>
      </w:r>
      <w:r w:rsidR="00417050">
        <w:t xml:space="preserve"> </w:t>
      </w:r>
      <w:r w:rsidR="00366E1B">
        <w:t xml:space="preserve"> </w:t>
      </w:r>
      <w:r w:rsidRPr="00764495" w:rsidR="00764495">
        <w:t xml:space="preserve">The Petitioner also asserts that “substantial public interests weigh heavily in favor” </w:t>
      </w:r>
      <w:r w:rsidR="007374DE">
        <w:t>of</w:t>
      </w:r>
      <w:r w:rsidRPr="00764495" w:rsidR="00764495">
        <w:t xml:space="preserve"> reallocating WPXQ</w:t>
      </w:r>
      <w:r w:rsidR="007374DE">
        <w:t xml:space="preserve"> </w:t>
      </w:r>
      <w:r w:rsidRPr="00764495" w:rsidR="00764495">
        <w:t>to Newport.</w:t>
      </w:r>
      <w:r>
        <w:rPr>
          <w:rStyle w:val="FootnoteReference"/>
        </w:rPr>
        <w:footnoteReference w:id="13"/>
      </w:r>
      <w:r w:rsidR="00764495">
        <w:t xml:space="preserve">  </w:t>
      </w:r>
      <w:r w:rsidR="00366E1B">
        <w:t>Ac</w:t>
      </w:r>
      <w:r w:rsidR="00E81544">
        <w:t>cording to the Petitioner, New</w:t>
      </w:r>
      <w:r w:rsidR="00366E1B">
        <w:t>port</w:t>
      </w:r>
      <w:r w:rsidR="00FC781B">
        <w:t xml:space="preserve"> is not only a larger community than Block Island</w:t>
      </w:r>
      <w:r w:rsidR="00876CBB">
        <w:t xml:space="preserve"> (</w:t>
      </w:r>
      <w:r w:rsidR="001A670D">
        <w:t xml:space="preserve">Newport’s </w:t>
      </w:r>
      <w:r w:rsidR="00F314DE">
        <w:t>p</w:t>
      </w:r>
      <w:r w:rsidR="001A670D">
        <w:t xml:space="preserve">opulation of </w:t>
      </w:r>
      <w:r w:rsidR="00FC781B">
        <w:t>24,027 vs.</w:t>
      </w:r>
      <w:r w:rsidR="001A670D">
        <w:t xml:space="preserve"> Block Island’s population of approximately</w:t>
      </w:r>
      <w:r w:rsidR="00FC781B">
        <w:t xml:space="preserve"> 1,000</w:t>
      </w:r>
      <w:r w:rsidR="00283451">
        <w:t>)</w:t>
      </w:r>
      <w:r w:rsidR="00E81544">
        <w:t>,</w:t>
      </w:r>
      <w:r>
        <w:rPr>
          <w:rStyle w:val="FootnoteReference"/>
        </w:rPr>
        <w:footnoteReference w:id="14"/>
      </w:r>
      <w:r w:rsidR="00E81544">
        <w:t xml:space="preserve"> but also “has more of every type of public service and cultural indicia that the Commission generally considers in allotting local services.”</w:t>
      </w:r>
      <w:r>
        <w:rPr>
          <w:rStyle w:val="FootnoteReference"/>
        </w:rPr>
        <w:footnoteReference w:id="15"/>
      </w:r>
      <w:r w:rsidR="00E81544">
        <w:t xml:space="preserve">  For example, </w:t>
      </w:r>
      <w:r w:rsidR="00FC781B">
        <w:t xml:space="preserve">Petitioner claims that unlike Block Island, </w:t>
      </w:r>
      <w:r w:rsidR="00E81544">
        <w:t xml:space="preserve">Newport has </w:t>
      </w:r>
      <w:r w:rsidR="001A670D">
        <w:t xml:space="preserve">a </w:t>
      </w:r>
      <w:r w:rsidR="00186CB6">
        <w:t>“robust local government”</w:t>
      </w:r>
      <w:r w:rsidR="00BD1914">
        <w:t xml:space="preserve"> </w:t>
      </w:r>
      <w:r w:rsidR="00E81544">
        <w:t xml:space="preserve">and </w:t>
      </w:r>
      <w:r w:rsidR="00BD1914">
        <w:t>is the county seat of Newport County</w:t>
      </w:r>
      <w:r w:rsidR="00876CBB">
        <w:t>.</w:t>
      </w:r>
      <w:r>
        <w:rPr>
          <w:rStyle w:val="FootnoteReference"/>
        </w:rPr>
        <w:footnoteReference w:id="16"/>
      </w:r>
      <w:r w:rsidR="005C776D">
        <w:t xml:space="preserve"> </w:t>
      </w:r>
      <w:r w:rsidR="00876CBB">
        <w:t xml:space="preserve"> </w:t>
      </w:r>
      <w:r w:rsidR="00FC781B">
        <w:t>Petitioner also claims that</w:t>
      </w:r>
      <w:r w:rsidR="00876CBB">
        <w:t xml:space="preserve"> Newport </w:t>
      </w:r>
      <w:r w:rsidR="005C776D">
        <w:t>has a diverse local economy</w:t>
      </w:r>
      <w:r w:rsidR="00876CBB">
        <w:t xml:space="preserve"> with the U.S. Navy being the largest employer (approximately 14,922 employees);</w:t>
      </w:r>
      <w:r w:rsidR="005C776D">
        <w:t xml:space="preserve"> has a historical significance as it once was “one of the largest and most important colonial seaports in the British Empire</w:t>
      </w:r>
      <w:r w:rsidR="0031634D">
        <w:t xml:space="preserve"> before the American Revolution</w:t>
      </w:r>
      <w:r w:rsidR="00876CBB">
        <w:t>;</w:t>
      </w:r>
      <w:r w:rsidR="005C776D">
        <w:t>”</w:t>
      </w:r>
      <w:r w:rsidR="00DD1759">
        <w:t xml:space="preserve"> </w:t>
      </w:r>
      <w:r w:rsidR="00876CBB">
        <w:t xml:space="preserve">has </w:t>
      </w:r>
      <w:r w:rsidR="00A7010F">
        <w:t xml:space="preserve">27 places of worship, </w:t>
      </w:r>
      <w:r w:rsidR="00876CBB">
        <w:t xml:space="preserve">11 museums, </w:t>
      </w:r>
      <w:r w:rsidR="00A7010F">
        <w:t xml:space="preserve">and </w:t>
      </w:r>
      <w:r w:rsidR="00876CBB">
        <w:t>five performing arts centers</w:t>
      </w:r>
      <w:r w:rsidR="00A7010F">
        <w:t>; and has several colleges, including the U.S. Navy War College and Naval Undersea Warfare Center</w:t>
      </w:r>
      <w:r w:rsidR="001A670D">
        <w:t>.</w:t>
      </w:r>
      <w:r>
        <w:rPr>
          <w:rStyle w:val="FootnoteReference"/>
        </w:rPr>
        <w:footnoteReference w:id="17"/>
      </w:r>
      <w:r w:rsidR="006873FB">
        <w:t xml:space="preserve"> </w:t>
      </w:r>
      <w:r w:rsidR="00BD1914">
        <w:t xml:space="preserve"> </w:t>
      </w:r>
      <w:r w:rsidR="006873FB">
        <w:t xml:space="preserve">Furthermore, </w:t>
      </w:r>
      <w:r w:rsidR="00DD1759">
        <w:t>although</w:t>
      </w:r>
      <w:r w:rsidR="009A1BF7">
        <w:t xml:space="preserve"> Block Island will lose its first local service </w:t>
      </w:r>
      <w:r w:rsidR="004627DE">
        <w:t>in the proposed r</w:t>
      </w:r>
      <w:r w:rsidR="006873FB">
        <w:t>e</w:t>
      </w:r>
      <w:r w:rsidR="004627DE">
        <w:t>allotment</w:t>
      </w:r>
      <w:r w:rsidR="00DD1759">
        <w:t>,</w:t>
      </w:r>
      <w:r w:rsidR="00A748F1">
        <w:t xml:space="preserve"> the Petitioner asserts that </w:t>
      </w:r>
      <w:r w:rsidR="00902A10">
        <w:t>the proposed reallotment “will cause no public harm</w:t>
      </w:r>
      <w:r w:rsidR="008A5C21">
        <w:t>”</w:t>
      </w:r>
      <w:r w:rsidR="00A91C03">
        <w:t xml:space="preserve"> </w:t>
      </w:r>
      <w:r w:rsidR="00902A10">
        <w:t xml:space="preserve">because </w:t>
      </w:r>
      <w:r w:rsidR="008A5C21">
        <w:t>Block Island</w:t>
      </w:r>
      <w:r w:rsidR="00902A10">
        <w:t xml:space="preserve"> will</w:t>
      </w:r>
      <w:r w:rsidR="00BA25F8">
        <w:t xml:space="preserve"> not only</w:t>
      </w:r>
      <w:r w:rsidR="00902A10">
        <w:t xml:space="preserve"> continue to be served by five full-power commercial and one full-power non-commercial television stations</w:t>
      </w:r>
      <w:r w:rsidR="00BA25F8">
        <w:t>,</w:t>
      </w:r>
      <w:r>
        <w:rPr>
          <w:rStyle w:val="FootnoteReference"/>
        </w:rPr>
        <w:footnoteReference w:id="18"/>
      </w:r>
      <w:r w:rsidR="006873FB">
        <w:t xml:space="preserve"> </w:t>
      </w:r>
      <w:r w:rsidR="00BA25F8">
        <w:t>but will also continue to receive “exactly the same over-the-air ser</w:t>
      </w:r>
      <w:r w:rsidR="00FF7DF8">
        <w:t>vic</w:t>
      </w:r>
      <w:r w:rsidR="00BA25F8">
        <w:t>e from Petitioner that they are receiving today.”</w:t>
      </w:r>
      <w:r>
        <w:rPr>
          <w:rStyle w:val="FootnoteReference"/>
        </w:rPr>
        <w:footnoteReference w:id="19"/>
      </w:r>
      <w:r w:rsidR="006873FB">
        <w:t xml:space="preserve"> </w:t>
      </w:r>
      <w:r w:rsidR="00B378FD">
        <w:t xml:space="preserve"> Moreover, Petitioner states that it is</w:t>
      </w:r>
      <w:r w:rsidR="003B57B7">
        <w:t xml:space="preserve"> also</w:t>
      </w:r>
      <w:r w:rsidR="00B378FD">
        <w:t xml:space="preserve"> “willing to commit to continuing to provide over-the-air or other direct service to Block Island viewers . . . ”</w:t>
      </w:r>
      <w:r w:rsidR="003B57B7">
        <w:t xml:space="preserve"> in the event that it decides to change or relocate its authorized transmission facilities.</w:t>
      </w:r>
      <w:r>
        <w:rPr>
          <w:rStyle w:val="FootnoteReference"/>
        </w:rPr>
        <w:footnoteReference w:id="20"/>
      </w:r>
      <w:r w:rsidR="00B378FD">
        <w:t xml:space="preserve">  </w:t>
      </w:r>
      <w:r w:rsidR="003107EF">
        <w:t>Therefore, according to the</w:t>
      </w:r>
      <w:r w:rsidR="006873FB">
        <w:t xml:space="preserve"> Petitioner</w:t>
      </w:r>
      <w:r w:rsidR="003107EF">
        <w:t>, the proposal would result in a preferential allotment by providing Newport with its first local full-power television service in satisfaction of the Commission’s second allotment priority</w:t>
      </w:r>
      <w:r w:rsidR="001A670D">
        <w:t xml:space="preserve">, which is also </w:t>
      </w:r>
      <w:r w:rsidR="006873FB">
        <w:t>consistent with Commission precedent</w:t>
      </w:r>
      <w:r w:rsidR="003B57B7">
        <w:t xml:space="preserve"> and consistent with the public interest</w:t>
      </w:r>
      <w:r w:rsidR="006873FB">
        <w:t>.</w:t>
      </w:r>
      <w:r>
        <w:rPr>
          <w:rStyle w:val="FootnoteReference"/>
        </w:rPr>
        <w:footnoteReference w:id="21"/>
      </w:r>
      <w:r w:rsidR="006873FB">
        <w:t xml:space="preserve"> </w:t>
      </w:r>
    </w:p>
    <w:p w:rsidR="001D1734" w:rsidP="001364E3" w14:paraId="51249238" w14:textId="51A87794">
      <w:pPr>
        <w:pStyle w:val="ParaNum"/>
        <w:tabs>
          <w:tab w:val="clear" w:pos="1080"/>
          <w:tab w:val="num" w:pos="1440"/>
        </w:tabs>
      </w:pPr>
      <w:bookmarkStart w:id="4" w:name="_Hlk506449115"/>
      <w:r>
        <w:t xml:space="preserve"> </w:t>
      </w:r>
      <w:r w:rsidR="00BF6E00">
        <w:t>We believe that the Petitioner’s proposal warrants consideration.  Accordingly, we seek commen</w:t>
      </w:r>
      <w:r w:rsidR="001C5898">
        <w:t>t</w:t>
      </w:r>
      <w:r w:rsidR="00BF6E00">
        <w:t xml:space="preserve"> </w:t>
      </w:r>
      <w:r w:rsidR="00357FF2">
        <w:t xml:space="preserve">on </w:t>
      </w:r>
      <w:r w:rsidRPr="00B1303A" w:rsidR="00357FF2">
        <w:t>whether</w:t>
      </w:r>
      <w:r w:rsidR="003B57B7">
        <w:t xml:space="preserve"> the</w:t>
      </w:r>
      <w:r w:rsidRPr="00B1303A" w:rsidR="00357FF2">
        <w:t xml:space="preserve"> Petitioner has provided suffi</w:t>
      </w:r>
      <w:r w:rsidRPr="003B57B7" w:rsidR="003B57B7">
        <w:t xml:space="preserve">cient evidence indicating that </w:t>
      </w:r>
      <w:r w:rsidR="007E7646">
        <w:t>its proposal</w:t>
      </w:r>
      <w:r w:rsidRPr="003B57B7" w:rsidR="003B57B7">
        <w:t xml:space="preserve"> </w:t>
      </w:r>
      <w:r w:rsidRPr="00B1303A" w:rsidR="00357FF2">
        <w:t xml:space="preserve">to </w:t>
      </w:r>
      <w:r w:rsidR="00BF6E00">
        <w:t xml:space="preserve">amend </w:t>
      </w:r>
      <w:r w:rsidR="003B57B7">
        <w:t>the</w:t>
      </w:r>
      <w:r w:rsidR="00BF6E00">
        <w:t xml:space="preserve"> DTV Table of Allotments in Section 73.622(i) of the Rules</w:t>
      </w:r>
      <w:r w:rsidR="007E7646">
        <w:t>, as seen below,</w:t>
      </w:r>
      <w:r w:rsidRPr="0017340B" w:rsidR="003B57B7">
        <w:t xml:space="preserve"> </w:t>
      </w:r>
      <w:r w:rsidR="007E7646">
        <w:t>is consistent with the public interest</w:t>
      </w:r>
      <w:r w:rsidR="00BF6E00">
        <w:t>:</w:t>
      </w:r>
      <w:bookmarkEnd w:id="4"/>
      <w:r>
        <w:rPr>
          <w:rStyle w:val="FootnoteReference"/>
        </w:rPr>
        <w:footnoteReference w:id="22"/>
      </w:r>
    </w:p>
    <w:p w:rsidR="000636BB" w:rsidP="000636BB" w14:paraId="030A432B" w14:textId="77777777">
      <w:pPr>
        <w:pStyle w:val="ParaNum"/>
        <w:numPr>
          <w:ilvl w:val="0"/>
          <w:numId w:val="0"/>
        </w:numPr>
        <w:ind w:left="720"/>
      </w:pPr>
    </w:p>
    <w:tbl>
      <w:tblPr>
        <w:tblW w:w="0" w:type="auto"/>
        <w:tblInd w:w="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
      <w:tblGrid>
        <w:gridCol w:w="2611"/>
        <w:gridCol w:w="2611"/>
        <w:gridCol w:w="2612"/>
      </w:tblGrid>
      <w:tr w14:paraId="438975F0" w14:textId="77777777" w:rsidTr="0031634D">
        <w:tblPrEx>
          <w:tblW w:w="0" w:type="auto"/>
          <w:tblInd w:w="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23"/>
        </w:trPr>
        <w:tc>
          <w:tcPr>
            <w:tcW w:w="2611" w:type="dxa"/>
            <w:shd w:val="clear" w:color="auto" w:fill="auto"/>
          </w:tcPr>
          <w:p w:rsidR="00BF6E00" w:rsidP="00B378FD" w14:paraId="3BBF6D69" w14:textId="77777777">
            <w:pPr>
              <w:pStyle w:val="AppNum"/>
              <w:widowControl w:val="0"/>
              <w:numPr>
                <w:ilvl w:val="0"/>
                <w:numId w:val="0"/>
              </w:numPr>
              <w:tabs>
                <w:tab w:val="clear" w:pos="1447"/>
              </w:tabs>
              <w:spacing w:after="240"/>
              <w:ind w:left="0" w:firstLine="0"/>
              <w:jc w:val="both"/>
              <w:rPr>
                <w:rStyle w:val="DefaultParagraphFont"/>
                <w:rFonts w:ascii="Times New Roman" w:hAnsi="Times New Roman"/>
                <w:snapToGrid w:val="0"/>
                <w:spacing w:val="-3"/>
                <w:kern w:val="0"/>
                <w:sz w:val="22"/>
                <w:szCs w:val="22"/>
                <w:lang w:val="en-US" w:eastAsia="en-US" w:bidi="ar-SA"/>
              </w:rPr>
            </w:pPr>
          </w:p>
        </w:tc>
        <w:tc>
          <w:tcPr>
            <w:tcW w:w="5223" w:type="dxa"/>
            <w:gridSpan w:val="2"/>
            <w:shd w:val="clear" w:color="auto" w:fill="auto"/>
          </w:tcPr>
          <w:p w:rsidR="00BF6E00" w:rsidP="001349BA" w14:paraId="39D5361B" w14:textId="77777777">
            <w:pPr>
              <w:pStyle w:val="AppNum"/>
              <w:widowControl w:val="0"/>
              <w:numPr>
                <w:ilvl w:val="0"/>
                <w:numId w:val="0"/>
              </w:numPr>
              <w:tabs>
                <w:tab w:val="clear" w:pos="1447"/>
                <w:tab w:val="center" w:pos="2364"/>
                <w:tab w:val="right" w:pos="4728"/>
              </w:tabs>
              <w:spacing w:after="240"/>
              <w:ind w:left="0" w:firstLine="0"/>
              <w:rPr>
                <w:rStyle w:val="DefaultParagraphFont"/>
                <w:rFonts w:ascii="Times New Roman" w:hAnsi="Times New Roman"/>
                <w:snapToGrid w:val="0"/>
                <w:spacing w:val="-3"/>
                <w:kern w:val="0"/>
                <w:sz w:val="22"/>
                <w:szCs w:val="22"/>
                <w:lang w:val="en-US" w:eastAsia="en-US" w:bidi="ar-SA"/>
              </w:rPr>
            </w:pPr>
            <w:r>
              <w:rPr>
                <w:rFonts w:ascii="Times New Roman" w:hAnsi="Times New Roman"/>
                <w:snapToGrid w:val="0"/>
                <w:spacing w:val="-3"/>
                <w:kern w:val="0"/>
                <w:sz w:val="22"/>
                <w:szCs w:val="22"/>
                <w:lang w:val="en-US" w:eastAsia="en-US" w:bidi="ar-SA"/>
              </w:rPr>
              <w:tab/>
            </w:r>
            <w:r>
              <w:rPr>
                <w:rFonts w:ascii="Times New Roman" w:hAnsi="Times New Roman"/>
                <w:snapToGrid w:val="0"/>
                <w:spacing w:val="-3"/>
                <w:kern w:val="0"/>
                <w:sz w:val="22"/>
                <w:szCs w:val="22"/>
                <w:lang w:val="en-US" w:eastAsia="en-US" w:bidi="ar-SA"/>
              </w:rPr>
              <w:t>Channel No.</w:t>
            </w:r>
            <w:r>
              <w:rPr>
                <w:rFonts w:ascii="Times New Roman" w:hAnsi="Times New Roman"/>
                <w:snapToGrid w:val="0"/>
                <w:spacing w:val="-3"/>
                <w:kern w:val="0"/>
                <w:sz w:val="22"/>
                <w:szCs w:val="22"/>
                <w:lang w:val="en-US" w:eastAsia="en-US" w:bidi="ar-SA"/>
              </w:rPr>
              <w:tab/>
            </w:r>
          </w:p>
        </w:tc>
      </w:tr>
      <w:tr w14:paraId="32569EB2" w14:textId="77777777" w:rsidTr="0031634D">
        <w:tblPrEx>
          <w:tblW w:w="0" w:type="auto"/>
          <w:tblInd w:w="976" w:type="dxa"/>
          <w:tblCellMar>
            <w:top w:w="0" w:type="dxa"/>
            <w:left w:w="108" w:type="dxa"/>
            <w:bottom w:w="0" w:type="dxa"/>
            <w:right w:w="108" w:type="dxa"/>
          </w:tblCellMar>
          <w:tblLook w:val="04A0"/>
        </w:tblPrEx>
        <w:trPr>
          <w:trHeight w:val="323"/>
        </w:trPr>
        <w:tc>
          <w:tcPr>
            <w:tcW w:w="2611" w:type="dxa"/>
            <w:shd w:val="clear" w:color="auto" w:fill="auto"/>
          </w:tcPr>
          <w:p w:rsidR="00BF6E00" w:rsidP="00B378FD" w14:paraId="0B7E40A6" w14:textId="77777777">
            <w:pPr>
              <w:pStyle w:val="AppNum"/>
              <w:widowControl w:val="0"/>
              <w:numPr>
                <w:ilvl w:val="0"/>
                <w:numId w:val="0"/>
              </w:numPr>
              <w:tabs>
                <w:tab w:val="clear" w:pos="1447"/>
              </w:tabs>
              <w:spacing w:after="240"/>
              <w:ind w:left="0" w:firstLine="0"/>
              <w:jc w:val="both"/>
              <w:rPr>
                <w:rStyle w:val="DefaultParagraphFont"/>
                <w:rFonts w:ascii="Times New Roman" w:hAnsi="Times New Roman"/>
                <w:snapToGrid w:val="0"/>
                <w:spacing w:val="-3"/>
                <w:kern w:val="0"/>
                <w:sz w:val="22"/>
                <w:szCs w:val="22"/>
                <w:lang w:val="en-US" w:eastAsia="en-US" w:bidi="ar-SA"/>
              </w:rPr>
            </w:pPr>
            <w:r>
              <w:rPr>
                <w:rFonts w:ascii="Times New Roman" w:hAnsi="Times New Roman"/>
                <w:snapToGrid w:val="0"/>
                <w:spacing w:val="-3"/>
                <w:kern w:val="0"/>
                <w:sz w:val="22"/>
                <w:szCs w:val="22"/>
                <w:lang w:val="en-US" w:eastAsia="en-US" w:bidi="ar-SA"/>
              </w:rPr>
              <w:t>City and State</w:t>
            </w:r>
          </w:p>
        </w:tc>
        <w:tc>
          <w:tcPr>
            <w:tcW w:w="2611" w:type="dxa"/>
            <w:shd w:val="clear" w:color="auto" w:fill="auto"/>
          </w:tcPr>
          <w:p w:rsidR="00BF6E00" w:rsidP="00B378FD" w14:paraId="0582C639" w14:textId="77777777">
            <w:pPr>
              <w:pStyle w:val="AppNum"/>
              <w:widowControl w:val="0"/>
              <w:numPr>
                <w:ilvl w:val="0"/>
                <w:numId w:val="0"/>
              </w:numPr>
              <w:tabs>
                <w:tab w:val="clear" w:pos="1447"/>
              </w:tabs>
              <w:spacing w:after="240"/>
              <w:ind w:left="0" w:firstLine="0"/>
              <w:jc w:val="both"/>
              <w:rPr>
                <w:rStyle w:val="DefaultParagraphFont"/>
                <w:rFonts w:ascii="Times New Roman" w:hAnsi="Times New Roman"/>
                <w:snapToGrid w:val="0"/>
                <w:spacing w:val="-3"/>
                <w:kern w:val="0"/>
                <w:sz w:val="22"/>
                <w:szCs w:val="22"/>
                <w:lang w:val="en-US" w:eastAsia="en-US" w:bidi="ar-SA"/>
              </w:rPr>
            </w:pPr>
            <w:r>
              <w:rPr>
                <w:rFonts w:ascii="Times New Roman" w:hAnsi="Times New Roman"/>
                <w:snapToGrid w:val="0"/>
                <w:spacing w:val="-3"/>
                <w:kern w:val="0"/>
                <w:sz w:val="22"/>
                <w:szCs w:val="22"/>
                <w:lang w:val="en-US" w:eastAsia="en-US" w:bidi="ar-SA"/>
              </w:rPr>
              <w:t xml:space="preserve">Present </w:t>
            </w:r>
          </w:p>
        </w:tc>
        <w:tc>
          <w:tcPr>
            <w:tcW w:w="2611" w:type="dxa"/>
            <w:shd w:val="clear" w:color="auto" w:fill="auto"/>
          </w:tcPr>
          <w:p w:rsidR="00BF6E00" w:rsidP="00B378FD" w14:paraId="04FB28BD" w14:textId="77777777">
            <w:pPr>
              <w:pStyle w:val="AppNum"/>
              <w:widowControl w:val="0"/>
              <w:numPr>
                <w:ilvl w:val="0"/>
                <w:numId w:val="0"/>
              </w:numPr>
              <w:tabs>
                <w:tab w:val="clear" w:pos="1447"/>
              </w:tabs>
              <w:spacing w:after="240"/>
              <w:ind w:left="0" w:firstLine="0"/>
              <w:jc w:val="both"/>
              <w:rPr>
                <w:rStyle w:val="DefaultParagraphFont"/>
                <w:rFonts w:ascii="Times New Roman" w:hAnsi="Times New Roman"/>
                <w:snapToGrid w:val="0"/>
                <w:spacing w:val="-3"/>
                <w:kern w:val="0"/>
                <w:sz w:val="22"/>
                <w:szCs w:val="22"/>
                <w:lang w:val="en-US" w:eastAsia="en-US" w:bidi="ar-SA"/>
              </w:rPr>
            </w:pPr>
            <w:r>
              <w:rPr>
                <w:rFonts w:ascii="Times New Roman" w:hAnsi="Times New Roman"/>
                <w:snapToGrid w:val="0"/>
                <w:spacing w:val="-3"/>
                <w:kern w:val="0"/>
                <w:sz w:val="22"/>
                <w:szCs w:val="22"/>
                <w:lang w:val="en-US" w:eastAsia="en-US" w:bidi="ar-SA"/>
              </w:rPr>
              <w:t>Proposed</w:t>
            </w:r>
          </w:p>
        </w:tc>
      </w:tr>
      <w:tr w14:paraId="62E85AD1" w14:textId="77777777" w:rsidTr="0031634D">
        <w:tblPrEx>
          <w:tblW w:w="0" w:type="auto"/>
          <w:tblInd w:w="976" w:type="dxa"/>
          <w:tblCellMar>
            <w:top w:w="0" w:type="dxa"/>
            <w:left w:w="108" w:type="dxa"/>
            <w:bottom w:w="0" w:type="dxa"/>
            <w:right w:w="108" w:type="dxa"/>
          </w:tblCellMar>
          <w:tblLook w:val="04A0"/>
        </w:tblPrEx>
        <w:trPr>
          <w:trHeight w:val="484"/>
        </w:trPr>
        <w:tc>
          <w:tcPr>
            <w:tcW w:w="2611" w:type="dxa"/>
            <w:shd w:val="clear" w:color="auto" w:fill="auto"/>
          </w:tcPr>
          <w:p w:rsidR="00BF6E00" w:rsidP="00BF6E00" w14:paraId="4012E9CE" w14:textId="77777777">
            <w:pPr>
              <w:pStyle w:val="AppNum"/>
              <w:widowControl w:val="0"/>
              <w:numPr>
                <w:ilvl w:val="0"/>
                <w:numId w:val="0"/>
              </w:numPr>
              <w:tabs>
                <w:tab w:val="clear" w:pos="1447"/>
              </w:tabs>
              <w:spacing w:after="240"/>
              <w:ind w:left="0" w:firstLine="0"/>
              <w:rPr>
                <w:rStyle w:val="DefaultParagraphFont"/>
                <w:rFonts w:ascii="Times New Roman" w:hAnsi="Times New Roman"/>
                <w:snapToGrid w:val="0"/>
                <w:spacing w:val="-3"/>
                <w:kern w:val="0"/>
                <w:sz w:val="22"/>
                <w:szCs w:val="22"/>
                <w:lang w:val="en-US" w:eastAsia="en-US" w:bidi="ar-SA"/>
              </w:rPr>
            </w:pPr>
            <w:r>
              <w:rPr>
                <w:rFonts w:ascii="Times New Roman" w:hAnsi="Times New Roman"/>
                <w:snapToGrid w:val="0"/>
                <w:spacing w:val="-3"/>
                <w:kern w:val="0"/>
                <w:sz w:val="22"/>
                <w:szCs w:val="22"/>
                <w:lang w:val="en-US" w:eastAsia="en-US" w:bidi="ar-SA"/>
              </w:rPr>
              <w:t>Block Island, Rhode Island</w:t>
            </w:r>
          </w:p>
        </w:tc>
        <w:tc>
          <w:tcPr>
            <w:tcW w:w="2611" w:type="dxa"/>
            <w:shd w:val="clear" w:color="auto" w:fill="auto"/>
          </w:tcPr>
          <w:p w:rsidR="00BF6E00" w:rsidP="00B378FD" w14:paraId="30A06731" w14:textId="77777777">
            <w:pPr>
              <w:pStyle w:val="AppNum"/>
              <w:widowControl w:val="0"/>
              <w:numPr>
                <w:ilvl w:val="0"/>
                <w:numId w:val="0"/>
              </w:numPr>
              <w:tabs>
                <w:tab w:val="clear" w:pos="1447"/>
              </w:tabs>
              <w:spacing w:after="240"/>
              <w:ind w:left="0" w:firstLine="0"/>
              <w:jc w:val="both"/>
              <w:rPr>
                <w:rStyle w:val="DefaultParagraphFont"/>
                <w:rFonts w:ascii="Times New Roman" w:hAnsi="Times New Roman"/>
                <w:snapToGrid w:val="0"/>
                <w:spacing w:val="-3"/>
                <w:kern w:val="0"/>
                <w:sz w:val="22"/>
                <w:szCs w:val="22"/>
                <w:lang w:val="en-US" w:eastAsia="en-US" w:bidi="ar-SA"/>
              </w:rPr>
            </w:pPr>
            <w:r>
              <w:rPr>
                <w:rFonts w:ascii="Times New Roman" w:hAnsi="Times New Roman"/>
                <w:snapToGrid w:val="0"/>
                <w:spacing w:val="-3"/>
                <w:kern w:val="0"/>
                <w:sz w:val="22"/>
                <w:szCs w:val="22"/>
                <w:lang w:val="en-US" w:eastAsia="en-US" w:bidi="ar-SA"/>
              </w:rPr>
              <w:t>17</w:t>
            </w:r>
          </w:p>
        </w:tc>
        <w:tc>
          <w:tcPr>
            <w:tcW w:w="2611" w:type="dxa"/>
            <w:shd w:val="clear" w:color="auto" w:fill="auto"/>
          </w:tcPr>
          <w:p w:rsidR="00BF6E00" w:rsidP="00B378FD" w14:paraId="14A39719" w14:textId="77777777">
            <w:pPr>
              <w:pStyle w:val="AppNum"/>
              <w:widowControl w:val="0"/>
              <w:numPr>
                <w:ilvl w:val="0"/>
                <w:numId w:val="0"/>
              </w:numPr>
              <w:tabs>
                <w:tab w:val="clear" w:pos="1447"/>
              </w:tabs>
              <w:spacing w:after="240"/>
              <w:ind w:left="0" w:firstLine="0"/>
              <w:jc w:val="both"/>
              <w:rPr>
                <w:rStyle w:val="DefaultParagraphFont"/>
                <w:rFonts w:ascii="Times New Roman" w:hAnsi="Times New Roman"/>
                <w:snapToGrid w:val="0"/>
                <w:spacing w:val="-3"/>
                <w:kern w:val="0"/>
                <w:sz w:val="22"/>
                <w:szCs w:val="22"/>
                <w:lang w:val="en-US" w:eastAsia="en-US" w:bidi="ar-SA"/>
              </w:rPr>
            </w:pPr>
            <w:r>
              <w:rPr>
                <w:rFonts w:ascii="Times New Roman" w:hAnsi="Times New Roman"/>
                <w:snapToGrid w:val="0"/>
                <w:spacing w:val="-3"/>
                <w:kern w:val="0"/>
                <w:sz w:val="22"/>
                <w:szCs w:val="22"/>
                <w:lang w:val="en-US" w:eastAsia="en-US" w:bidi="ar-SA"/>
              </w:rPr>
              <w:t>-</w:t>
            </w:r>
          </w:p>
        </w:tc>
      </w:tr>
      <w:tr w14:paraId="4DC511C1" w14:textId="77777777" w:rsidTr="0031634D">
        <w:tblPrEx>
          <w:tblW w:w="0" w:type="auto"/>
          <w:tblInd w:w="976" w:type="dxa"/>
          <w:tblCellMar>
            <w:top w:w="0" w:type="dxa"/>
            <w:left w:w="108" w:type="dxa"/>
            <w:bottom w:w="0" w:type="dxa"/>
            <w:right w:w="108" w:type="dxa"/>
          </w:tblCellMar>
          <w:tblLook w:val="04A0"/>
        </w:tblPrEx>
        <w:trPr>
          <w:trHeight w:val="323"/>
        </w:trPr>
        <w:tc>
          <w:tcPr>
            <w:tcW w:w="2611" w:type="dxa"/>
            <w:shd w:val="clear" w:color="auto" w:fill="auto"/>
          </w:tcPr>
          <w:p w:rsidR="00BF6E00" w:rsidP="00B378FD" w14:paraId="06F101BC" w14:textId="77777777">
            <w:pPr>
              <w:pStyle w:val="AppNum"/>
              <w:widowControl w:val="0"/>
              <w:numPr>
                <w:ilvl w:val="0"/>
                <w:numId w:val="0"/>
              </w:numPr>
              <w:tabs>
                <w:tab w:val="clear" w:pos="1447"/>
              </w:tabs>
              <w:spacing w:after="240"/>
              <w:ind w:left="0" w:firstLine="0"/>
              <w:jc w:val="both"/>
              <w:rPr>
                <w:rStyle w:val="DefaultParagraphFont"/>
                <w:rFonts w:ascii="Times New Roman" w:hAnsi="Times New Roman"/>
                <w:snapToGrid w:val="0"/>
                <w:spacing w:val="-3"/>
                <w:kern w:val="0"/>
                <w:sz w:val="22"/>
                <w:szCs w:val="22"/>
                <w:lang w:val="en-US" w:eastAsia="en-US" w:bidi="ar-SA"/>
              </w:rPr>
            </w:pPr>
            <w:r>
              <w:rPr>
                <w:rFonts w:ascii="Times New Roman" w:hAnsi="Times New Roman"/>
                <w:snapToGrid w:val="0"/>
                <w:spacing w:val="-3"/>
                <w:kern w:val="0"/>
                <w:sz w:val="22"/>
                <w:szCs w:val="22"/>
                <w:lang w:val="en-US" w:eastAsia="en-US" w:bidi="ar-SA"/>
              </w:rPr>
              <w:t>Newport, Rhode Island</w:t>
            </w:r>
          </w:p>
        </w:tc>
        <w:tc>
          <w:tcPr>
            <w:tcW w:w="2611" w:type="dxa"/>
            <w:shd w:val="clear" w:color="auto" w:fill="auto"/>
          </w:tcPr>
          <w:p w:rsidR="00BF6E00" w:rsidP="00B378FD" w14:paraId="66DC3BCC" w14:textId="77777777">
            <w:pPr>
              <w:pStyle w:val="AppNum"/>
              <w:widowControl w:val="0"/>
              <w:numPr>
                <w:ilvl w:val="0"/>
                <w:numId w:val="0"/>
              </w:numPr>
              <w:tabs>
                <w:tab w:val="clear" w:pos="1447"/>
              </w:tabs>
              <w:spacing w:after="240"/>
              <w:ind w:left="0" w:firstLine="0"/>
              <w:jc w:val="both"/>
              <w:rPr>
                <w:rStyle w:val="DefaultParagraphFont"/>
                <w:rFonts w:ascii="Times New Roman" w:hAnsi="Times New Roman"/>
                <w:snapToGrid w:val="0"/>
                <w:spacing w:val="-3"/>
                <w:kern w:val="0"/>
                <w:sz w:val="22"/>
                <w:szCs w:val="22"/>
                <w:lang w:val="en-US" w:eastAsia="en-US" w:bidi="ar-SA"/>
              </w:rPr>
            </w:pPr>
            <w:r>
              <w:rPr>
                <w:rFonts w:ascii="Times New Roman" w:hAnsi="Times New Roman"/>
                <w:snapToGrid w:val="0"/>
                <w:spacing w:val="-3"/>
                <w:kern w:val="0"/>
                <w:sz w:val="22"/>
                <w:szCs w:val="22"/>
                <w:lang w:val="en-US" w:eastAsia="en-US" w:bidi="ar-SA"/>
              </w:rPr>
              <w:t>-</w:t>
            </w:r>
          </w:p>
        </w:tc>
        <w:tc>
          <w:tcPr>
            <w:tcW w:w="2611" w:type="dxa"/>
            <w:shd w:val="clear" w:color="auto" w:fill="auto"/>
          </w:tcPr>
          <w:p w:rsidR="00BF6E00" w:rsidP="00B378FD" w14:paraId="29EEEB49" w14:textId="77777777">
            <w:pPr>
              <w:pStyle w:val="AppNum"/>
              <w:widowControl w:val="0"/>
              <w:numPr>
                <w:ilvl w:val="0"/>
                <w:numId w:val="0"/>
              </w:numPr>
              <w:tabs>
                <w:tab w:val="clear" w:pos="1447"/>
              </w:tabs>
              <w:spacing w:after="240"/>
              <w:ind w:left="0" w:firstLine="0"/>
              <w:jc w:val="both"/>
              <w:rPr>
                <w:rStyle w:val="DefaultParagraphFont"/>
                <w:rFonts w:ascii="Times New Roman" w:hAnsi="Times New Roman"/>
                <w:snapToGrid w:val="0"/>
                <w:spacing w:val="-3"/>
                <w:kern w:val="0"/>
                <w:sz w:val="22"/>
                <w:szCs w:val="22"/>
                <w:lang w:val="en-US" w:eastAsia="en-US" w:bidi="ar-SA"/>
              </w:rPr>
            </w:pPr>
            <w:r>
              <w:rPr>
                <w:rFonts w:ascii="Times New Roman" w:hAnsi="Times New Roman"/>
                <w:snapToGrid w:val="0"/>
                <w:spacing w:val="-3"/>
                <w:kern w:val="0"/>
                <w:sz w:val="22"/>
                <w:szCs w:val="22"/>
                <w:lang w:val="en-US" w:eastAsia="en-US" w:bidi="ar-SA"/>
              </w:rPr>
              <w:t>17</w:t>
            </w:r>
          </w:p>
        </w:tc>
      </w:tr>
    </w:tbl>
    <w:p w:rsidR="00BF6E00" w:rsidP="00BF6E00" w14:paraId="1C4708D5" w14:textId="77777777">
      <w:pPr>
        <w:pStyle w:val="ParaNum"/>
        <w:numPr>
          <w:ilvl w:val="0"/>
          <w:numId w:val="0"/>
        </w:numPr>
      </w:pPr>
    </w:p>
    <w:p w:rsidR="003107EF" w:rsidP="006D321A" w14:paraId="6C2AA68C" w14:textId="77777777">
      <w:pPr>
        <w:pStyle w:val="ParaNum"/>
        <w:tabs>
          <w:tab w:val="clear" w:pos="1080"/>
        </w:tabs>
      </w:pPr>
      <w:r>
        <w:t xml:space="preserve">Pursuant to Sections 1.415 and 1.419 of the Commission’s rules, interested parties may file comments on or before 30 days after publication in the Federal Register and reply comments on or before 45 days after publication in the Federal Register.  </w:t>
      </w:r>
      <w:r w:rsidRPr="003107EF">
        <w:rPr>
          <w:szCs w:val="22"/>
        </w:rPr>
        <w:t>Proponent(s) will be expected to answer whatever questions are presented in initial comments.  The proponent of a proposed allotment is also expected to file comments even if it only resubmits or incorporates by reference its former pleadings.  It should also restate its present intention to apply for the channel if it is allotted and, if authorized, to build a station promptly.  Failure to file may lead to denial of the request.  All submissions by parties to this proceeding or by persons acting on behalf of such parties must be made in written comments, reply comments, or other appropriate pleadings.  The person filing the comments shall serve comments on the petitioners.  Reply comments shall be served on the person(s) who filed comments to which the reply is directed.  A certificate of service shall accompany such comments and reply comments (</w:t>
      </w:r>
      <w:r w:rsidRPr="003107EF">
        <w:rPr>
          <w:i/>
          <w:szCs w:val="22"/>
        </w:rPr>
        <w:t>see</w:t>
      </w:r>
      <w:r w:rsidRPr="003107EF">
        <w:rPr>
          <w:szCs w:val="22"/>
        </w:rPr>
        <w:t xml:space="preserve"> 47 CFR Section 1.420(a), (b) and (c)).  </w:t>
      </w:r>
      <w:r>
        <w:t>Comments should be filed with the Federal Communications Commission, Office of the Secretary, 445 12th Street, S.W., Washington, D.C. 20554.  Additionally, a copy of such comments should be served on the Petitioners’ counsel as follows:</w:t>
      </w:r>
    </w:p>
    <w:p w:rsidR="003107EF" w:rsidP="000A5B7C" w14:paraId="3B443A87" w14:textId="77777777">
      <w:pPr>
        <w:pStyle w:val="ParaNum"/>
        <w:widowControl/>
        <w:numPr>
          <w:ilvl w:val="0"/>
          <w:numId w:val="0"/>
        </w:numPr>
        <w:spacing w:after="0"/>
        <w:ind w:firstLine="3427"/>
      </w:pPr>
      <w:r>
        <w:t>Ocean State Television, LLC</w:t>
      </w:r>
    </w:p>
    <w:p w:rsidR="003107EF" w:rsidP="000A5B7C" w14:paraId="438615A6" w14:textId="77777777">
      <w:pPr>
        <w:pStyle w:val="ParaNum"/>
        <w:widowControl/>
        <w:numPr>
          <w:ilvl w:val="0"/>
          <w:numId w:val="0"/>
        </w:numPr>
        <w:spacing w:after="0"/>
        <w:ind w:firstLine="3427"/>
      </w:pPr>
      <w:r>
        <w:t>c/o Cooley LLP</w:t>
      </w:r>
    </w:p>
    <w:p w:rsidR="003107EF" w:rsidP="000A5B7C" w14:paraId="09F95B86" w14:textId="77777777">
      <w:pPr>
        <w:pStyle w:val="ParaNum"/>
        <w:widowControl/>
        <w:numPr>
          <w:ilvl w:val="0"/>
          <w:numId w:val="0"/>
        </w:numPr>
        <w:spacing w:after="0"/>
        <w:ind w:firstLine="3427"/>
      </w:pPr>
      <w:r>
        <w:t>John R. Feore, Jr., Esq.</w:t>
      </w:r>
    </w:p>
    <w:p w:rsidR="003107EF" w:rsidP="000A5B7C" w14:paraId="3E38CB78" w14:textId="77777777">
      <w:pPr>
        <w:pStyle w:val="ParaNum"/>
        <w:widowControl/>
        <w:numPr>
          <w:ilvl w:val="0"/>
          <w:numId w:val="0"/>
        </w:numPr>
        <w:spacing w:after="0"/>
        <w:ind w:firstLine="3427"/>
      </w:pPr>
      <w:r>
        <w:t>Jason Rademacher, Esq.</w:t>
      </w:r>
    </w:p>
    <w:p w:rsidR="003107EF" w:rsidP="000A5B7C" w14:paraId="23E27F61" w14:textId="77777777">
      <w:pPr>
        <w:pStyle w:val="ParaNum"/>
        <w:widowControl/>
        <w:numPr>
          <w:ilvl w:val="0"/>
          <w:numId w:val="0"/>
        </w:numPr>
        <w:spacing w:after="0"/>
        <w:ind w:firstLine="3427"/>
      </w:pPr>
      <w:r>
        <w:t>1299 Pennsylvania Avenue, N.W., Suite 700</w:t>
      </w:r>
    </w:p>
    <w:p w:rsidR="003107EF" w:rsidP="000A5B7C" w14:paraId="433D7C56" w14:textId="77777777">
      <w:pPr>
        <w:pStyle w:val="ParaNum"/>
        <w:widowControl/>
        <w:numPr>
          <w:ilvl w:val="0"/>
          <w:numId w:val="0"/>
        </w:numPr>
        <w:spacing w:after="0"/>
        <w:ind w:firstLine="3427"/>
      </w:pPr>
      <w:r>
        <w:t>Washington, D.C. 20004</w:t>
      </w:r>
    </w:p>
    <w:p w:rsidR="003107EF" w:rsidP="003107EF" w14:paraId="28D7CFC0" w14:textId="77777777">
      <w:pPr>
        <w:pStyle w:val="ParaNum"/>
        <w:numPr>
          <w:ilvl w:val="0"/>
          <w:numId w:val="0"/>
        </w:numPr>
        <w:spacing w:after="0"/>
        <w:ind w:firstLine="720"/>
      </w:pPr>
    </w:p>
    <w:p w:rsidR="003107EF" w:rsidRPr="0065028B" w:rsidP="00990149" w14:paraId="7A49D0CA" w14:textId="77777777">
      <w:pPr>
        <w:pStyle w:val="ParaNum"/>
        <w:widowControl/>
        <w:tabs>
          <w:tab w:val="clear" w:pos="1080"/>
          <w:tab w:val="num" w:pos="1440"/>
        </w:tabs>
      </w:pPr>
      <w:r>
        <w:t>Parties must file an original and a copy of each filing.</w:t>
      </w:r>
      <w:r>
        <w:rPr>
          <w:rStyle w:val="FootnoteReference"/>
        </w:rPr>
        <w:footnoteReference w:id="23"/>
      </w:r>
      <w:r>
        <w:t xml:space="preserve">  Filings can be sent by hand or messenger delivery, by commercial overnight courier, or by first-class or overnight U.S. Postal Service mail (although we continue to experience delays in receiving U.S. Postal Service mail).  The Commission’s contractor will receive hand-delivered or messenger-delivered paper filings for the Commission’s Secretary at the FCC Headquarters Building located at 445 12</w:t>
      </w:r>
      <w:r>
        <w:rPr>
          <w:vertAlign w:val="superscript"/>
        </w:rPr>
        <w:t>th</w:t>
      </w:r>
      <w:r>
        <w:t xml:space="preserve"> Street, S.W., Room TW-A325, Washington, D.C. 20554.  The filing hours at this location are Monday through Friday, 8:00 a.m. to 7:00 p.m.  All hand deliveries must be held together with rubber bands or fasteners.  Any envelopes must be disposed of before entering the building.  Commercial overnight mail (other than U.S. Postal Service Express Mail or Priority Mail) must be sent to 9050 Junction Drive, Annapolis Junction, Maryland 20701.  U.S. Postal Service first-class mail, Express Mail, and Priority Mail should be addressed to FCC Headquarters at 445 12th Street, S.W., Washington, D.C. 20554.  </w:t>
      </w:r>
      <w:r w:rsidRPr="00E87A36">
        <w:rPr>
          <w:szCs w:val="22"/>
        </w:rPr>
        <w:t>Alternatively, parties may submit the filing electronically at http://apps.fcc.gov/ecfs/.  Online filing is optional.  Participants that file comments and replies in electronic form need only submit one copy of those comments, so long as the submission conforms to any procedural or filing requirements established for formal electronic comments.</w:t>
      </w:r>
      <w:r>
        <w:rPr>
          <w:rStyle w:val="FootnoteReference"/>
          <w:szCs w:val="22"/>
        </w:rPr>
        <w:footnoteReference w:id="24"/>
      </w:r>
      <w:r w:rsidRPr="00E87A36">
        <w:rPr>
          <w:szCs w:val="22"/>
        </w:rPr>
        <w:t xml:space="preserve"> </w:t>
      </w:r>
      <w:r>
        <w:t xml:space="preserve"> </w:t>
      </w:r>
      <w:r w:rsidRPr="003B5366">
        <w:rPr>
          <w:b/>
        </w:rPr>
        <w:t>All filings must be addressed to Marlene H. Dortch, Secretary, Federal Communications Commission, Office of the Secretary.  Any filing that is not addressed to the Office of the Secretary will be treated as filed on the day it is received in the Office of the Secretary.</w:t>
      </w:r>
      <w:r>
        <w:rPr>
          <w:rStyle w:val="FootnoteReference"/>
          <w:b/>
          <w:spacing w:val="-3"/>
          <w:szCs w:val="22"/>
        </w:rPr>
        <w:footnoteReference w:id="25"/>
      </w:r>
      <w:r w:rsidRPr="003B5366">
        <w:rPr>
          <w:b/>
        </w:rPr>
        <w:t xml:space="preserve">  Accordingly, failure to follow the specified requirements may result in the treatment of a filing as untimely.</w:t>
      </w:r>
    </w:p>
    <w:p w:rsidR="003107EF" w:rsidP="003107EF" w14:paraId="7CDBBFA1" w14:textId="4268FD09">
      <w:pPr>
        <w:pStyle w:val="ParaNum"/>
        <w:tabs>
          <w:tab w:val="clear" w:pos="1080"/>
          <w:tab w:val="num" w:pos="1440"/>
        </w:tabs>
      </w:pPr>
      <w:r>
        <w:rPr>
          <w:szCs w:val="22"/>
        </w:rPr>
        <w:t xml:space="preserve">Public Inspection of Filings.  All filings made in this proceeding will be available for examination by interested parties during regular business hours in the Commission’s Reference Information Center, at its headquarters, 445 12th Street, S.W., Washington, D.C.  20554.  </w:t>
      </w:r>
      <w:r w:rsidRPr="00394DD2">
        <w:rPr>
          <w:szCs w:val="22"/>
        </w:rPr>
        <w:t xml:space="preserve">All filings are also available at </w:t>
      </w:r>
      <w:r>
        <w:fldChar w:fldCharType="begin"/>
      </w:r>
      <w:r>
        <w:instrText xml:space="preserve"> HYPERLINK "https://www.fcc.gov/ecfs/" </w:instrText>
      </w:r>
      <w:r>
        <w:fldChar w:fldCharType="separate"/>
      </w:r>
      <w:r w:rsidRPr="009D395B">
        <w:rPr>
          <w:rStyle w:val="Hyperlink"/>
        </w:rPr>
        <w:t>https://www.fcc.gov/ecfs/</w:t>
      </w:r>
      <w:r>
        <w:fldChar w:fldCharType="end"/>
      </w:r>
      <w:r>
        <w:t>.</w:t>
      </w:r>
    </w:p>
    <w:p w:rsidR="003107EF" w:rsidP="003107EF" w14:paraId="15537336" w14:textId="77777777">
      <w:pPr>
        <w:pStyle w:val="ParaNum"/>
        <w:tabs>
          <w:tab w:val="clear" w:pos="1080"/>
          <w:tab w:val="num" w:pos="1440"/>
        </w:tabs>
      </w:pPr>
      <w:r>
        <w:t xml:space="preserve">The Commission has determined that the relevant provisions of the Regulatory Flexibility Act of 1980 do not apply to a rule making proceeding to amend the DTV Table of Allotments, Section 73.622(i).  This document does not contain proposed information collection requirements subject to the Paperwork Reduction Act of 1995, Public Law 104-13.  In addition, therefore, it does not contain any proposed information collection burden “for small business concerns with fewer than 25 employees,” pursuant to the Small Business Paperwork Relief Act of 2002, Public Law 107-198, § 3506(c)(4). </w:t>
      </w:r>
    </w:p>
    <w:p w:rsidR="003107EF" w:rsidP="003107EF" w14:paraId="3D778B80" w14:textId="77777777">
      <w:pPr>
        <w:pStyle w:val="ParaNum"/>
        <w:widowControl/>
        <w:tabs>
          <w:tab w:val="clear" w:pos="1080"/>
          <w:tab w:val="num" w:pos="1440"/>
        </w:tabs>
      </w:pPr>
      <w:r>
        <w:t xml:space="preserve">For further information concerning the proceeding listed above, contact Darren Fernandez, Video Division, Media Bureau, at darren.fernandez@fcc.gov.  For purposes of this restricted notice and comment rule making proceeding, members of the public are advised that no </w:t>
      </w:r>
      <w:r>
        <w:rPr>
          <w:i/>
          <w:iCs/>
        </w:rPr>
        <w:t>ex parte</w:t>
      </w:r>
      <w:r>
        <w:t xml:space="preserve"> presentations are permitted from the time the Commission adopts a Notice of Proposed Rulemaking until the proceeding has been decided and such decision in the applicable docket is no longer subject to reconsideration by the Commission or review by any court.  An </w:t>
      </w:r>
      <w:r>
        <w:rPr>
          <w:i/>
          <w:iCs/>
        </w:rPr>
        <w:t>ex parte</w:t>
      </w:r>
      <w:r>
        <w:t xml:space="preserve"> presentation is not prohibited if specifically requested by the Commission or staff for the clarification or adduction of evidence or resolution of issues in the proceeding.  However, any new written information elicited from such a request or any summary of any new information shall be served by the person making the presentation upon the other parties to the proceeding in a particular docket unless the Commission specifically waives this service requirement.  Any comment which has not been served on the petitioner constitutes an </w:t>
      </w:r>
      <w:r>
        <w:rPr>
          <w:i/>
          <w:iCs/>
        </w:rPr>
        <w:t>ex parte</w:t>
      </w:r>
      <w:r>
        <w:t xml:space="preserve"> presentation and shall not be considered in the proceeding.  Any reply comment which has not been served on the person(s) who filed the comment, to which the reply is directed, constitutes an </w:t>
      </w:r>
      <w:r>
        <w:rPr>
          <w:i/>
          <w:iCs/>
        </w:rPr>
        <w:t>ex parte</w:t>
      </w:r>
      <w:r>
        <w:t xml:space="preserve"> presentation and shall not be considered in the proceeding.  </w:t>
      </w:r>
    </w:p>
    <w:p w:rsidR="003107EF" w:rsidRPr="00856666" w:rsidP="00856666" w14:paraId="5B324439" w14:textId="5546E320">
      <w:pPr>
        <w:pStyle w:val="ParaNum"/>
        <w:widowControl/>
        <w:tabs>
          <w:tab w:val="clear" w:pos="1080"/>
          <w:tab w:val="num" w:pos="1440"/>
        </w:tabs>
        <w:rPr>
          <w:szCs w:val="22"/>
        </w:rPr>
      </w:pPr>
      <w:r>
        <w:rPr>
          <w:szCs w:val="22"/>
        </w:rPr>
        <w:t xml:space="preserve">Pursuant to authority found in 47 U.S.C. Sections 4(i), 5(c)(1), 303(g) and (r), and 307(b) of the Communications Act of 1934, as amended, and 47 CFR Sections 0.61, 0.204(b) and 0.283, </w:t>
      </w:r>
      <w:r w:rsidRPr="00856666">
        <w:rPr>
          <w:b/>
          <w:szCs w:val="22"/>
        </w:rPr>
        <w:t>IT IS PROPOSED TO AMEND</w:t>
      </w:r>
      <w:r>
        <w:rPr>
          <w:szCs w:val="22"/>
        </w:rPr>
        <w:t xml:space="preserve"> the DTV Table of Allotments, 47 CFR Section 73.622(i).</w:t>
      </w:r>
    </w:p>
    <w:p w:rsidR="003107EF" w:rsidP="003107EF" w14:paraId="327033D2" w14:textId="77777777">
      <w:pPr>
        <w:tabs>
          <w:tab w:val="left" w:pos="-1440"/>
          <w:tab w:val="left" w:pos="-720"/>
        </w:tabs>
        <w:suppressAutoHyphens/>
        <w:spacing w:after="240"/>
        <w:jc w:val="both"/>
        <w:rPr>
          <w:spacing w:val="-3"/>
          <w:szCs w:val="22"/>
        </w:rPr>
      </w:pPr>
    </w:p>
    <w:p w:rsidR="003107EF" w:rsidP="003107EF" w14:paraId="1580D576" w14:textId="77777777">
      <w:pPr>
        <w:tabs>
          <w:tab w:val="left" w:pos="-1440"/>
          <w:tab w:val="left" w:pos="-720"/>
        </w:tabs>
        <w:suppressAutoHyphens/>
        <w:spacing w:after="240"/>
        <w:jc w:val="both"/>
        <w:rPr>
          <w:spacing w:val="-3"/>
          <w:szCs w:val="22"/>
        </w:rPr>
      </w:pPr>
      <w:r>
        <w:rPr>
          <w:spacing w:val="-3"/>
          <w:szCs w:val="22"/>
        </w:rPr>
        <w:tab/>
      </w:r>
      <w:r>
        <w:rPr>
          <w:spacing w:val="-3"/>
          <w:szCs w:val="22"/>
        </w:rPr>
        <w:tab/>
      </w:r>
      <w:r>
        <w:rPr>
          <w:spacing w:val="-3"/>
          <w:szCs w:val="22"/>
        </w:rPr>
        <w:tab/>
      </w:r>
      <w:r>
        <w:rPr>
          <w:spacing w:val="-3"/>
          <w:szCs w:val="22"/>
        </w:rPr>
        <w:tab/>
      </w:r>
      <w:r>
        <w:rPr>
          <w:spacing w:val="-3"/>
          <w:szCs w:val="22"/>
        </w:rPr>
        <w:tab/>
        <w:t>FEDERAL COMMUNICATIONS COMMISSION</w:t>
      </w:r>
    </w:p>
    <w:p w:rsidR="003107EF" w:rsidP="003107EF" w14:paraId="0A89BF00" w14:textId="77777777">
      <w:pPr>
        <w:tabs>
          <w:tab w:val="left" w:pos="-1440"/>
          <w:tab w:val="left" w:pos="-720"/>
        </w:tabs>
        <w:suppressAutoHyphens/>
        <w:spacing w:after="240"/>
        <w:jc w:val="both"/>
        <w:rPr>
          <w:spacing w:val="-3"/>
          <w:szCs w:val="22"/>
        </w:rPr>
      </w:pPr>
    </w:p>
    <w:p w:rsidR="003107EF" w:rsidP="003107EF" w14:paraId="61712024" w14:textId="77777777">
      <w:pPr>
        <w:tabs>
          <w:tab w:val="left" w:pos="-1440"/>
          <w:tab w:val="left" w:pos="-720"/>
        </w:tabs>
        <w:suppressAutoHyphens/>
        <w:spacing w:after="240"/>
        <w:jc w:val="both"/>
        <w:rPr>
          <w:spacing w:val="-3"/>
          <w:szCs w:val="22"/>
        </w:rPr>
      </w:pPr>
    </w:p>
    <w:p w:rsidR="003107EF" w:rsidP="003107EF" w14:paraId="4BEAE74F" w14:textId="77777777">
      <w:pPr>
        <w:tabs>
          <w:tab w:val="left" w:pos="-1440"/>
          <w:tab w:val="left" w:pos="-720"/>
        </w:tabs>
        <w:suppressAutoHyphens/>
        <w:jc w:val="both"/>
        <w:rPr>
          <w:spacing w:val="-3"/>
          <w:szCs w:val="22"/>
        </w:rPr>
      </w:pPr>
      <w:r>
        <w:rPr>
          <w:spacing w:val="-3"/>
          <w:szCs w:val="22"/>
        </w:rPr>
        <w:tab/>
      </w:r>
      <w:r>
        <w:rPr>
          <w:spacing w:val="-3"/>
          <w:szCs w:val="22"/>
        </w:rPr>
        <w:tab/>
      </w:r>
      <w:r>
        <w:rPr>
          <w:spacing w:val="-3"/>
          <w:szCs w:val="22"/>
        </w:rPr>
        <w:tab/>
      </w:r>
      <w:r>
        <w:rPr>
          <w:spacing w:val="-3"/>
          <w:szCs w:val="22"/>
        </w:rPr>
        <w:tab/>
      </w:r>
      <w:r>
        <w:rPr>
          <w:spacing w:val="-3"/>
          <w:szCs w:val="22"/>
        </w:rPr>
        <w:tab/>
        <w:t xml:space="preserve">Barbara A. Kreisman </w:t>
      </w:r>
    </w:p>
    <w:p w:rsidR="003107EF" w:rsidP="003107EF" w14:paraId="0DB8A090" w14:textId="77777777">
      <w:pPr>
        <w:tabs>
          <w:tab w:val="left" w:pos="-1440"/>
          <w:tab w:val="left" w:pos="-720"/>
        </w:tabs>
        <w:suppressAutoHyphens/>
        <w:jc w:val="both"/>
        <w:rPr>
          <w:spacing w:val="-3"/>
          <w:szCs w:val="22"/>
        </w:rPr>
      </w:pPr>
      <w:r>
        <w:rPr>
          <w:spacing w:val="-3"/>
          <w:szCs w:val="22"/>
        </w:rPr>
        <w:tab/>
      </w:r>
      <w:r>
        <w:rPr>
          <w:spacing w:val="-3"/>
          <w:szCs w:val="22"/>
        </w:rPr>
        <w:tab/>
      </w:r>
      <w:r>
        <w:rPr>
          <w:spacing w:val="-3"/>
          <w:szCs w:val="22"/>
        </w:rPr>
        <w:tab/>
      </w:r>
      <w:r>
        <w:rPr>
          <w:spacing w:val="-3"/>
          <w:szCs w:val="22"/>
        </w:rPr>
        <w:tab/>
      </w:r>
      <w:r>
        <w:rPr>
          <w:spacing w:val="-3"/>
          <w:szCs w:val="22"/>
        </w:rPr>
        <w:tab/>
        <w:t>Chief, Video Division</w:t>
      </w:r>
    </w:p>
    <w:p w:rsidR="003107EF" w:rsidP="003107EF" w14:paraId="7EF46623" w14:textId="77777777">
      <w:pPr>
        <w:tabs>
          <w:tab w:val="left" w:pos="-1440"/>
          <w:tab w:val="left" w:pos="-720"/>
        </w:tabs>
        <w:suppressAutoHyphens/>
        <w:jc w:val="both"/>
        <w:rPr>
          <w:spacing w:val="-3"/>
          <w:szCs w:val="22"/>
        </w:rPr>
      </w:pPr>
      <w:r>
        <w:rPr>
          <w:spacing w:val="-3"/>
          <w:szCs w:val="22"/>
        </w:rPr>
        <w:tab/>
      </w:r>
      <w:r>
        <w:rPr>
          <w:spacing w:val="-3"/>
          <w:szCs w:val="22"/>
        </w:rPr>
        <w:tab/>
      </w:r>
      <w:r>
        <w:rPr>
          <w:spacing w:val="-3"/>
          <w:szCs w:val="22"/>
        </w:rPr>
        <w:tab/>
      </w:r>
      <w:r>
        <w:rPr>
          <w:spacing w:val="-3"/>
          <w:szCs w:val="22"/>
        </w:rPr>
        <w:tab/>
      </w:r>
      <w:r>
        <w:rPr>
          <w:spacing w:val="-3"/>
          <w:szCs w:val="22"/>
        </w:rPr>
        <w:tab/>
        <w:t>Media Bureau</w:t>
      </w:r>
    </w:p>
    <w:p w:rsidR="0065028B" w:rsidP="006D321A" w14:paraId="00FF44E7" w14:textId="77777777">
      <w:pPr>
        <w:keepNext/>
        <w:widowControl/>
      </w:pPr>
      <w:bookmarkEnd w:id="2"/>
    </w:p>
    <w:sectPr w:rsidSect="0055614C">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6CA454E"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8D16CA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8BBBE1C" w14:textId="36DCA819">
    <w:pPr>
      <w:pStyle w:val="Footer"/>
      <w:framePr w:wrap="around" w:vAnchor="text" w:hAnchor="margin" w:xAlign="center" w:y="1"/>
    </w:pPr>
    <w:r>
      <w:fldChar w:fldCharType="begin"/>
    </w:r>
    <w:r>
      <w:instrText xml:space="preserve">PAGE  </w:instrText>
    </w:r>
    <w:r>
      <w:fldChar w:fldCharType="separate"/>
    </w:r>
    <w:r w:rsidR="00DD7B81">
      <w:rPr>
        <w:noProof/>
      </w:rPr>
      <w:t>2</w:t>
    </w:r>
    <w:r>
      <w:fldChar w:fldCharType="end"/>
    </w:r>
  </w:p>
  <w:p w:rsidR="00D25FB5" w14:paraId="2578DD90"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587E51D9"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14C2E" w14:paraId="50D3ED79" w14:textId="77777777">
      <w:r>
        <w:separator/>
      </w:r>
    </w:p>
  </w:footnote>
  <w:footnote w:type="continuationSeparator" w:id="1">
    <w:p w:rsidR="00614C2E" w:rsidP="00C721AC" w14:paraId="4FCA33BC" w14:textId="782AE92D">
      <w:pPr>
        <w:spacing w:before="120"/>
        <w:rPr>
          <w:sz w:val="20"/>
        </w:rPr>
      </w:pPr>
      <w:r>
        <w:continuationSeparator/>
      </w:r>
    </w:p>
  </w:footnote>
  <w:footnote w:type="continuationNotice" w:id="2">
    <w:p w:rsidR="00614C2E" w:rsidP="00C721AC" w14:paraId="0C3A72E3" w14:textId="5DBAB02A">
      <w:pPr>
        <w:jc w:val="right"/>
        <w:rPr>
          <w:sz w:val="20"/>
        </w:rPr>
      </w:pPr>
    </w:p>
  </w:footnote>
  <w:footnote w:id="3">
    <w:p w:rsidR="001947B7" w:rsidRPr="00762A73" w14:paraId="18090BB9" w14:textId="2E40BD35">
      <w:pPr>
        <w:pStyle w:val="FootnoteText"/>
      </w:pPr>
      <w:r w:rsidRPr="00762A73">
        <w:rPr>
          <w:rStyle w:val="FootnoteReference"/>
        </w:rPr>
        <w:footnoteRef/>
      </w:r>
      <w:r w:rsidRPr="00762A73">
        <w:t xml:space="preserve"> Ocean State Television, LLC, Petition for Rulemaking</w:t>
      </w:r>
      <w:r w:rsidRPr="00762A73" w:rsidR="005052EA">
        <w:t>, as amended</w:t>
      </w:r>
      <w:r w:rsidRPr="00762A73">
        <w:t xml:space="preserve"> (filed </w:t>
      </w:r>
      <w:r w:rsidRPr="00762A73" w:rsidR="005052EA">
        <w:t>Dec. 12, 2017) (Petition).</w:t>
      </w:r>
      <w:r w:rsidR="0003403B">
        <w:t xml:space="preserve">  </w:t>
      </w:r>
      <w:r w:rsidR="00341124">
        <w:t xml:space="preserve">OST filed a supplement to its Petition on April 18, 2018.  </w:t>
      </w:r>
      <w:r w:rsidRPr="00762A73" w:rsidR="00341124">
        <w:t xml:space="preserve">Ocean State Television, LLC, </w:t>
      </w:r>
      <w:r w:rsidR="00341124">
        <w:t xml:space="preserve">Supplement to </w:t>
      </w:r>
      <w:r w:rsidRPr="00762A73" w:rsidR="00341124">
        <w:t>Petition for Rulemaking</w:t>
      </w:r>
      <w:r w:rsidR="00341124">
        <w:t>, at 2 (Supplement</w:t>
      </w:r>
      <w:r w:rsidRPr="00762A73" w:rsidR="00341124">
        <w:t>).</w:t>
      </w:r>
    </w:p>
  </w:footnote>
  <w:footnote w:id="4">
    <w:p w:rsidR="00CE3D90" w:rsidRPr="00762A73" w:rsidP="00CE3D90" w14:paraId="3B72BA99" w14:textId="77777777">
      <w:pPr>
        <w:pStyle w:val="FootnoteText"/>
      </w:pPr>
      <w:r w:rsidRPr="00762A73">
        <w:rPr>
          <w:rStyle w:val="FootnoteReference"/>
        </w:rPr>
        <w:footnoteRef/>
      </w:r>
      <w:r w:rsidRPr="00762A73">
        <w:t xml:space="preserve"> 47 CFR § 73.622(i).</w:t>
      </w:r>
    </w:p>
  </w:footnote>
  <w:footnote w:id="5">
    <w:p w:rsidR="005052EA" w:rsidRPr="00762A73" w14:paraId="3B6D590C" w14:textId="54DC3E73">
      <w:pPr>
        <w:pStyle w:val="FootnoteText"/>
      </w:pPr>
      <w:r w:rsidRPr="00762A73">
        <w:rPr>
          <w:rStyle w:val="FootnoteReference"/>
        </w:rPr>
        <w:footnoteRef/>
      </w:r>
      <w:r w:rsidRPr="00762A73">
        <w:t xml:space="preserve"> </w:t>
      </w:r>
      <w:r w:rsidRPr="00762A73" w:rsidR="00CD2A27">
        <w:t xml:space="preserve">Petition at 1-2. </w:t>
      </w:r>
      <w:r w:rsidRPr="00762A73" w:rsidR="00CE1F7C">
        <w:t>Petitioner</w:t>
      </w:r>
      <w:r w:rsidRPr="00762A73">
        <w:t xml:space="preserve"> also requested</w:t>
      </w:r>
      <w:r w:rsidRPr="00762A73" w:rsidR="00CE1F7C">
        <w:t>, to the extent necessary,</w:t>
      </w:r>
      <w:r w:rsidRPr="00762A73">
        <w:t xml:space="preserve"> a waiver of the Commission’s freeze on the filing of petitions for</w:t>
      </w:r>
      <w:r w:rsidRPr="00762A73" w:rsidR="000E3CB9">
        <w:t xml:space="preserve"> digital channel substitutions.  However, such a request is no longer necessary because the Commission partially lifted the freeze on the filing of such petitions on January 12, 2018.  </w:t>
      </w:r>
      <w:r w:rsidRPr="00762A73" w:rsidR="000E3CB9">
        <w:rPr>
          <w:i/>
        </w:rPr>
        <w:t>Media Bureau Partially Lifts the Freeze on the Filing of Petitions for Rulemaking to Change Full Power Television Stations’ Communities of License</w:t>
      </w:r>
      <w:r w:rsidRPr="00762A73" w:rsidR="000E3CB9">
        <w:t xml:space="preserve">, Public Notice, </w:t>
      </w:r>
      <w:r w:rsidR="00CE3D90">
        <w:t>33 FCC Rcd 151</w:t>
      </w:r>
      <w:r w:rsidRPr="00762A73" w:rsidR="000E3CB9">
        <w:t xml:space="preserve"> (MB 2018).</w:t>
      </w:r>
    </w:p>
  </w:footnote>
  <w:footnote w:id="6">
    <w:p w:rsidR="003103D3" w:rsidRPr="00762A73" w14:paraId="6CFDF68D" w14:textId="1FEDC17B">
      <w:pPr>
        <w:pStyle w:val="FootnoteText"/>
      </w:pPr>
      <w:r w:rsidRPr="00762A73">
        <w:rPr>
          <w:rStyle w:val="FootnoteReference"/>
        </w:rPr>
        <w:footnoteRef/>
      </w:r>
      <w:r w:rsidRPr="00762A73">
        <w:t xml:space="preserve"> 47 CFR § 1.420(i)</w:t>
      </w:r>
      <w:r w:rsidR="00FF7DF8">
        <w:t xml:space="preserve">; </w:t>
      </w:r>
      <w:r>
        <w:fldChar w:fldCharType="begin"/>
      </w:r>
      <w:r>
        <w:instrText xml:space="preserve"> HYPERLINK "https://1.next.westlaw.com/Link/Document/FullText?findType=Y&amp;serNum=1989192501&amp;pubNum=0004493&amp;originatingDoc=I9233453c1c0b11e6b86bd602cb8781fa&amp;refType=CA&amp;originationContext=document&amp;transitionType=DocumentItem&amp;contextData=(sc.DocLink)" </w:instrText>
      </w:r>
      <w:r>
        <w:fldChar w:fldCharType="separate"/>
      </w:r>
      <w:r w:rsidRPr="006D321A" w:rsidR="00FF7DF8">
        <w:rPr>
          <w:i/>
          <w:iCs/>
          <w:snapToGrid w:val="0"/>
          <w:kern w:val="28"/>
        </w:rPr>
        <w:t>Modification of FM and TV Authorizations to Specify a New Community of License</w:t>
      </w:r>
      <w:r w:rsidRPr="006D321A" w:rsidR="00FF7DF8">
        <w:rPr>
          <w:snapToGrid w:val="0"/>
          <w:kern w:val="28"/>
        </w:rPr>
        <w:t>, Report and Order, 4 FCC Rcd 4870</w:t>
      </w:r>
      <w:r w:rsidR="0003403B">
        <w:rPr>
          <w:snapToGrid w:val="0"/>
          <w:kern w:val="28"/>
        </w:rPr>
        <w:t xml:space="preserve">, </w:t>
      </w:r>
      <w:r w:rsidR="00D23CFB">
        <w:rPr>
          <w:snapToGrid w:val="0"/>
          <w:kern w:val="28"/>
        </w:rPr>
        <w:t>4873</w:t>
      </w:r>
      <w:r w:rsidR="00547D07">
        <w:rPr>
          <w:snapToGrid w:val="0"/>
          <w:kern w:val="28"/>
        </w:rPr>
        <w:t>,</w:t>
      </w:r>
      <w:r w:rsidR="00D23CFB">
        <w:rPr>
          <w:snapToGrid w:val="0"/>
          <w:kern w:val="28"/>
        </w:rPr>
        <w:t xml:space="preserve"> para. 22</w:t>
      </w:r>
      <w:r w:rsidRPr="006D321A" w:rsidR="00FF7DF8">
        <w:rPr>
          <w:snapToGrid w:val="0"/>
          <w:kern w:val="28"/>
        </w:rPr>
        <w:t xml:space="preserve"> (1989)</w:t>
      </w:r>
      <w:r>
        <w:fldChar w:fldCharType="end"/>
      </w:r>
      <w:r w:rsidR="0003403B">
        <w:rPr>
          <w:snapToGrid w:val="0"/>
          <w:kern w:val="28"/>
        </w:rPr>
        <w:t xml:space="preserve"> </w:t>
      </w:r>
      <w:r w:rsidRPr="00762A73" w:rsidR="0003403B">
        <w:t>(</w:t>
      </w:r>
      <w:r w:rsidR="000A5B7C">
        <w:rPr>
          <w:i/>
        </w:rPr>
        <w:t>Change in Community R</w:t>
      </w:r>
      <w:r w:rsidRPr="00762A73" w:rsidR="0003403B">
        <w:rPr>
          <w:i/>
        </w:rPr>
        <w:t>&amp;O</w:t>
      </w:r>
      <w:r w:rsidRPr="00762A73" w:rsidR="0003403B">
        <w:t>)</w:t>
      </w:r>
      <w:r w:rsidRPr="006D321A" w:rsidR="00FF7DF8">
        <w:rPr>
          <w:snapToGrid w:val="0"/>
          <w:kern w:val="28"/>
        </w:rPr>
        <w:t>, </w:t>
      </w:r>
      <w:r w:rsidRPr="006D321A" w:rsidR="00FF7DF8">
        <w:rPr>
          <w:i/>
          <w:iCs/>
          <w:snapToGrid w:val="0"/>
          <w:kern w:val="28"/>
        </w:rPr>
        <w:t>recon. granted in part</w:t>
      </w:r>
      <w:r w:rsidRPr="006D321A" w:rsidR="00FF7DF8">
        <w:rPr>
          <w:snapToGrid w:val="0"/>
          <w:kern w:val="28"/>
        </w:rPr>
        <w:t>, </w:t>
      </w:r>
      <w:r>
        <w:fldChar w:fldCharType="begin"/>
      </w:r>
      <w:r>
        <w:instrText xml:space="preserve"> HYPERLINK "https://1.next.westlaw.com/Link/Document/FullText?findType=Y&amp;serNum=1990195134&amp;pubNum=0004493&amp;originatingDoc=I9233453c1c0b11e6b86bd602cb8781fa&amp;refType=CA&amp;originationContext=document&amp;transitionType=DocumentItem&amp;contextData=(sc.DocLink)" </w:instrText>
      </w:r>
      <w:r>
        <w:fldChar w:fldCharType="separate"/>
      </w:r>
      <w:r w:rsidRPr="006D321A" w:rsidR="00FF7DF8">
        <w:rPr>
          <w:snapToGrid w:val="0"/>
          <w:kern w:val="28"/>
        </w:rPr>
        <w:t>5 FCC Rcd 7094 (1990)</w:t>
      </w:r>
      <w:r>
        <w:fldChar w:fldCharType="end"/>
      </w:r>
      <w:r w:rsidR="00B71C1A">
        <w:rPr>
          <w:snapToGrid w:val="0"/>
          <w:kern w:val="28"/>
        </w:rPr>
        <w:t xml:space="preserve"> </w:t>
      </w:r>
      <w:r w:rsidRPr="00762A73" w:rsidR="00B71C1A">
        <w:t>(</w:t>
      </w:r>
      <w:r w:rsidR="0003403B">
        <w:rPr>
          <w:i/>
        </w:rPr>
        <w:t>Recon M</w:t>
      </w:r>
      <w:r w:rsidRPr="00762A73" w:rsidR="00B71C1A">
        <w:rPr>
          <w:i/>
        </w:rPr>
        <w:t>O&amp;O</w:t>
      </w:r>
      <w:r w:rsidRPr="00762A73" w:rsidR="00B71C1A">
        <w:t>)</w:t>
      </w:r>
      <w:r w:rsidRPr="006D321A" w:rsidR="00FF7DF8">
        <w:rPr>
          <w:snapToGrid w:val="0"/>
          <w:kern w:val="28"/>
        </w:rPr>
        <w:t>.</w:t>
      </w:r>
    </w:p>
  </w:footnote>
  <w:footnote w:id="7">
    <w:p w:rsidR="003103D3" w:rsidRPr="00762A73" w14:paraId="65E86D37" w14:textId="5ECD0499">
      <w:pPr>
        <w:pStyle w:val="FootnoteText"/>
      </w:pPr>
      <w:r w:rsidRPr="00762A73">
        <w:rPr>
          <w:rStyle w:val="FootnoteReference"/>
        </w:rPr>
        <w:footnoteRef/>
      </w:r>
      <w:r w:rsidRPr="00762A73">
        <w:t xml:space="preserve"> </w:t>
      </w:r>
      <w:r w:rsidRPr="0003403B" w:rsidR="0003403B">
        <w:rPr>
          <w:i/>
        </w:rPr>
        <w:t xml:space="preserve"> </w:t>
      </w:r>
      <w:r w:rsidRPr="00762A73" w:rsidR="0003403B">
        <w:rPr>
          <w:i/>
        </w:rPr>
        <w:t>Change in Community RO&amp;O</w:t>
      </w:r>
      <w:r w:rsidR="00D23CFB">
        <w:t>,</w:t>
      </w:r>
      <w:r w:rsidRPr="00762A73" w:rsidR="00AB75C8">
        <w:rPr>
          <w:i/>
        </w:rPr>
        <w:t xml:space="preserve"> </w:t>
      </w:r>
      <w:r w:rsidR="00D23CFB">
        <w:t xml:space="preserve">4 </w:t>
      </w:r>
      <w:r w:rsidRPr="00762A73" w:rsidR="00AB75C8">
        <w:t>FCC Rcd</w:t>
      </w:r>
      <w:r w:rsidR="0003403B">
        <w:t xml:space="preserve"> at 4874, para. 28</w:t>
      </w:r>
      <w:r w:rsidR="004D1E39">
        <w:t xml:space="preserve">.  </w:t>
      </w:r>
      <w:r w:rsidRPr="00762A73" w:rsidR="00AB75C8">
        <w:t>The Commission determines a preferential arrangement of the allotments based on the following five priorities: (1) provide at least one television service to all parts of the United States; (2) provide each community with at least one television broadcast station; (3) provide a choice of at least two television services to all parts of the United States; (4) provide each community with at least two television broadcast stations; and (5) assign any remaining channels to communities based on population, geographic location, and the number of television services available to the community from stations located in other communities.</w:t>
      </w:r>
      <w:r w:rsidRPr="00762A73" w:rsidR="00AB75C8">
        <w:rPr>
          <w:i/>
        </w:rPr>
        <w:t xml:space="preserve">  Amendment of Section 3.606 of the Commission’s Rules and Regulations, </w:t>
      </w:r>
      <w:r w:rsidRPr="00762A73" w:rsidR="00AB75C8">
        <w:t>Sixth Report and Order, 41 F.C.C. 148, 167-173 (1952) (</w:t>
      </w:r>
      <w:r w:rsidRPr="00762A73" w:rsidR="00AB75C8">
        <w:rPr>
          <w:i/>
        </w:rPr>
        <w:t>Sixth Report and Order</w:t>
      </w:r>
      <w:r w:rsidRPr="00762A73" w:rsidR="00AB75C8">
        <w:t>)</w:t>
      </w:r>
      <w:r w:rsidRPr="00762A73" w:rsidR="00AB75C8">
        <w:rPr>
          <w:i/>
        </w:rPr>
        <w:t>.</w:t>
      </w:r>
    </w:p>
  </w:footnote>
  <w:footnote w:id="8">
    <w:p w:rsidR="00B1119B" w14:paraId="20B2C9B3" w14:textId="77777777">
      <w:pPr>
        <w:pStyle w:val="FootnoteText"/>
      </w:pPr>
      <w:r>
        <w:rPr>
          <w:rStyle w:val="FootnoteReference"/>
        </w:rPr>
        <w:footnoteRef/>
      </w:r>
      <w:r>
        <w:t xml:space="preserve"> </w:t>
      </w:r>
      <w:r>
        <w:rPr>
          <w:i/>
        </w:rPr>
        <w:t>Recon M</w:t>
      </w:r>
      <w:r w:rsidRPr="00762A73">
        <w:rPr>
          <w:i/>
        </w:rPr>
        <w:t>O&amp;O</w:t>
      </w:r>
      <w:r w:rsidRPr="00762A73">
        <w:t>, 5 FCC Rcd at 7096, para. 17</w:t>
      </w:r>
      <w:r w:rsidR="00F00606">
        <w:t>.</w:t>
      </w:r>
    </w:p>
  </w:footnote>
  <w:footnote w:id="9">
    <w:p w:rsidR="0090164F" w14:paraId="05F08F07" w14:textId="74E5B0FF">
      <w:pPr>
        <w:pStyle w:val="FootnoteText"/>
      </w:pPr>
      <w:r>
        <w:rPr>
          <w:rStyle w:val="FootnoteReference"/>
        </w:rPr>
        <w:footnoteRef/>
      </w:r>
      <w:r>
        <w:t xml:space="preserve"> </w:t>
      </w:r>
      <w:r w:rsidR="00B1119B">
        <w:rPr>
          <w:i/>
        </w:rPr>
        <w:t>Id</w:t>
      </w:r>
      <w:r w:rsidR="00B1119B">
        <w:t>.</w:t>
      </w:r>
    </w:p>
  </w:footnote>
  <w:footnote w:id="10">
    <w:p w:rsidR="00936AA6" w:rsidRPr="00762A73" w14:paraId="78ABBF74" w14:textId="77777777">
      <w:pPr>
        <w:pStyle w:val="FootnoteText"/>
      </w:pPr>
      <w:r w:rsidRPr="00762A73">
        <w:rPr>
          <w:rStyle w:val="FootnoteReference"/>
        </w:rPr>
        <w:footnoteRef/>
      </w:r>
      <w:r w:rsidRPr="00762A73">
        <w:t xml:space="preserve"> Petition at 3.</w:t>
      </w:r>
    </w:p>
  </w:footnote>
  <w:footnote w:id="11">
    <w:p w:rsidR="00186CB6" w:rsidRPr="00762A73" w14:paraId="6FDCC304" w14:textId="77777777">
      <w:pPr>
        <w:pStyle w:val="FootnoteText"/>
      </w:pPr>
      <w:r w:rsidRPr="00762A73">
        <w:rPr>
          <w:rStyle w:val="FootnoteReference"/>
        </w:rPr>
        <w:footnoteRef/>
      </w:r>
      <w:r w:rsidRPr="00762A73">
        <w:t xml:space="preserve"> </w:t>
      </w:r>
      <w:r w:rsidRPr="00762A73">
        <w:rPr>
          <w:i/>
        </w:rPr>
        <w:t>Id</w:t>
      </w:r>
      <w:r w:rsidRPr="00762A73">
        <w:t>. at 4.</w:t>
      </w:r>
    </w:p>
  </w:footnote>
  <w:footnote w:id="12">
    <w:p w:rsidR="00417050" w14:paraId="033276A7" w14:textId="18A6D2AE">
      <w:pPr>
        <w:pStyle w:val="FootnoteText"/>
      </w:pPr>
      <w:r>
        <w:rPr>
          <w:rStyle w:val="FootnoteReference"/>
        </w:rPr>
        <w:footnoteRef/>
      </w:r>
      <w:r>
        <w:t xml:space="preserve"> Supplement</w:t>
      </w:r>
      <w:r w:rsidR="00366E1B">
        <w:t xml:space="preserve"> at 2</w:t>
      </w:r>
      <w:r w:rsidR="00F314DE">
        <w:t>.</w:t>
      </w:r>
    </w:p>
  </w:footnote>
  <w:footnote w:id="13">
    <w:p w:rsidR="00764495" w:rsidRPr="00357FF2" w14:paraId="41FEA46F" w14:textId="77777777">
      <w:pPr>
        <w:pStyle w:val="FootnoteText"/>
      </w:pPr>
      <w:r>
        <w:rPr>
          <w:rStyle w:val="FootnoteReference"/>
        </w:rPr>
        <w:footnoteRef/>
      </w:r>
      <w:r>
        <w:t xml:space="preserve"> </w:t>
      </w:r>
      <w:r w:rsidR="00357FF2">
        <w:rPr>
          <w:i/>
        </w:rPr>
        <w:t>Id</w:t>
      </w:r>
      <w:r w:rsidR="00357FF2">
        <w:t>. at 1.</w:t>
      </w:r>
    </w:p>
  </w:footnote>
  <w:footnote w:id="14">
    <w:p w:rsidR="00E81544" w14:paraId="60F6FFE8" w14:textId="78D4F449">
      <w:pPr>
        <w:pStyle w:val="FootnoteText"/>
      </w:pPr>
      <w:r>
        <w:rPr>
          <w:rStyle w:val="FootnoteReference"/>
        </w:rPr>
        <w:footnoteRef/>
      </w:r>
      <w:r>
        <w:t xml:space="preserve"> Petition at 4 </w:t>
      </w:r>
      <w:r w:rsidRPr="00762A73">
        <w:t xml:space="preserve">(citing “U.S. Censure Bureau American Fact Finder,” available at </w:t>
      </w:r>
      <w:r>
        <w:fldChar w:fldCharType="begin"/>
      </w:r>
      <w:r>
        <w:instrText xml:space="preserve"> HYPERLINK "http://factfinder.census.gov/faces/nav/jsf/pages/community_facts.xhtml" </w:instrText>
      </w:r>
      <w:r>
        <w:fldChar w:fldCharType="separate"/>
      </w:r>
      <w:r w:rsidRPr="00762A73">
        <w:rPr>
          <w:rStyle w:val="Hyperlink"/>
        </w:rPr>
        <w:t>http://factfinder.census.gov/faces/nav/jsf/pages/community_facts.xhtml</w:t>
      </w:r>
      <w:r>
        <w:fldChar w:fldCharType="end"/>
      </w:r>
      <w:r w:rsidRPr="00762A73">
        <w:t>).</w:t>
      </w:r>
    </w:p>
  </w:footnote>
  <w:footnote w:id="15">
    <w:p w:rsidR="00E81544" w:rsidRPr="003107EF" w14:paraId="7EC43FFE" w14:textId="04686512">
      <w:pPr>
        <w:pStyle w:val="FootnoteText"/>
      </w:pPr>
      <w:r>
        <w:rPr>
          <w:rStyle w:val="FootnoteReference"/>
        </w:rPr>
        <w:footnoteRef/>
      </w:r>
      <w:r>
        <w:t xml:space="preserve"> Supplement at 2; </w:t>
      </w:r>
      <w:r w:rsidR="00F314DE">
        <w:rPr>
          <w:i/>
        </w:rPr>
        <w:t>s</w:t>
      </w:r>
      <w:r>
        <w:rPr>
          <w:i/>
        </w:rPr>
        <w:t xml:space="preserve">ee also </w:t>
      </w:r>
      <w:r>
        <w:t>Supplement, Exhibit A (</w:t>
      </w:r>
      <w:r w:rsidR="00A7010F">
        <w:t xml:space="preserve">Supplement </w:t>
      </w:r>
      <w:r>
        <w:t>Exhibit A).</w:t>
      </w:r>
    </w:p>
  </w:footnote>
  <w:footnote w:id="16">
    <w:p w:rsidR="005C776D" w:rsidRPr="00762A73" w14:paraId="49D7F5E0" w14:textId="77777777">
      <w:pPr>
        <w:pStyle w:val="FootnoteText"/>
      </w:pPr>
      <w:r w:rsidRPr="00762A73">
        <w:rPr>
          <w:rStyle w:val="FootnoteReference"/>
        </w:rPr>
        <w:footnoteRef/>
      </w:r>
      <w:r w:rsidRPr="00762A73">
        <w:t xml:space="preserve"> </w:t>
      </w:r>
      <w:r w:rsidR="00366E1B">
        <w:t>Petition at 4</w:t>
      </w:r>
      <w:r w:rsidR="00A7010F">
        <w:t>.</w:t>
      </w:r>
      <w:r w:rsidR="00366E1B">
        <w:t xml:space="preserve"> </w:t>
      </w:r>
    </w:p>
  </w:footnote>
  <w:footnote w:id="17">
    <w:p w:rsidR="001A670D" w:rsidRPr="001A670D" w14:paraId="7D005CED" w14:textId="77777777">
      <w:pPr>
        <w:pStyle w:val="FootnoteText"/>
      </w:pPr>
      <w:r>
        <w:rPr>
          <w:rStyle w:val="FootnoteReference"/>
        </w:rPr>
        <w:footnoteRef/>
      </w:r>
      <w:r w:rsidR="00F314DE">
        <w:rPr>
          <w:i/>
        </w:rPr>
        <w:t xml:space="preserve"> </w:t>
      </w:r>
      <w:r>
        <w:rPr>
          <w:i/>
        </w:rPr>
        <w:t>Id</w:t>
      </w:r>
      <w:r>
        <w:t>. at 4-6; Supplement at 2; Supplement Exhibit A.</w:t>
      </w:r>
    </w:p>
  </w:footnote>
  <w:footnote w:id="18">
    <w:p w:rsidR="00902A10" w:rsidRPr="009E35FD" w14:paraId="11F9E60A" w14:textId="32EDF926">
      <w:pPr>
        <w:pStyle w:val="FootnoteText"/>
      </w:pPr>
      <w:r w:rsidRPr="00762A73">
        <w:rPr>
          <w:rStyle w:val="FootnoteReference"/>
        </w:rPr>
        <w:footnoteRef/>
      </w:r>
      <w:r w:rsidRPr="00762A73">
        <w:t xml:space="preserve"> </w:t>
      </w:r>
      <w:r w:rsidR="001A670D">
        <w:t>Petition at 6.</w:t>
      </w:r>
      <w:r w:rsidRPr="00762A73" w:rsidR="008A5C21">
        <w:t xml:space="preserve"> </w:t>
      </w:r>
    </w:p>
  </w:footnote>
  <w:footnote w:id="19">
    <w:p w:rsidR="00BA25F8" w:rsidRPr="003107EF" w14:paraId="3AFABD83" w14:textId="39625216">
      <w:pPr>
        <w:pStyle w:val="FootnoteText"/>
      </w:pPr>
      <w:r>
        <w:rPr>
          <w:rStyle w:val="FootnoteReference"/>
        </w:rPr>
        <w:footnoteRef/>
      </w:r>
      <w:r>
        <w:t xml:space="preserve"> Supplement at 2.</w:t>
      </w:r>
      <w:r w:rsidR="00F314DE">
        <w:t xml:space="preserve"> </w:t>
      </w:r>
      <w:r w:rsidR="00B378FD">
        <w:t xml:space="preserve"> </w:t>
      </w:r>
      <w:r w:rsidR="000A5B7C">
        <w:t xml:space="preserve">The Commission considers a community “well-served” when it is served by at least five full-power over-the-air signals.  </w:t>
      </w:r>
      <w:r w:rsidR="000A5B7C">
        <w:rPr>
          <w:i/>
        </w:rPr>
        <w:t>See Third Periodic Review of the Commission’s Rules and Policies Affecting the Conversion to Digital Television</w:t>
      </w:r>
      <w:r w:rsidR="000A5B7C">
        <w:t>, Notice of Proposed Rulemaking, 22 FCC Rcd 9478, 9493, para. 38 (2007).</w:t>
      </w:r>
    </w:p>
  </w:footnote>
  <w:footnote w:id="20">
    <w:p w:rsidR="00B378FD" w:rsidRPr="003107EF" w14:paraId="4045270D" w14:textId="2F340470">
      <w:pPr>
        <w:pStyle w:val="FootnoteText"/>
      </w:pPr>
      <w:r>
        <w:rPr>
          <w:rStyle w:val="FootnoteReference"/>
        </w:rPr>
        <w:footnoteRef/>
      </w:r>
      <w:r>
        <w:t xml:space="preserve"> </w:t>
      </w:r>
      <w:r w:rsidR="00F9412C">
        <w:t>Supplement</w:t>
      </w:r>
      <w:r>
        <w:t xml:space="preserve"> at 2.</w:t>
      </w:r>
    </w:p>
  </w:footnote>
  <w:footnote w:id="21">
    <w:p w:rsidR="006873FB" w:rsidRPr="00762A73" w14:paraId="37F7FD1B" w14:textId="3A529F01">
      <w:pPr>
        <w:pStyle w:val="FootnoteText"/>
      </w:pPr>
      <w:r w:rsidRPr="00762A73">
        <w:rPr>
          <w:rStyle w:val="FootnoteReference"/>
        </w:rPr>
        <w:footnoteRef/>
      </w:r>
      <w:r w:rsidRPr="00762A73">
        <w:t xml:space="preserve"> </w:t>
      </w:r>
      <w:r w:rsidR="003107EF">
        <w:t>Petition</w:t>
      </w:r>
      <w:r w:rsidRPr="00762A73">
        <w:t xml:space="preserve"> at 6 -7 (citing </w:t>
      </w:r>
      <w:r w:rsidRPr="00762A73">
        <w:rPr>
          <w:i/>
        </w:rPr>
        <w:t>Amendment of Section 73.606(b), Table of Allotments, Television Broadcast Stations</w:t>
      </w:r>
      <w:r w:rsidRPr="00762A73" w:rsidR="001B7024">
        <w:rPr>
          <w:i/>
        </w:rPr>
        <w:t>. (Ardmore, Oklahoma and Sherman, Texas)</w:t>
      </w:r>
      <w:r w:rsidRPr="00762A73" w:rsidR="001B7024">
        <w:t xml:space="preserve">, Report and Order, 7 FCC Rcd 4864 (1992); </w:t>
      </w:r>
      <w:r w:rsidRPr="00762A73" w:rsidR="005B1DAB">
        <w:rPr>
          <w:i/>
        </w:rPr>
        <w:t>Amendment of Section 73.606(b),</w:t>
      </w:r>
      <w:r w:rsidR="00856666">
        <w:rPr>
          <w:i/>
        </w:rPr>
        <w:t xml:space="preserve"> </w:t>
      </w:r>
      <w:r w:rsidRPr="00762A73" w:rsidR="00BF6E00">
        <w:rPr>
          <w:i/>
        </w:rPr>
        <w:t>Table of Allotments, Digital Television Broadcast Stations</w:t>
      </w:r>
      <w:r w:rsidRPr="00762A73" w:rsidR="005B1DAB">
        <w:rPr>
          <w:i/>
        </w:rPr>
        <w:t xml:space="preserve"> (Columbia and Edenton, North Carolina)</w:t>
      </w:r>
      <w:r w:rsidRPr="00762A73" w:rsidR="005B1DAB">
        <w:t>, Report and Order</w:t>
      </w:r>
      <w:r w:rsidRPr="00762A73" w:rsidR="00BF6E00">
        <w:t>, 20 FCC Rcd 12457 (Vid. Div. 2005)).</w:t>
      </w:r>
      <w:r w:rsidRPr="00762A73" w:rsidR="001B7024">
        <w:t xml:space="preserve"> </w:t>
      </w:r>
      <w:r w:rsidRPr="00762A73" w:rsidR="005B1DAB">
        <w:t xml:space="preserve">         </w:t>
      </w:r>
    </w:p>
  </w:footnote>
  <w:footnote w:id="22">
    <w:p w:rsidR="00542D07" w14:paraId="19092E2B" w14:textId="759D2250">
      <w:pPr>
        <w:pStyle w:val="FootnoteText"/>
      </w:pPr>
      <w:r>
        <w:rPr>
          <w:rStyle w:val="FootnoteReference"/>
        </w:rPr>
        <w:footnoteRef/>
      </w:r>
      <w:r>
        <w:t xml:space="preserve"> </w:t>
      </w:r>
      <w:r w:rsidRPr="00542D07">
        <w:rPr>
          <w:i/>
        </w:rPr>
        <w:t>Supra</w:t>
      </w:r>
      <w:r>
        <w:t xml:space="preserve"> para. 2.</w:t>
      </w:r>
    </w:p>
  </w:footnote>
  <w:footnote w:id="23">
    <w:p w:rsidR="003107EF" w:rsidP="003107EF" w14:paraId="3FB5D76A" w14:textId="3302E9DF">
      <w:pPr>
        <w:pStyle w:val="FootnoteText"/>
        <w:widowControl w:val="0"/>
      </w:pPr>
      <w:r>
        <w:rPr>
          <w:rStyle w:val="FootnoteReference"/>
        </w:rPr>
        <w:footnoteRef/>
      </w:r>
      <w:r>
        <w:t xml:space="preserve"> </w:t>
      </w:r>
      <w:r>
        <w:rPr>
          <w:i/>
        </w:rPr>
        <w:t>See Amendment of Certain of the Commission’s Part 1 Rules of Practice and Procedure and Part 0 Rules of Commission Reorganization</w:t>
      </w:r>
      <w:r>
        <w:t>, GC Docket No. 10-44, Report and Order, 26 FCC Rcd 1594,</w:t>
      </w:r>
      <w:r w:rsidR="00807A23">
        <w:t xml:space="preserve"> 1602,</w:t>
      </w:r>
      <w:r>
        <w:t xml:space="preserve"> para. 21 (2011).</w:t>
      </w:r>
    </w:p>
  </w:footnote>
  <w:footnote w:id="24">
    <w:p w:rsidR="003107EF" w:rsidP="003107EF" w14:paraId="3E15D8D9" w14:textId="77777777">
      <w:pPr>
        <w:pStyle w:val="FootnoteText"/>
      </w:pPr>
      <w:r>
        <w:rPr>
          <w:rStyle w:val="FootnoteReference"/>
        </w:rPr>
        <w:footnoteRef/>
      </w:r>
      <w:r>
        <w:t xml:space="preserve"> 47 CFR § 1.419(d).</w:t>
      </w:r>
    </w:p>
  </w:footnote>
  <w:footnote w:id="25">
    <w:p w:rsidR="003107EF" w:rsidP="003107EF" w14:paraId="672CC06A" w14:textId="77777777">
      <w:pPr>
        <w:pStyle w:val="FootnoteText"/>
      </w:pPr>
      <w:r>
        <w:rPr>
          <w:rStyle w:val="FootnoteReference"/>
        </w:rPr>
        <w:footnoteRef/>
      </w:r>
      <w:r>
        <w:t xml:space="preserve"> </w:t>
      </w:r>
      <w:r>
        <w:rPr>
          <w:i/>
          <w:spacing w:val="-3"/>
          <w:szCs w:val="22"/>
        </w:rPr>
        <w:t>See</w:t>
      </w:r>
      <w:r>
        <w:rPr>
          <w:spacing w:val="-3"/>
          <w:szCs w:val="22"/>
        </w:rPr>
        <w:t xml:space="preserve"> 47 CFR § 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A7408" w14:paraId="3D49DD5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38F6B87" w14:textId="65DB146E">
    <w:pPr>
      <w:pStyle w:val="Header"/>
      <w:rPr>
        <w:b w:val="0"/>
      </w:rPr>
    </w:pPr>
    <w:r>
      <w:tab/>
      <w:t>Federal Communications Commission</w:t>
    </w:r>
    <w:r>
      <w:tab/>
    </w:r>
    <w:r w:rsidR="004534B2">
      <w:t xml:space="preserve">DA </w:t>
    </w:r>
    <w:r w:rsidR="00B42B47">
      <w:t>18</w:t>
    </w:r>
    <w:r w:rsidR="004534B2">
      <w:t>-</w:t>
    </w:r>
    <w:r w:rsidR="008D617A">
      <w:t>496</w:t>
    </w:r>
  </w:p>
  <w:p w:rsidR="00D25FB5" w14:paraId="201CF635"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D25FB5" w14:paraId="121E12C4"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AE35CC5" w14:textId="371D1778">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sidR="004534B2">
      <w:t xml:space="preserve">DA </w:t>
    </w:r>
    <w:r w:rsidR="00156B25">
      <w:t>18</w:t>
    </w:r>
    <w:r w:rsidR="004534B2">
      <w:t>-</w:t>
    </w:r>
    <w:r w:rsidR="008D617A">
      <w:t>496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1572F17"/>
    <w:multiLevelType w:val="hybridMultilevel"/>
    <w:tmpl w:val="478651C8"/>
    <w:lvl w:ilvl="0">
      <w:start w:val="1"/>
      <w:numFmt w:val="decimal"/>
      <w:lvlText w:val="%1."/>
      <w:lvlJc w:val="left"/>
      <w:pPr>
        <w:ind w:left="2160" w:hanging="720"/>
      </w:pPr>
      <w:rPr>
        <w:rFonts w:hint="default"/>
      </w:rPr>
    </w:lvl>
    <w:lvl w:ilvl="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8">
    <w:nsid w:val="6D2B48D2"/>
    <w:multiLevelType w:val="singleLevel"/>
    <w:tmpl w:val="462A4EC8"/>
    <w:lvl w:ilvl="0">
      <w:start w:val="0"/>
      <w:numFmt w:val="decimal"/>
      <w:pStyle w:val="Paranum0"/>
      <w:lvlJc w:val="left"/>
    </w:lvl>
  </w:abstractNum>
  <w:abstractNum w:abstractNumId="9">
    <w:nsid w:val="7AC81FC0"/>
    <w:multiLevelType w:val="hybridMultilevel"/>
    <w:tmpl w:val="7EA284FE"/>
    <w:lvl w:ilvl="0">
      <w:start w:val="1"/>
      <w:numFmt w:val="decimal"/>
      <w:pStyle w:val="AppNum"/>
      <w:lvlText w:val="%1."/>
      <w:lvlJc w:val="left"/>
      <w:pPr>
        <w:tabs>
          <w:tab w:val="num" w:pos="1447"/>
        </w:tabs>
        <w:ind w:left="727" w:firstLine="360"/>
      </w:pPr>
      <w:rPr>
        <w:rFonts w:ascii="Times New Roman" w:hAnsi="Times New Roman" w:hint="default"/>
        <w:b w:val="0"/>
        <w:sz w:val="22"/>
      </w:rPr>
    </w:lvl>
    <w:lvl w:ilvl="1">
      <w:start w:val="1"/>
      <w:numFmt w:val="lowerRoman"/>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
  </w:num>
  <w:num w:numId="2">
    <w:abstractNumId w:val="7"/>
  </w:num>
  <w:num w:numId="3">
    <w:abstractNumId w:val="3"/>
  </w:num>
  <w:num w:numId="4">
    <w:abstractNumId w:val="5"/>
  </w:num>
  <w:num w:numId="5">
    <w:abstractNumId w:val="2"/>
  </w:num>
  <w:num w:numId="6">
    <w:abstractNumId w:val="0"/>
  </w:num>
  <w:num w:numId="7">
    <w:abstractNumId w:val="4"/>
  </w:num>
  <w:num w:numId="8">
    <w:abstractNumId w:val="6"/>
  </w:num>
  <w:num w:numId="9">
    <w:abstractNumId w:val="7"/>
  </w:num>
  <w:num w:numId="10">
    <w:abstractNumId w:val="7"/>
    <w:lvlOverride w:ilvl="0">
      <w:startOverride w:val="1"/>
    </w:lvlOverride>
  </w:num>
  <w:num w:numId="11">
    <w:abstractNumId w:val="7"/>
  </w:num>
  <w:num w:numId="12">
    <w:abstractNumId w:val="8"/>
  </w:num>
  <w:num w:numId="13">
    <w:abstractNumId w:val="7"/>
    <w:lvlOverride w:ilvl="0">
      <w:startOverride w:val="1"/>
    </w:lvlOverride>
  </w:num>
  <w:num w:numId="14">
    <w:abstractNumId w:val="7"/>
    <w:lvlOverride w:ilvl="0">
      <w:startOverride w:val="1"/>
    </w:lvlOverride>
  </w:num>
  <w:num w:numId="15">
    <w:abstractNumId w:val="9"/>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0" w:insDel="1" w:markup="1"/>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057"/>
    <w:rsid w:val="00004E82"/>
    <w:rsid w:val="000050BB"/>
    <w:rsid w:val="0000693A"/>
    <w:rsid w:val="00010D45"/>
    <w:rsid w:val="000118D7"/>
    <w:rsid w:val="0001217D"/>
    <w:rsid w:val="000138B8"/>
    <w:rsid w:val="00016DEE"/>
    <w:rsid w:val="0002538E"/>
    <w:rsid w:val="00025E41"/>
    <w:rsid w:val="00032308"/>
    <w:rsid w:val="00033410"/>
    <w:rsid w:val="00033A54"/>
    <w:rsid w:val="0003403B"/>
    <w:rsid w:val="00035133"/>
    <w:rsid w:val="0003601C"/>
    <w:rsid w:val="00036039"/>
    <w:rsid w:val="00036115"/>
    <w:rsid w:val="00037F90"/>
    <w:rsid w:val="000402B1"/>
    <w:rsid w:val="00041C85"/>
    <w:rsid w:val="000451D8"/>
    <w:rsid w:val="00045C74"/>
    <w:rsid w:val="000508A5"/>
    <w:rsid w:val="00050A9D"/>
    <w:rsid w:val="000525F5"/>
    <w:rsid w:val="0005460E"/>
    <w:rsid w:val="00062988"/>
    <w:rsid w:val="000636BB"/>
    <w:rsid w:val="00064F8A"/>
    <w:rsid w:val="0006510E"/>
    <w:rsid w:val="00065D6E"/>
    <w:rsid w:val="00072368"/>
    <w:rsid w:val="0007270F"/>
    <w:rsid w:val="00074192"/>
    <w:rsid w:val="00082BB8"/>
    <w:rsid w:val="00087084"/>
    <w:rsid w:val="000875BF"/>
    <w:rsid w:val="00093FAF"/>
    <w:rsid w:val="0009457D"/>
    <w:rsid w:val="000955F4"/>
    <w:rsid w:val="00096D8C"/>
    <w:rsid w:val="000A0099"/>
    <w:rsid w:val="000A0131"/>
    <w:rsid w:val="000A0623"/>
    <w:rsid w:val="000A154A"/>
    <w:rsid w:val="000A5B7C"/>
    <w:rsid w:val="000A6720"/>
    <w:rsid w:val="000B3E34"/>
    <w:rsid w:val="000B5B62"/>
    <w:rsid w:val="000B74EA"/>
    <w:rsid w:val="000C0A47"/>
    <w:rsid w:val="000C0B65"/>
    <w:rsid w:val="000C14BF"/>
    <w:rsid w:val="000D2074"/>
    <w:rsid w:val="000D509C"/>
    <w:rsid w:val="000E05FE"/>
    <w:rsid w:val="000E2D19"/>
    <w:rsid w:val="000E3CB9"/>
    <w:rsid w:val="000E3D42"/>
    <w:rsid w:val="000E51CA"/>
    <w:rsid w:val="000F3D99"/>
    <w:rsid w:val="000F497C"/>
    <w:rsid w:val="000F4E0F"/>
    <w:rsid w:val="000F73DD"/>
    <w:rsid w:val="001021CC"/>
    <w:rsid w:val="00105057"/>
    <w:rsid w:val="00111429"/>
    <w:rsid w:val="00114231"/>
    <w:rsid w:val="00115C5E"/>
    <w:rsid w:val="00116909"/>
    <w:rsid w:val="00117C6B"/>
    <w:rsid w:val="00122BD5"/>
    <w:rsid w:val="001230D1"/>
    <w:rsid w:val="00125EF0"/>
    <w:rsid w:val="00130102"/>
    <w:rsid w:val="00130AA2"/>
    <w:rsid w:val="00132588"/>
    <w:rsid w:val="00133461"/>
    <w:rsid w:val="00133F79"/>
    <w:rsid w:val="001349BA"/>
    <w:rsid w:val="00135AF8"/>
    <w:rsid w:val="00135FCB"/>
    <w:rsid w:val="001364E3"/>
    <w:rsid w:val="00144B55"/>
    <w:rsid w:val="0014592D"/>
    <w:rsid w:val="0015058D"/>
    <w:rsid w:val="00151B98"/>
    <w:rsid w:val="00156B25"/>
    <w:rsid w:val="001627E1"/>
    <w:rsid w:val="00165EA0"/>
    <w:rsid w:val="0017340B"/>
    <w:rsid w:val="00173A3E"/>
    <w:rsid w:val="00180F7C"/>
    <w:rsid w:val="0018191D"/>
    <w:rsid w:val="00185375"/>
    <w:rsid w:val="00186CB6"/>
    <w:rsid w:val="001929F8"/>
    <w:rsid w:val="001947B7"/>
    <w:rsid w:val="00194A66"/>
    <w:rsid w:val="00197AC4"/>
    <w:rsid w:val="001A44F5"/>
    <w:rsid w:val="001A55B6"/>
    <w:rsid w:val="001A670D"/>
    <w:rsid w:val="001A6B07"/>
    <w:rsid w:val="001B1699"/>
    <w:rsid w:val="001B2B68"/>
    <w:rsid w:val="001B4D5D"/>
    <w:rsid w:val="001B63AE"/>
    <w:rsid w:val="001B7024"/>
    <w:rsid w:val="001C120E"/>
    <w:rsid w:val="001C5898"/>
    <w:rsid w:val="001D0428"/>
    <w:rsid w:val="001D1734"/>
    <w:rsid w:val="001D35B8"/>
    <w:rsid w:val="001D55B5"/>
    <w:rsid w:val="001D601F"/>
    <w:rsid w:val="001D6BCF"/>
    <w:rsid w:val="001E0155"/>
    <w:rsid w:val="001E01CA"/>
    <w:rsid w:val="001E087C"/>
    <w:rsid w:val="001E26E4"/>
    <w:rsid w:val="001F14D7"/>
    <w:rsid w:val="0020281D"/>
    <w:rsid w:val="00204BF3"/>
    <w:rsid w:val="0020686D"/>
    <w:rsid w:val="0020762A"/>
    <w:rsid w:val="002107CD"/>
    <w:rsid w:val="00213726"/>
    <w:rsid w:val="00221348"/>
    <w:rsid w:val="002228A1"/>
    <w:rsid w:val="00226D0F"/>
    <w:rsid w:val="00227E60"/>
    <w:rsid w:val="00234436"/>
    <w:rsid w:val="00236EA4"/>
    <w:rsid w:val="00237E6C"/>
    <w:rsid w:val="002427BA"/>
    <w:rsid w:val="0025144F"/>
    <w:rsid w:val="00253104"/>
    <w:rsid w:val="002545CD"/>
    <w:rsid w:val="0025742E"/>
    <w:rsid w:val="00264939"/>
    <w:rsid w:val="002666A9"/>
    <w:rsid w:val="00267044"/>
    <w:rsid w:val="002705D0"/>
    <w:rsid w:val="00272BF0"/>
    <w:rsid w:val="00275CF5"/>
    <w:rsid w:val="00280048"/>
    <w:rsid w:val="002801D6"/>
    <w:rsid w:val="00280596"/>
    <w:rsid w:val="0028157D"/>
    <w:rsid w:val="00282E92"/>
    <w:rsid w:val="0028301F"/>
    <w:rsid w:val="00283451"/>
    <w:rsid w:val="00285017"/>
    <w:rsid w:val="00290740"/>
    <w:rsid w:val="00291C3D"/>
    <w:rsid w:val="0029277B"/>
    <w:rsid w:val="00294ABC"/>
    <w:rsid w:val="002A2D2E"/>
    <w:rsid w:val="002A5D97"/>
    <w:rsid w:val="002B0155"/>
    <w:rsid w:val="002B122A"/>
    <w:rsid w:val="002B18A4"/>
    <w:rsid w:val="002B2338"/>
    <w:rsid w:val="002C00E8"/>
    <w:rsid w:val="002C5DC6"/>
    <w:rsid w:val="002C7686"/>
    <w:rsid w:val="002C7C13"/>
    <w:rsid w:val="002D0CFA"/>
    <w:rsid w:val="002D0E63"/>
    <w:rsid w:val="002D1EFD"/>
    <w:rsid w:val="002D6B54"/>
    <w:rsid w:val="002E0171"/>
    <w:rsid w:val="002E3561"/>
    <w:rsid w:val="002F0041"/>
    <w:rsid w:val="002F2E11"/>
    <w:rsid w:val="002F3B0A"/>
    <w:rsid w:val="00302F2E"/>
    <w:rsid w:val="0030733C"/>
    <w:rsid w:val="003103D3"/>
    <w:rsid w:val="003107EF"/>
    <w:rsid w:val="0031634D"/>
    <w:rsid w:val="00317281"/>
    <w:rsid w:val="003179B7"/>
    <w:rsid w:val="00325CFB"/>
    <w:rsid w:val="00326680"/>
    <w:rsid w:val="003306EE"/>
    <w:rsid w:val="00331337"/>
    <w:rsid w:val="00335E11"/>
    <w:rsid w:val="00336C14"/>
    <w:rsid w:val="00341124"/>
    <w:rsid w:val="00343749"/>
    <w:rsid w:val="00345118"/>
    <w:rsid w:val="0034693F"/>
    <w:rsid w:val="003522B8"/>
    <w:rsid w:val="00357FF2"/>
    <w:rsid w:val="003627AF"/>
    <w:rsid w:val="00362C78"/>
    <w:rsid w:val="00363709"/>
    <w:rsid w:val="003660ED"/>
    <w:rsid w:val="00366E1B"/>
    <w:rsid w:val="003679FC"/>
    <w:rsid w:val="00376551"/>
    <w:rsid w:val="00377F12"/>
    <w:rsid w:val="00380926"/>
    <w:rsid w:val="00381256"/>
    <w:rsid w:val="00381FBF"/>
    <w:rsid w:val="00386516"/>
    <w:rsid w:val="00386C3A"/>
    <w:rsid w:val="00394DD2"/>
    <w:rsid w:val="003A3F64"/>
    <w:rsid w:val="003A7408"/>
    <w:rsid w:val="003B0550"/>
    <w:rsid w:val="003B5366"/>
    <w:rsid w:val="003B57B7"/>
    <w:rsid w:val="003B6431"/>
    <w:rsid w:val="003B694F"/>
    <w:rsid w:val="003B7F5E"/>
    <w:rsid w:val="003C262C"/>
    <w:rsid w:val="003C2889"/>
    <w:rsid w:val="003C434F"/>
    <w:rsid w:val="003C5A1F"/>
    <w:rsid w:val="003E402D"/>
    <w:rsid w:val="003E7DE8"/>
    <w:rsid w:val="003F171C"/>
    <w:rsid w:val="003F2CDB"/>
    <w:rsid w:val="003F47A5"/>
    <w:rsid w:val="004068A0"/>
    <w:rsid w:val="00407EFE"/>
    <w:rsid w:val="00412FC5"/>
    <w:rsid w:val="00413522"/>
    <w:rsid w:val="0041468C"/>
    <w:rsid w:val="0041534D"/>
    <w:rsid w:val="00415677"/>
    <w:rsid w:val="00417026"/>
    <w:rsid w:val="00417050"/>
    <w:rsid w:val="00421D72"/>
    <w:rsid w:val="00422276"/>
    <w:rsid w:val="00423E2B"/>
    <w:rsid w:val="004242F1"/>
    <w:rsid w:val="00426011"/>
    <w:rsid w:val="0042656F"/>
    <w:rsid w:val="004275A5"/>
    <w:rsid w:val="00430B23"/>
    <w:rsid w:val="00431BD6"/>
    <w:rsid w:val="00433668"/>
    <w:rsid w:val="0043470F"/>
    <w:rsid w:val="004375C2"/>
    <w:rsid w:val="00440A8F"/>
    <w:rsid w:val="00441493"/>
    <w:rsid w:val="00441AD1"/>
    <w:rsid w:val="00445A00"/>
    <w:rsid w:val="004466F1"/>
    <w:rsid w:val="00451B0F"/>
    <w:rsid w:val="004534B2"/>
    <w:rsid w:val="00457DFE"/>
    <w:rsid w:val="00460344"/>
    <w:rsid w:val="004624EC"/>
    <w:rsid w:val="004627DE"/>
    <w:rsid w:val="00465B25"/>
    <w:rsid w:val="004674DC"/>
    <w:rsid w:val="00475EC0"/>
    <w:rsid w:val="00476A84"/>
    <w:rsid w:val="004823C3"/>
    <w:rsid w:val="004874E9"/>
    <w:rsid w:val="004936F2"/>
    <w:rsid w:val="00496737"/>
    <w:rsid w:val="004A048B"/>
    <w:rsid w:val="004A107D"/>
    <w:rsid w:val="004A195F"/>
    <w:rsid w:val="004A2BF9"/>
    <w:rsid w:val="004B161A"/>
    <w:rsid w:val="004B1FF1"/>
    <w:rsid w:val="004B5464"/>
    <w:rsid w:val="004C2EE3"/>
    <w:rsid w:val="004C2F37"/>
    <w:rsid w:val="004C51F6"/>
    <w:rsid w:val="004C7606"/>
    <w:rsid w:val="004D1AEB"/>
    <w:rsid w:val="004D1E39"/>
    <w:rsid w:val="004D3E90"/>
    <w:rsid w:val="004D6269"/>
    <w:rsid w:val="004E2A6C"/>
    <w:rsid w:val="004E4A22"/>
    <w:rsid w:val="004E4B9B"/>
    <w:rsid w:val="004E54F8"/>
    <w:rsid w:val="004E5B1F"/>
    <w:rsid w:val="004F0363"/>
    <w:rsid w:val="004F2A71"/>
    <w:rsid w:val="004F432E"/>
    <w:rsid w:val="004F5F2B"/>
    <w:rsid w:val="004F72C3"/>
    <w:rsid w:val="004F7F73"/>
    <w:rsid w:val="004F7F74"/>
    <w:rsid w:val="00500D11"/>
    <w:rsid w:val="00502F47"/>
    <w:rsid w:val="00503331"/>
    <w:rsid w:val="005040B1"/>
    <w:rsid w:val="00504CDB"/>
    <w:rsid w:val="00504F87"/>
    <w:rsid w:val="005052EA"/>
    <w:rsid w:val="00507278"/>
    <w:rsid w:val="00507D4D"/>
    <w:rsid w:val="00511968"/>
    <w:rsid w:val="005127EE"/>
    <w:rsid w:val="00512A4A"/>
    <w:rsid w:val="00513726"/>
    <w:rsid w:val="005144FD"/>
    <w:rsid w:val="00515372"/>
    <w:rsid w:val="00516A1A"/>
    <w:rsid w:val="00530230"/>
    <w:rsid w:val="00531BB2"/>
    <w:rsid w:val="00533C5C"/>
    <w:rsid w:val="0054292D"/>
    <w:rsid w:val="0054295D"/>
    <w:rsid w:val="00542D07"/>
    <w:rsid w:val="00543ED0"/>
    <w:rsid w:val="005442FD"/>
    <w:rsid w:val="005448B8"/>
    <w:rsid w:val="00547D07"/>
    <w:rsid w:val="005504A0"/>
    <w:rsid w:val="0055086F"/>
    <w:rsid w:val="00550A38"/>
    <w:rsid w:val="0055150B"/>
    <w:rsid w:val="005517BB"/>
    <w:rsid w:val="00552577"/>
    <w:rsid w:val="0055614C"/>
    <w:rsid w:val="00570D70"/>
    <w:rsid w:val="005727EA"/>
    <w:rsid w:val="00580E19"/>
    <w:rsid w:val="00580E82"/>
    <w:rsid w:val="005868D4"/>
    <w:rsid w:val="00592034"/>
    <w:rsid w:val="005942EA"/>
    <w:rsid w:val="00594AFB"/>
    <w:rsid w:val="00597BC9"/>
    <w:rsid w:val="005A3409"/>
    <w:rsid w:val="005A53E1"/>
    <w:rsid w:val="005B1DAB"/>
    <w:rsid w:val="005C5D84"/>
    <w:rsid w:val="005C69DE"/>
    <w:rsid w:val="005C776D"/>
    <w:rsid w:val="005D0AAE"/>
    <w:rsid w:val="005D14A6"/>
    <w:rsid w:val="005D3374"/>
    <w:rsid w:val="005D5EF3"/>
    <w:rsid w:val="005D70DB"/>
    <w:rsid w:val="005D71EF"/>
    <w:rsid w:val="005D796A"/>
    <w:rsid w:val="005E14C2"/>
    <w:rsid w:val="005E1F53"/>
    <w:rsid w:val="005E270E"/>
    <w:rsid w:val="005E3B17"/>
    <w:rsid w:val="005E4D14"/>
    <w:rsid w:val="005E5A34"/>
    <w:rsid w:val="005F023D"/>
    <w:rsid w:val="005F0CF0"/>
    <w:rsid w:val="005F0F99"/>
    <w:rsid w:val="005F2358"/>
    <w:rsid w:val="005F36E6"/>
    <w:rsid w:val="005F3970"/>
    <w:rsid w:val="006018F8"/>
    <w:rsid w:val="00602495"/>
    <w:rsid w:val="00602DC6"/>
    <w:rsid w:val="00604891"/>
    <w:rsid w:val="00607BA5"/>
    <w:rsid w:val="00610ED2"/>
    <w:rsid w:val="0061180A"/>
    <w:rsid w:val="00612D04"/>
    <w:rsid w:val="00614C2E"/>
    <w:rsid w:val="00620852"/>
    <w:rsid w:val="00624660"/>
    <w:rsid w:val="00626EB6"/>
    <w:rsid w:val="006300B9"/>
    <w:rsid w:val="006310E5"/>
    <w:rsid w:val="00634457"/>
    <w:rsid w:val="006407ED"/>
    <w:rsid w:val="00640B5C"/>
    <w:rsid w:val="0065028B"/>
    <w:rsid w:val="006512E8"/>
    <w:rsid w:val="00655D03"/>
    <w:rsid w:val="00662B95"/>
    <w:rsid w:val="00666050"/>
    <w:rsid w:val="00666FFC"/>
    <w:rsid w:val="006676BD"/>
    <w:rsid w:val="00667FB4"/>
    <w:rsid w:val="00671F04"/>
    <w:rsid w:val="00673866"/>
    <w:rsid w:val="00682EC3"/>
    <w:rsid w:val="00683388"/>
    <w:rsid w:val="00683F84"/>
    <w:rsid w:val="0068468B"/>
    <w:rsid w:val="0068723C"/>
    <w:rsid w:val="006873FB"/>
    <w:rsid w:val="00693D8E"/>
    <w:rsid w:val="0069494C"/>
    <w:rsid w:val="006A1D9F"/>
    <w:rsid w:val="006A293B"/>
    <w:rsid w:val="006A684B"/>
    <w:rsid w:val="006A6A81"/>
    <w:rsid w:val="006A6DF8"/>
    <w:rsid w:val="006B4F67"/>
    <w:rsid w:val="006B58DB"/>
    <w:rsid w:val="006B6A70"/>
    <w:rsid w:val="006C681E"/>
    <w:rsid w:val="006D321A"/>
    <w:rsid w:val="006D5295"/>
    <w:rsid w:val="006D5BE0"/>
    <w:rsid w:val="006D629D"/>
    <w:rsid w:val="006E2CA0"/>
    <w:rsid w:val="006E4B32"/>
    <w:rsid w:val="006F08B2"/>
    <w:rsid w:val="006F3838"/>
    <w:rsid w:val="006F61BD"/>
    <w:rsid w:val="006F7393"/>
    <w:rsid w:val="00700491"/>
    <w:rsid w:val="007004D4"/>
    <w:rsid w:val="00701799"/>
    <w:rsid w:val="0070224F"/>
    <w:rsid w:val="007113CB"/>
    <w:rsid w:val="007115F7"/>
    <w:rsid w:val="0071630D"/>
    <w:rsid w:val="00721482"/>
    <w:rsid w:val="0072791A"/>
    <w:rsid w:val="007327C8"/>
    <w:rsid w:val="0073303D"/>
    <w:rsid w:val="007338C0"/>
    <w:rsid w:val="00734FB3"/>
    <w:rsid w:val="00735680"/>
    <w:rsid w:val="00736D9B"/>
    <w:rsid w:val="00736E4C"/>
    <w:rsid w:val="007371D3"/>
    <w:rsid w:val="007374DE"/>
    <w:rsid w:val="00742566"/>
    <w:rsid w:val="00742AA8"/>
    <w:rsid w:val="00743B8E"/>
    <w:rsid w:val="0074651F"/>
    <w:rsid w:val="00750441"/>
    <w:rsid w:val="00762A73"/>
    <w:rsid w:val="007640DD"/>
    <w:rsid w:val="00764193"/>
    <w:rsid w:val="00764495"/>
    <w:rsid w:val="00770AD4"/>
    <w:rsid w:val="00772BA4"/>
    <w:rsid w:val="00773B59"/>
    <w:rsid w:val="00776160"/>
    <w:rsid w:val="00777FE0"/>
    <w:rsid w:val="007813BF"/>
    <w:rsid w:val="00782011"/>
    <w:rsid w:val="0078296F"/>
    <w:rsid w:val="00783BAD"/>
    <w:rsid w:val="00785689"/>
    <w:rsid w:val="0079037A"/>
    <w:rsid w:val="00791903"/>
    <w:rsid w:val="00792C74"/>
    <w:rsid w:val="00795877"/>
    <w:rsid w:val="00795998"/>
    <w:rsid w:val="00796595"/>
    <w:rsid w:val="0079754B"/>
    <w:rsid w:val="007A1E6D"/>
    <w:rsid w:val="007A36FA"/>
    <w:rsid w:val="007A434A"/>
    <w:rsid w:val="007B0EB2"/>
    <w:rsid w:val="007B1900"/>
    <w:rsid w:val="007C5A69"/>
    <w:rsid w:val="007D0578"/>
    <w:rsid w:val="007D10B5"/>
    <w:rsid w:val="007D5A1D"/>
    <w:rsid w:val="007D7460"/>
    <w:rsid w:val="007D7E74"/>
    <w:rsid w:val="007E0A4B"/>
    <w:rsid w:val="007E370E"/>
    <w:rsid w:val="007E6019"/>
    <w:rsid w:val="007E606D"/>
    <w:rsid w:val="007E7646"/>
    <w:rsid w:val="007E7A9F"/>
    <w:rsid w:val="007F1D63"/>
    <w:rsid w:val="007F4DD6"/>
    <w:rsid w:val="008004C2"/>
    <w:rsid w:val="00801D84"/>
    <w:rsid w:val="008068F8"/>
    <w:rsid w:val="00807A23"/>
    <w:rsid w:val="00810859"/>
    <w:rsid w:val="00810B6F"/>
    <w:rsid w:val="00813BC2"/>
    <w:rsid w:val="008204E2"/>
    <w:rsid w:val="008210B7"/>
    <w:rsid w:val="00822CE0"/>
    <w:rsid w:val="00824F9F"/>
    <w:rsid w:val="008325C0"/>
    <w:rsid w:val="00834664"/>
    <w:rsid w:val="008357C0"/>
    <w:rsid w:val="00840618"/>
    <w:rsid w:val="00841793"/>
    <w:rsid w:val="00841AB1"/>
    <w:rsid w:val="00844DE1"/>
    <w:rsid w:val="008451BE"/>
    <w:rsid w:val="00850D3A"/>
    <w:rsid w:val="008510E2"/>
    <w:rsid w:val="00851176"/>
    <w:rsid w:val="00853E63"/>
    <w:rsid w:val="00856666"/>
    <w:rsid w:val="008645A7"/>
    <w:rsid w:val="00866C6D"/>
    <w:rsid w:val="0087394A"/>
    <w:rsid w:val="00876CBB"/>
    <w:rsid w:val="00877BC3"/>
    <w:rsid w:val="0089451B"/>
    <w:rsid w:val="00897256"/>
    <w:rsid w:val="0089735C"/>
    <w:rsid w:val="008A3EC2"/>
    <w:rsid w:val="008A5C21"/>
    <w:rsid w:val="008A6E0F"/>
    <w:rsid w:val="008B2C6F"/>
    <w:rsid w:val="008B5484"/>
    <w:rsid w:val="008B74AE"/>
    <w:rsid w:val="008C5CCD"/>
    <w:rsid w:val="008C5FDE"/>
    <w:rsid w:val="008C68F1"/>
    <w:rsid w:val="008C7BC9"/>
    <w:rsid w:val="008D1444"/>
    <w:rsid w:val="008D4507"/>
    <w:rsid w:val="008D617A"/>
    <w:rsid w:val="008E06C8"/>
    <w:rsid w:val="008E1E5D"/>
    <w:rsid w:val="008E3145"/>
    <w:rsid w:val="008E4184"/>
    <w:rsid w:val="008E7E2A"/>
    <w:rsid w:val="008F0402"/>
    <w:rsid w:val="008F0EE8"/>
    <w:rsid w:val="008F1517"/>
    <w:rsid w:val="008F26B4"/>
    <w:rsid w:val="0090164F"/>
    <w:rsid w:val="00902A10"/>
    <w:rsid w:val="00902B66"/>
    <w:rsid w:val="00907913"/>
    <w:rsid w:val="00913C84"/>
    <w:rsid w:val="0092094D"/>
    <w:rsid w:val="0092167B"/>
    <w:rsid w:val="00921803"/>
    <w:rsid w:val="00926503"/>
    <w:rsid w:val="0092663C"/>
    <w:rsid w:val="00931457"/>
    <w:rsid w:val="00931DF0"/>
    <w:rsid w:val="00931FDE"/>
    <w:rsid w:val="00932D93"/>
    <w:rsid w:val="009346C3"/>
    <w:rsid w:val="00936AA6"/>
    <w:rsid w:val="00937D1F"/>
    <w:rsid w:val="009400D0"/>
    <w:rsid w:val="009409CC"/>
    <w:rsid w:val="00942EA3"/>
    <w:rsid w:val="009444DA"/>
    <w:rsid w:val="00945046"/>
    <w:rsid w:val="00946E3C"/>
    <w:rsid w:val="009531E0"/>
    <w:rsid w:val="0095489E"/>
    <w:rsid w:val="009554E1"/>
    <w:rsid w:val="0096073E"/>
    <w:rsid w:val="009618E5"/>
    <w:rsid w:val="009662B5"/>
    <w:rsid w:val="0097100D"/>
    <w:rsid w:val="009726B2"/>
    <w:rsid w:val="009726D8"/>
    <w:rsid w:val="00975A1E"/>
    <w:rsid w:val="0097677E"/>
    <w:rsid w:val="00980BA4"/>
    <w:rsid w:val="00985E47"/>
    <w:rsid w:val="00985F7E"/>
    <w:rsid w:val="00987B91"/>
    <w:rsid w:val="00990149"/>
    <w:rsid w:val="0099056F"/>
    <w:rsid w:val="009979C9"/>
    <w:rsid w:val="009A1BF7"/>
    <w:rsid w:val="009B2385"/>
    <w:rsid w:val="009B33F4"/>
    <w:rsid w:val="009B5249"/>
    <w:rsid w:val="009B585D"/>
    <w:rsid w:val="009B6152"/>
    <w:rsid w:val="009B6D5A"/>
    <w:rsid w:val="009B70FA"/>
    <w:rsid w:val="009C1C72"/>
    <w:rsid w:val="009C23C4"/>
    <w:rsid w:val="009D395B"/>
    <w:rsid w:val="009D4DCA"/>
    <w:rsid w:val="009E0DD1"/>
    <w:rsid w:val="009E2E69"/>
    <w:rsid w:val="009E35FD"/>
    <w:rsid w:val="009E5896"/>
    <w:rsid w:val="009F57AD"/>
    <w:rsid w:val="009F58D4"/>
    <w:rsid w:val="009F6BFA"/>
    <w:rsid w:val="009F76DB"/>
    <w:rsid w:val="00A0781C"/>
    <w:rsid w:val="00A13FF8"/>
    <w:rsid w:val="00A16DBC"/>
    <w:rsid w:val="00A21BB6"/>
    <w:rsid w:val="00A25603"/>
    <w:rsid w:val="00A26B94"/>
    <w:rsid w:val="00A27FA8"/>
    <w:rsid w:val="00A32C3B"/>
    <w:rsid w:val="00A32F46"/>
    <w:rsid w:val="00A34022"/>
    <w:rsid w:val="00A403FA"/>
    <w:rsid w:val="00A45F4F"/>
    <w:rsid w:val="00A55C57"/>
    <w:rsid w:val="00A56385"/>
    <w:rsid w:val="00A57E67"/>
    <w:rsid w:val="00A600A9"/>
    <w:rsid w:val="00A63B34"/>
    <w:rsid w:val="00A668A6"/>
    <w:rsid w:val="00A7010F"/>
    <w:rsid w:val="00A730AE"/>
    <w:rsid w:val="00A748F1"/>
    <w:rsid w:val="00A74C58"/>
    <w:rsid w:val="00A75DF9"/>
    <w:rsid w:val="00A75FA7"/>
    <w:rsid w:val="00A77877"/>
    <w:rsid w:val="00A8054D"/>
    <w:rsid w:val="00A8203F"/>
    <w:rsid w:val="00A82728"/>
    <w:rsid w:val="00A84F24"/>
    <w:rsid w:val="00A86189"/>
    <w:rsid w:val="00A91C03"/>
    <w:rsid w:val="00A928A3"/>
    <w:rsid w:val="00A92AE2"/>
    <w:rsid w:val="00A94305"/>
    <w:rsid w:val="00AA55B7"/>
    <w:rsid w:val="00AA5B9E"/>
    <w:rsid w:val="00AA5CC2"/>
    <w:rsid w:val="00AA6B6A"/>
    <w:rsid w:val="00AB2407"/>
    <w:rsid w:val="00AB2E01"/>
    <w:rsid w:val="00AB53DF"/>
    <w:rsid w:val="00AB55E4"/>
    <w:rsid w:val="00AB75C8"/>
    <w:rsid w:val="00AB7938"/>
    <w:rsid w:val="00AC000D"/>
    <w:rsid w:val="00AD1309"/>
    <w:rsid w:val="00AD3F16"/>
    <w:rsid w:val="00AD45C6"/>
    <w:rsid w:val="00AD6F8B"/>
    <w:rsid w:val="00AE0940"/>
    <w:rsid w:val="00AE0FA6"/>
    <w:rsid w:val="00AE1085"/>
    <w:rsid w:val="00AE2D32"/>
    <w:rsid w:val="00AE4483"/>
    <w:rsid w:val="00AE7B0E"/>
    <w:rsid w:val="00AF0869"/>
    <w:rsid w:val="00AF0A74"/>
    <w:rsid w:val="00AF0D37"/>
    <w:rsid w:val="00AF503B"/>
    <w:rsid w:val="00AF549D"/>
    <w:rsid w:val="00AF5A10"/>
    <w:rsid w:val="00B00F70"/>
    <w:rsid w:val="00B07E5C"/>
    <w:rsid w:val="00B1119B"/>
    <w:rsid w:val="00B1303A"/>
    <w:rsid w:val="00B1783B"/>
    <w:rsid w:val="00B2159A"/>
    <w:rsid w:val="00B227D6"/>
    <w:rsid w:val="00B236F2"/>
    <w:rsid w:val="00B2379C"/>
    <w:rsid w:val="00B3622A"/>
    <w:rsid w:val="00B378FD"/>
    <w:rsid w:val="00B404FC"/>
    <w:rsid w:val="00B42B47"/>
    <w:rsid w:val="00B4487F"/>
    <w:rsid w:val="00B507F1"/>
    <w:rsid w:val="00B50951"/>
    <w:rsid w:val="00B52C7E"/>
    <w:rsid w:val="00B63499"/>
    <w:rsid w:val="00B717BC"/>
    <w:rsid w:val="00B71C1A"/>
    <w:rsid w:val="00B7278B"/>
    <w:rsid w:val="00B76230"/>
    <w:rsid w:val="00B80055"/>
    <w:rsid w:val="00B811F7"/>
    <w:rsid w:val="00B819BE"/>
    <w:rsid w:val="00B826B7"/>
    <w:rsid w:val="00B87078"/>
    <w:rsid w:val="00B87A8E"/>
    <w:rsid w:val="00B95EF7"/>
    <w:rsid w:val="00BA1A9F"/>
    <w:rsid w:val="00BA25F8"/>
    <w:rsid w:val="00BA31DE"/>
    <w:rsid w:val="00BA5DC6"/>
    <w:rsid w:val="00BA6196"/>
    <w:rsid w:val="00BA789D"/>
    <w:rsid w:val="00BB328E"/>
    <w:rsid w:val="00BC198C"/>
    <w:rsid w:val="00BC31BA"/>
    <w:rsid w:val="00BC645C"/>
    <w:rsid w:val="00BC6D8C"/>
    <w:rsid w:val="00BD1914"/>
    <w:rsid w:val="00BD425A"/>
    <w:rsid w:val="00BD68FD"/>
    <w:rsid w:val="00BE2BF1"/>
    <w:rsid w:val="00BE747C"/>
    <w:rsid w:val="00BF0D33"/>
    <w:rsid w:val="00BF2842"/>
    <w:rsid w:val="00BF3A30"/>
    <w:rsid w:val="00BF482F"/>
    <w:rsid w:val="00BF6E00"/>
    <w:rsid w:val="00C01B0B"/>
    <w:rsid w:val="00C02DDB"/>
    <w:rsid w:val="00C0524F"/>
    <w:rsid w:val="00C21E29"/>
    <w:rsid w:val="00C2257C"/>
    <w:rsid w:val="00C24F8B"/>
    <w:rsid w:val="00C2553B"/>
    <w:rsid w:val="00C2620A"/>
    <w:rsid w:val="00C334F2"/>
    <w:rsid w:val="00C34006"/>
    <w:rsid w:val="00C356B6"/>
    <w:rsid w:val="00C426B1"/>
    <w:rsid w:val="00C57982"/>
    <w:rsid w:val="00C61AC5"/>
    <w:rsid w:val="00C628BD"/>
    <w:rsid w:val="00C632B6"/>
    <w:rsid w:val="00C63CAC"/>
    <w:rsid w:val="00C644C4"/>
    <w:rsid w:val="00C66160"/>
    <w:rsid w:val="00C714AD"/>
    <w:rsid w:val="00C721AC"/>
    <w:rsid w:val="00C72F01"/>
    <w:rsid w:val="00C7372D"/>
    <w:rsid w:val="00C7377F"/>
    <w:rsid w:val="00C737A3"/>
    <w:rsid w:val="00C76715"/>
    <w:rsid w:val="00C767AE"/>
    <w:rsid w:val="00C816F7"/>
    <w:rsid w:val="00C87BA3"/>
    <w:rsid w:val="00C90D6A"/>
    <w:rsid w:val="00C935A7"/>
    <w:rsid w:val="00CA0FC5"/>
    <w:rsid w:val="00CA247E"/>
    <w:rsid w:val="00CA4976"/>
    <w:rsid w:val="00CA49E6"/>
    <w:rsid w:val="00CA55E7"/>
    <w:rsid w:val="00CA5F24"/>
    <w:rsid w:val="00CB475F"/>
    <w:rsid w:val="00CC01F9"/>
    <w:rsid w:val="00CC136E"/>
    <w:rsid w:val="00CC45C9"/>
    <w:rsid w:val="00CC72B6"/>
    <w:rsid w:val="00CD2A27"/>
    <w:rsid w:val="00CD2FA8"/>
    <w:rsid w:val="00CD42B0"/>
    <w:rsid w:val="00CD4F9A"/>
    <w:rsid w:val="00CE1F7C"/>
    <w:rsid w:val="00CE360E"/>
    <w:rsid w:val="00CE3D90"/>
    <w:rsid w:val="00CE4440"/>
    <w:rsid w:val="00CE55D1"/>
    <w:rsid w:val="00CF09ED"/>
    <w:rsid w:val="00CF0B5C"/>
    <w:rsid w:val="00CF19AB"/>
    <w:rsid w:val="00CF7116"/>
    <w:rsid w:val="00CF74AE"/>
    <w:rsid w:val="00CF76A1"/>
    <w:rsid w:val="00CF7ADD"/>
    <w:rsid w:val="00D0043B"/>
    <w:rsid w:val="00D0218D"/>
    <w:rsid w:val="00D16EDD"/>
    <w:rsid w:val="00D20D1C"/>
    <w:rsid w:val="00D23350"/>
    <w:rsid w:val="00D23CFB"/>
    <w:rsid w:val="00D25FB5"/>
    <w:rsid w:val="00D26956"/>
    <w:rsid w:val="00D27033"/>
    <w:rsid w:val="00D32085"/>
    <w:rsid w:val="00D35647"/>
    <w:rsid w:val="00D44223"/>
    <w:rsid w:val="00D461ED"/>
    <w:rsid w:val="00D50EFA"/>
    <w:rsid w:val="00D52899"/>
    <w:rsid w:val="00D55756"/>
    <w:rsid w:val="00D62B11"/>
    <w:rsid w:val="00D65BFD"/>
    <w:rsid w:val="00D72361"/>
    <w:rsid w:val="00D76DCE"/>
    <w:rsid w:val="00D81627"/>
    <w:rsid w:val="00D91383"/>
    <w:rsid w:val="00D9267F"/>
    <w:rsid w:val="00D9413C"/>
    <w:rsid w:val="00D95EC9"/>
    <w:rsid w:val="00DA219E"/>
    <w:rsid w:val="00DA2529"/>
    <w:rsid w:val="00DA4B93"/>
    <w:rsid w:val="00DB11AA"/>
    <w:rsid w:val="00DB130A"/>
    <w:rsid w:val="00DB2D18"/>
    <w:rsid w:val="00DB2EBB"/>
    <w:rsid w:val="00DB3345"/>
    <w:rsid w:val="00DB3EF7"/>
    <w:rsid w:val="00DB64ED"/>
    <w:rsid w:val="00DC0B8A"/>
    <w:rsid w:val="00DC0BE7"/>
    <w:rsid w:val="00DC10A1"/>
    <w:rsid w:val="00DC17C6"/>
    <w:rsid w:val="00DC2F3A"/>
    <w:rsid w:val="00DC3D05"/>
    <w:rsid w:val="00DC655F"/>
    <w:rsid w:val="00DC76CF"/>
    <w:rsid w:val="00DD0836"/>
    <w:rsid w:val="00DD0B59"/>
    <w:rsid w:val="00DD1759"/>
    <w:rsid w:val="00DD3249"/>
    <w:rsid w:val="00DD41C0"/>
    <w:rsid w:val="00DD5496"/>
    <w:rsid w:val="00DD7B81"/>
    <w:rsid w:val="00DD7EBD"/>
    <w:rsid w:val="00DE119E"/>
    <w:rsid w:val="00DE3592"/>
    <w:rsid w:val="00DE62DA"/>
    <w:rsid w:val="00DE72A7"/>
    <w:rsid w:val="00DF0996"/>
    <w:rsid w:val="00DF3050"/>
    <w:rsid w:val="00DF4A24"/>
    <w:rsid w:val="00DF62B6"/>
    <w:rsid w:val="00DF7305"/>
    <w:rsid w:val="00E00392"/>
    <w:rsid w:val="00E011BB"/>
    <w:rsid w:val="00E015CB"/>
    <w:rsid w:val="00E02AAF"/>
    <w:rsid w:val="00E07225"/>
    <w:rsid w:val="00E07C55"/>
    <w:rsid w:val="00E13606"/>
    <w:rsid w:val="00E15D2D"/>
    <w:rsid w:val="00E24DD4"/>
    <w:rsid w:val="00E27087"/>
    <w:rsid w:val="00E348E1"/>
    <w:rsid w:val="00E43B88"/>
    <w:rsid w:val="00E43F10"/>
    <w:rsid w:val="00E4684A"/>
    <w:rsid w:val="00E474DB"/>
    <w:rsid w:val="00E5079D"/>
    <w:rsid w:val="00E5314F"/>
    <w:rsid w:val="00E5409F"/>
    <w:rsid w:val="00E60EAA"/>
    <w:rsid w:val="00E62494"/>
    <w:rsid w:val="00E6330D"/>
    <w:rsid w:val="00E646BC"/>
    <w:rsid w:val="00E664A3"/>
    <w:rsid w:val="00E66905"/>
    <w:rsid w:val="00E71E3B"/>
    <w:rsid w:val="00E75AD1"/>
    <w:rsid w:val="00E767CB"/>
    <w:rsid w:val="00E81544"/>
    <w:rsid w:val="00E875A1"/>
    <w:rsid w:val="00E87A36"/>
    <w:rsid w:val="00E90343"/>
    <w:rsid w:val="00E90ACE"/>
    <w:rsid w:val="00E945F7"/>
    <w:rsid w:val="00E95192"/>
    <w:rsid w:val="00E9647C"/>
    <w:rsid w:val="00EA1377"/>
    <w:rsid w:val="00EB061E"/>
    <w:rsid w:val="00EB1227"/>
    <w:rsid w:val="00EB275F"/>
    <w:rsid w:val="00EC383A"/>
    <w:rsid w:val="00EC3F75"/>
    <w:rsid w:val="00EC6CDF"/>
    <w:rsid w:val="00ED02E5"/>
    <w:rsid w:val="00ED1283"/>
    <w:rsid w:val="00ED15B4"/>
    <w:rsid w:val="00ED63CE"/>
    <w:rsid w:val="00ED7C28"/>
    <w:rsid w:val="00EE20D4"/>
    <w:rsid w:val="00EE6488"/>
    <w:rsid w:val="00EF1CD7"/>
    <w:rsid w:val="00EF6EDD"/>
    <w:rsid w:val="00EF7AC0"/>
    <w:rsid w:val="00F00606"/>
    <w:rsid w:val="00F00995"/>
    <w:rsid w:val="00F021FA"/>
    <w:rsid w:val="00F04E7C"/>
    <w:rsid w:val="00F0612D"/>
    <w:rsid w:val="00F222B8"/>
    <w:rsid w:val="00F25AFC"/>
    <w:rsid w:val="00F265BC"/>
    <w:rsid w:val="00F314DE"/>
    <w:rsid w:val="00F3284D"/>
    <w:rsid w:val="00F369B9"/>
    <w:rsid w:val="00F36CBE"/>
    <w:rsid w:val="00F4125A"/>
    <w:rsid w:val="00F4277B"/>
    <w:rsid w:val="00F44087"/>
    <w:rsid w:val="00F4456E"/>
    <w:rsid w:val="00F4465A"/>
    <w:rsid w:val="00F44755"/>
    <w:rsid w:val="00F541C1"/>
    <w:rsid w:val="00F54258"/>
    <w:rsid w:val="00F55CEC"/>
    <w:rsid w:val="00F560D9"/>
    <w:rsid w:val="00F61A6A"/>
    <w:rsid w:val="00F62E97"/>
    <w:rsid w:val="00F64209"/>
    <w:rsid w:val="00F64762"/>
    <w:rsid w:val="00F65A3D"/>
    <w:rsid w:val="00F66972"/>
    <w:rsid w:val="00F67629"/>
    <w:rsid w:val="00F706E9"/>
    <w:rsid w:val="00F900AA"/>
    <w:rsid w:val="00F93BF5"/>
    <w:rsid w:val="00F9412C"/>
    <w:rsid w:val="00FA419F"/>
    <w:rsid w:val="00FA65E9"/>
    <w:rsid w:val="00FA68CE"/>
    <w:rsid w:val="00FA6F20"/>
    <w:rsid w:val="00FB3C67"/>
    <w:rsid w:val="00FB75D8"/>
    <w:rsid w:val="00FC3DC2"/>
    <w:rsid w:val="00FC781B"/>
    <w:rsid w:val="00FD3946"/>
    <w:rsid w:val="00FD4BA6"/>
    <w:rsid w:val="00FD6C72"/>
    <w:rsid w:val="00FE0F59"/>
    <w:rsid w:val="00FE499B"/>
    <w:rsid w:val="00FF6F15"/>
    <w:rsid w:val="00FF7DF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4 Char,Footnote Text Char1,Footnote Text Char2,Footnote Text Char4 Char1 Char,Footnote Text Char4 Char1 Char Char Char Char,Footnote Text Char7 Char,Footnote Text Char7 Char Char Char Char,f,fn,fn Char Char"/>
    <w:link w:val="FootnoteTextChar"/>
    <w:rsid w:val="000E3D42"/>
    <w:pPr>
      <w:spacing w:after="120"/>
    </w:pPr>
  </w:style>
  <w:style w:type="character" w:styleId="FootnoteReference">
    <w:name w:val="footnote reference"/>
    <w:aliases w:val="(NECG) Footnote Reference,Appel note de bas de p,FR,Footnote Reference/,Style 12,Style 124,Style 13,Style 17,Style 3,Style 4,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noteTextChar">
    <w:name w:val="Footnote Text Char"/>
    <w:aliases w:val="Footnote Text Char Char Char4 Char Char,Footnote Text Char1 Char,Footnote Text Char4 Char1 Char Char,Footnote Text Char4 Char1 Char Char Char Char Char,Footnote Text Char7 Char Char,Footnote Text Char7 Char Char Char Char Char,fn Char"/>
    <w:link w:val="FootnoteText"/>
    <w:rsid w:val="00EB061E"/>
  </w:style>
  <w:style w:type="paragraph" w:customStyle="1" w:styleId="Paranum0">
    <w:name w:val="Paranum"/>
    <w:rsid w:val="00932D93"/>
    <w:pPr>
      <w:numPr>
        <w:numId w:val="12"/>
      </w:numPr>
      <w:tabs>
        <w:tab w:val="left" w:pos="1440"/>
      </w:tabs>
      <w:spacing w:after="240"/>
      <w:jc w:val="both"/>
    </w:pPr>
    <w:rPr>
      <w:sz w:val="22"/>
    </w:rPr>
  </w:style>
  <w:style w:type="character" w:customStyle="1" w:styleId="ParaNumChar">
    <w:name w:val="ParaNum Char"/>
    <w:link w:val="ParaNum"/>
    <w:rsid w:val="00932D93"/>
    <w:rPr>
      <w:snapToGrid w:val="0"/>
      <w:kern w:val="28"/>
      <w:sz w:val="22"/>
    </w:rPr>
  </w:style>
  <w:style w:type="paragraph" w:styleId="BalloonText">
    <w:name w:val="Balloon Text"/>
    <w:basedOn w:val="Normal"/>
    <w:link w:val="BalloonTextChar"/>
    <w:rsid w:val="00932D93"/>
    <w:rPr>
      <w:rFonts w:ascii="Segoe UI" w:hAnsi="Segoe UI" w:cs="Segoe UI"/>
      <w:sz w:val="18"/>
      <w:szCs w:val="18"/>
    </w:rPr>
  </w:style>
  <w:style w:type="character" w:customStyle="1" w:styleId="BalloonTextChar">
    <w:name w:val="Balloon Text Char"/>
    <w:link w:val="BalloonText"/>
    <w:rsid w:val="00932D93"/>
    <w:rPr>
      <w:rFonts w:ascii="Segoe UI" w:hAnsi="Segoe UI" w:cs="Segoe UI"/>
      <w:snapToGrid w:val="0"/>
      <w:kern w:val="28"/>
      <w:sz w:val="18"/>
      <w:szCs w:val="18"/>
    </w:rPr>
  </w:style>
  <w:style w:type="character" w:styleId="CommentReference">
    <w:name w:val="annotation reference"/>
    <w:basedOn w:val="DefaultParagraphFont"/>
    <w:semiHidden/>
    <w:unhideWhenUsed/>
    <w:rsid w:val="00CA55E7"/>
    <w:rPr>
      <w:sz w:val="16"/>
      <w:szCs w:val="16"/>
    </w:rPr>
  </w:style>
  <w:style w:type="paragraph" w:styleId="CommentText">
    <w:name w:val="annotation text"/>
    <w:basedOn w:val="Normal"/>
    <w:link w:val="CommentTextChar"/>
    <w:semiHidden/>
    <w:unhideWhenUsed/>
    <w:rsid w:val="00CA55E7"/>
    <w:rPr>
      <w:sz w:val="20"/>
    </w:rPr>
  </w:style>
  <w:style w:type="character" w:customStyle="1" w:styleId="CommentTextChar">
    <w:name w:val="Comment Text Char"/>
    <w:basedOn w:val="DefaultParagraphFont"/>
    <w:link w:val="CommentText"/>
    <w:semiHidden/>
    <w:rsid w:val="00CA55E7"/>
    <w:rPr>
      <w:snapToGrid w:val="0"/>
      <w:kern w:val="28"/>
    </w:rPr>
  </w:style>
  <w:style w:type="paragraph" w:styleId="CommentSubject">
    <w:name w:val="annotation subject"/>
    <w:basedOn w:val="CommentText"/>
    <w:next w:val="CommentText"/>
    <w:link w:val="CommentSubjectChar"/>
    <w:semiHidden/>
    <w:unhideWhenUsed/>
    <w:rsid w:val="00CA55E7"/>
    <w:rPr>
      <w:b/>
      <w:bCs/>
    </w:rPr>
  </w:style>
  <w:style w:type="character" w:customStyle="1" w:styleId="CommentSubjectChar">
    <w:name w:val="Comment Subject Char"/>
    <w:basedOn w:val="CommentTextChar"/>
    <w:link w:val="CommentSubject"/>
    <w:semiHidden/>
    <w:rsid w:val="00CA55E7"/>
    <w:rPr>
      <w:b/>
      <w:bCs/>
      <w:snapToGrid w:val="0"/>
      <w:kern w:val="28"/>
    </w:rPr>
  </w:style>
  <w:style w:type="paragraph" w:styleId="Revision">
    <w:name w:val="Revision"/>
    <w:hidden/>
    <w:uiPriority w:val="99"/>
    <w:semiHidden/>
    <w:rsid w:val="00CA55E7"/>
    <w:rPr>
      <w:snapToGrid w:val="0"/>
      <w:kern w:val="28"/>
      <w:sz w:val="22"/>
    </w:rPr>
  </w:style>
  <w:style w:type="character" w:customStyle="1" w:styleId="UnresolvedMention1">
    <w:name w:val="Unresolved Mention1"/>
    <w:basedOn w:val="DefaultParagraphFont"/>
    <w:uiPriority w:val="99"/>
    <w:semiHidden/>
    <w:unhideWhenUsed/>
    <w:rsid w:val="00936AA6"/>
    <w:rPr>
      <w:color w:val="808080"/>
      <w:shd w:val="clear" w:color="auto" w:fill="E6E6E6"/>
    </w:rPr>
  </w:style>
  <w:style w:type="paragraph" w:customStyle="1" w:styleId="AppNum">
    <w:name w:val="App Num"/>
    <w:basedOn w:val="Normal"/>
    <w:rsid w:val="00BF6E00"/>
    <w:pPr>
      <w:numPr>
        <w:numId w:val="15"/>
      </w:numPr>
    </w:pPr>
    <w:rPr>
      <w:rFonts w:ascii="Courier New" w:hAnsi="Courier New"/>
      <w:kern w:val="0"/>
      <w:sz w:val="24"/>
    </w:rPr>
  </w:style>
  <w:style w:type="paragraph" w:styleId="BodyText">
    <w:name w:val="Body Text"/>
    <w:basedOn w:val="Normal"/>
    <w:link w:val="BodyTextChar"/>
    <w:rsid w:val="0065028B"/>
    <w:pPr>
      <w:widowControl/>
      <w:spacing w:after="240"/>
      <w:jc w:val="both"/>
    </w:pPr>
    <w:rPr>
      <w:snapToGrid/>
      <w:kern w:val="0"/>
    </w:rPr>
  </w:style>
  <w:style w:type="character" w:customStyle="1" w:styleId="BodyTextChar">
    <w:name w:val="Body Text Char"/>
    <w:basedOn w:val="DefaultParagraphFont"/>
    <w:link w:val="BodyText"/>
    <w:rsid w:val="0065028B"/>
    <w:rPr>
      <w:sz w:val="22"/>
    </w:rPr>
  </w:style>
  <w:style w:type="character" w:styleId="FollowedHyperlink">
    <w:name w:val="FollowedHyperlink"/>
    <w:basedOn w:val="DefaultParagraphFont"/>
    <w:semiHidden/>
    <w:unhideWhenUsed/>
    <w:rsid w:val="00D81627"/>
    <w:rPr>
      <w:color w:val="954F72" w:themeColor="followedHyperlink"/>
      <w:u w:val="single"/>
    </w:rPr>
  </w:style>
  <w:style w:type="character" w:customStyle="1" w:styleId="UnresolvedMention2">
    <w:name w:val="Unresolved Mention2"/>
    <w:basedOn w:val="DefaultParagraphFont"/>
    <w:uiPriority w:val="99"/>
    <w:semiHidden/>
    <w:unhideWhenUsed/>
    <w:rsid w:val="00D816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13928-A0FA-4647-BBF8-0FCB16BAD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Template>
  <TotalTime>0</TotalTime>
  <Pages>3</Pages>
  <Words>1731</Words>
  <Characters>9867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11575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cp:revision>1</cp:revision>
  <dcterms:created xsi:type="dcterms:W3CDTF">2018-05-14T20:40:27Z</dcterms:created>
  <dcterms:modified xsi:type="dcterms:W3CDTF">2018-05-14T20:40:27Z</dcterms:modified>
</cp:coreProperties>
</file>