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CA5686">
      <w:pPr>
        <w:jc w:val="right"/>
        <w:rPr>
          <w:b/>
          <w:sz w:val="22"/>
          <w:szCs w:val="22"/>
        </w:rPr>
      </w:pPr>
      <w:bookmarkStart w:id="0" w:name="_GoBack"/>
      <w:bookmarkEnd w:id="0"/>
    </w:p>
    <w:p w:rsidR="00CA5686">
      <w:pPr>
        <w:jc w:val="right"/>
        <w:rPr>
          <w:sz w:val="22"/>
          <w:szCs w:val="22"/>
        </w:rPr>
      </w:pPr>
      <w:r>
        <w:rPr>
          <w:sz w:val="22"/>
          <w:szCs w:val="22"/>
        </w:rPr>
        <w:t xml:space="preserve">DA </w:t>
      </w:r>
      <w:r w:rsidR="00D005D8">
        <w:rPr>
          <w:sz w:val="22"/>
          <w:szCs w:val="22"/>
        </w:rPr>
        <w:t>1</w:t>
      </w:r>
      <w:r w:rsidR="005720B0">
        <w:rPr>
          <w:sz w:val="22"/>
          <w:szCs w:val="22"/>
        </w:rPr>
        <w:t>8</w:t>
      </w:r>
      <w:r>
        <w:rPr>
          <w:sz w:val="22"/>
          <w:szCs w:val="22"/>
        </w:rPr>
        <w:t>-</w:t>
      </w:r>
      <w:r w:rsidR="009B32AB">
        <w:rPr>
          <w:sz w:val="22"/>
          <w:szCs w:val="22"/>
        </w:rPr>
        <w:t>49</w:t>
      </w:r>
    </w:p>
    <w:p w:rsidR="00CA5686">
      <w:pPr>
        <w:rPr>
          <w:sz w:val="22"/>
          <w:szCs w:val="22"/>
        </w:rPr>
      </w:pPr>
    </w:p>
    <w:p w:rsidR="00CA5686">
      <w:pPr>
        <w:suppressAutoHyphens/>
        <w:rPr>
          <w:sz w:val="22"/>
        </w:rPr>
      </w:pPr>
      <w:r>
        <w:rPr>
          <w:sz w:val="22"/>
        </w:rPr>
        <w:t>David Sheekey</w:t>
      </w:r>
    </w:p>
    <w:p w:rsidR="00CA5686">
      <w:pPr>
        <w:suppressAutoHyphens/>
        <w:rPr>
          <w:sz w:val="22"/>
        </w:rPr>
      </w:pPr>
      <w:r>
        <w:rPr>
          <w:sz w:val="22"/>
        </w:rPr>
        <w:t>Product and Approvals Manager</w:t>
      </w:r>
      <w:r>
        <w:rPr>
          <w:sz w:val="22"/>
        </w:rPr>
        <w:t xml:space="preserve">  </w:t>
      </w:r>
    </w:p>
    <w:p w:rsidR="00CA5686">
      <w:pPr>
        <w:suppressAutoHyphens/>
        <w:rPr>
          <w:sz w:val="22"/>
        </w:rPr>
      </w:pPr>
      <w:r>
        <w:rPr>
          <w:sz w:val="22"/>
        </w:rPr>
        <w:t>Ocean Signal</w:t>
      </w:r>
    </w:p>
    <w:p w:rsidR="00CA5686">
      <w:pPr>
        <w:suppressAutoHyphens/>
        <w:rPr>
          <w:sz w:val="22"/>
        </w:rPr>
      </w:pPr>
      <w:r>
        <w:rPr>
          <w:sz w:val="22"/>
        </w:rPr>
        <w:t>Unit 4, Ocivan Way</w:t>
      </w:r>
    </w:p>
    <w:p w:rsidR="00CA5686">
      <w:pPr>
        <w:suppressAutoHyphens/>
        <w:rPr>
          <w:sz w:val="22"/>
        </w:rPr>
      </w:pPr>
      <w:r>
        <w:rPr>
          <w:sz w:val="22"/>
        </w:rPr>
        <w:t>Margate, Kent CT9 4NN</w:t>
      </w:r>
    </w:p>
    <w:p w:rsidR="00C31154">
      <w:pPr>
        <w:suppressAutoHyphens/>
        <w:rPr>
          <w:sz w:val="22"/>
        </w:rPr>
      </w:pPr>
      <w:r>
        <w:rPr>
          <w:sz w:val="22"/>
        </w:rPr>
        <w:t>United Kingdom</w:t>
      </w:r>
    </w:p>
    <w:p w:rsidR="00CA5686">
      <w:pPr>
        <w:suppressAutoHyphens/>
        <w:rPr>
          <w:sz w:val="22"/>
        </w:rPr>
      </w:pPr>
    </w:p>
    <w:p w:rsidR="00CA5686">
      <w:pPr>
        <w:suppressAutoHyphens/>
        <w:ind w:firstLine="720"/>
        <w:rPr>
          <w:sz w:val="22"/>
        </w:rPr>
      </w:pPr>
      <w:r>
        <w:rPr>
          <w:sz w:val="22"/>
        </w:rPr>
        <w:t xml:space="preserve">RE: </w:t>
      </w:r>
      <w:r w:rsidR="00F15E20">
        <w:rPr>
          <w:sz w:val="22"/>
        </w:rPr>
        <w:t>Ocean Signal r</w:t>
      </w:r>
      <w:r w:rsidR="00E735C2">
        <w:rPr>
          <w:sz w:val="22"/>
        </w:rPr>
        <w:t xml:space="preserve">escueME MOB1 </w:t>
      </w:r>
      <w:r w:rsidR="001568D8">
        <w:rPr>
          <w:sz w:val="22"/>
        </w:rPr>
        <w:t>Marine Survivor Locating Device</w:t>
      </w:r>
      <w:r>
        <w:rPr>
          <w:sz w:val="22"/>
        </w:rPr>
        <w:t xml:space="preserve"> </w:t>
      </w:r>
    </w:p>
    <w:p w:rsidR="00CA5686">
      <w:pPr>
        <w:suppressAutoHyphens/>
        <w:rPr>
          <w:sz w:val="22"/>
        </w:rPr>
      </w:pPr>
    </w:p>
    <w:p w:rsidR="00CA5686">
      <w:pPr>
        <w:suppressAutoHyphens/>
        <w:rPr>
          <w:sz w:val="22"/>
        </w:rPr>
      </w:pPr>
      <w:r>
        <w:rPr>
          <w:sz w:val="22"/>
        </w:rPr>
        <w:t>Dear M</w:t>
      </w:r>
      <w:r w:rsidR="00B02EB7">
        <w:rPr>
          <w:sz w:val="22"/>
        </w:rPr>
        <w:t>r</w:t>
      </w:r>
      <w:r>
        <w:rPr>
          <w:sz w:val="22"/>
        </w:rPr>
        <w:t xml:space="preserve">. </w:t>
      </w:r>
      <w:r w:rsidR="006900FD">
        <w:rPr>
          <w:sz w:val="22"/>
        </w:rPr>
        <w:t>Sheekey</w:t>
      </w:r>
      <w:r>
        <w:rPr>
          <w:sz w:val="22"/>
        </w:rPr>
        <w:t>:</w:t>
      </w:r>
    </w:p>
    <w:p w:rsidR="00CA5686">
      <w:pPr>
        <w:suppressAutoHyphens/>
        <w:rPr>
          <w:sz w:val="22"/>
        </w:rPr>
      </w:pPr>
    </w:p>
    <w:p w:rsidR="0019651F" w:rsidP="0019651F">
      <w:pPr>
        <w:suppressAutoHyphens/>
        <w:rPr>
          <w:sz w:val="22"/>
          <w:szCs w:val="22"/>
        </w:rPr>
      </w:pPr>
      <w:r>
        <w:rPr>
          <w:sz w:val="22"/>
        </w:rPr>
        <w:tab/>
        <w:t xml:space="preserve">We have before us your letter, </w:t>
      </w:r>
      <w:r w:rsidR="006900FD">
        <w:rPr>
          <w:sz w:val="22"/>
        </w:rPr>
        <w:t>dated December 1</w:t>
      </w:r>
      <w:r w:rsidR="00C31154">
        <w:rPr>
          <w:sz w:val="22"/>
        </w:rPr>
        <w:t>3</w:t>
      </w:r>
      <w:r w:rsidR="006900FD">
        <w:rPr>
          <w:sz w:val="22"/>
        </w:rPr>
        <w:t>, 2017</w:t>
      </w:r>
      <w:r>
        <w:rPr>
          <w:sz w:val="22"/>
        </w:rPr>
        <w:t>, requesting a waive</w:t>
      </w:r>
      <w:r w:rsidR="00C31154">
        <w:rPr>
          <w:sz w:val="22"/>
        </w:rPr>
        <w:t xml:space="preserve">r of </w:t>
      </w:r>
      <w:r w:rsidR="004A3947">
        <w:rPr>
          <w:sz w:val="22"/>
        </w:rPr>
        <w:t xml:space="preserve">section 95.2991(b) of </w:t>
      </w:r>
      <w:r w:rsidR="00C31154">
        <w:rPr>
          <w:sz w:val="22"/>
        </w:rPr>
        <w:t>the Commission's r</w:t>
      </w:r>
      <w:r w:rsidR="004A3947">
        <w:rPr>
          <w:sz w:val="22"/>
        </w:rPr>
        <w:t>ules</w:t>
      </w:r>
      <w:r>
        <w:rPr>
          <w:rStyle w:val="FootnoteReference"/>
          <w:sz w:val="22"/>
          <w:szCs w:val="22"/>
        </w:rPr>
        <w:footnoteReference w:id="2"/>
      </w:r>
      <w:r w:rsidR="004A3947">
        <w:rPr>
          <w:sz w:val="22"/>
        </w:rPr>
        <w:t xml:space="preserve"> </w:t>
      </w:r>
      <w:r w:rsidR="000C7B8E">
        <w:rPr>
          <w:sz w:val="22"/>
        </w:rPr>
        <w:t>for</w:t>
      </w:r>
      <w:r w:rsidR="001C7E59">
        <w:rPr>
          <w:sz w:val="22"/>
        </w:rPr>
        <w:t xml:space="preserve"> </w:t>
      </w:r>
      <w:r w:rsidR="000C7B8E">
        <w:rPr>
          <w:sz w:val="22"/>
        </w:rPr>
        <w:t xml:space="preserve">the </w:t>
      </w:r>
      <w:r w:rsidR="00106412">
        <w:rPr>
          <w:sz w:val="22"/>
        </w:rPr>
        <w:t>Oc</w:t>
      </w:r>
      <w:r w:rsidR="006771AB">
        <w:rPr>
          <w:sz w:val="22"/>
        </w:rPr>
        <w:t>ean Signal</w:t>
      </w:r>
      <w:r w:rsidR="00DE2F1B">
        <w:rPr>
          <w:sz w:val="22"/>
        </w:rPr>
        <w:t xml:space="preserve"> </w:t>
      </w:r>
      <w:r w:rsidR="001C7E59">
        <w:rPr>
          <w:sz w:val="22"/>
        </w:rPr>
        <w:t>r</w:t>
      </w:r>
      <w:r w:rsidR="006900FD">
        <w:rPr>
          <w:sz w:val="22"/>
        </w:rPr>
        <w:t xml:space="preserve">escueME </w:t>
      </w:r>
      <w:r w:rsidRPr="001B543F" w:rsidR="006900FD">
        <w:rPr>
          <w:sz w:val="22"/>
          <w:szCs w:val="22"/>
        </w:rPr>
        <w:t xml:space="preserve">MOB1 </w:t>
      </w:r>
      <w:r w:rsidRPr="001B543F" w:rsidR="00D15BD4">
        <w:rPr>
          <w:sz w:val="22"/>
          <w:szCs w:val="22"/>
        </w:rPr>
        <w:t xml:space="preserve">Maritime Survivor Locating Device </w:t>
      </w:r>
      <w:r w:rsidRPr="001B543F" w:rsidR="001B543F">
        <w:rPr>
          <w:sz w:val="22"/>
          <w:szCs w:val="22"/>
        </w:rPr>
        <w:t>(</w:t>
      </w:r>
      <w:r w:rsidRPr="001B543F" w:rsidR="006900FD">
        <w:rPr>
          <w:sz w:val="22"/>
          <w:szCs w:val="22"/>
        </w:rPr>
        <w:t>MSLD</w:t>
      </w:r>
      <w:r w:rsidRPr="001B543F" w:rsidR="001B543F">
        <w:rPr>
          <w:sz w:val="22"/>
          <w:szCs w:val="22"/>
        </w:rPr>
        <w:t>)</w:t>
      </w:r>
      <w:r w:rsidRPr="001B543F" w:rsidR="00DE2F1B">
        <w:rPr>
          <w:sz w:val="22"/>
          <w:szCs w:val="22"/>
        </w:rPr>
        <w:t xml:space="preserve"> until March 3</w:t>
      </w:r>
      <w:r w:rsidRPr="001B543F" w:rsidR="001C7E59">
        <w:rPr>
          <w:sz w:val="22"/>
          <w:szCs w:val="22"/>
        </w:rPr>
        <w:t>0</w:t>
      </w:r>
      <w:r w:rsidRPr="001B543F" w:rsidR="00DE2F1B">
        <w:rPr>
          <w:sz w:val="22"/>
          <w:szCs w:val="22"/>
        </w:rPr>
        <w:t>, 2018</w:t>
      </w:r>
      <w:r w:rsidRPr="001B543F" w:rsidR="00EA2123">
        <w:rPr>
          <w:sz w:val="22"/>
          <w:szCs w:val="22"/>
        </w:rPr>
        <w:t>.</w:t>
      </w:r>
      <w:r>
        <w:rPr>
          <w:rStyle w:val="FootnoteReference"/>
          <w:sz w:val="22"/>
          <w:szCs w:val="22"/>
        </w:rPr>
        <w:footnoteReference w:id="3"/>
      </w:r>
      <w:r w:rsidRPr="001B543F">
        <w:rPr>
          <w:sz w:val="22"/>
          <w:szCs w:val="22"/>
        </w:rPr>
        <w:t xml:space="preserve">  </w:t>
      </w:r>
      <w:r w:rsidRPr="001B543F">
        <w:rPr>
          <w:sz w:val="22"/>
          <w:szCs w:val="22"/>
        </w:rPr>
        <w:t xml:space="preserve">For the reasons set forth below, we </w:t>
      </w:r>
      <w:r w:rsidRPr="001B543F" w:rsidR="00C05A40">
        <w:rPr>
          <w:sz w:val="22"/>
          <w:szCs w:val="22"/>
        </w:rPr>
        <w:t>grant</w:t>
      </w:r>
      <w:r w:rsidRPr="001B543F">
        <w:rPr>
          <w:sz w:val="22"/>
          <w:szCs w:val="22"/>
        </w:rPr>
        <w:t xml:space="preserve"> the request.</w:t>
      </w:r>
    </w:p>
    <w:p w:rsidR="004A3947" w:rsidP="0019651F">
      <w:pPr>
        <w:suppressAutoHyphens/>
        <w:rPr>
          <w:sz w:val="22"/>
          <w:szCs w:val="22"/>
        </w:rPr>
      </w:pPr>
    </w:p>
    <w:p w:rsidR="004A3947" w:rsidRPr="001B543F" w:rsidP="0019651F">
      <w:pPr>
        <w:suppressAutoHyphens/>
        <w:rPr>
          <w:sz w:val="22"/>
          <w:szCs w:val="22"/>
        </w:rPr>
      </w:pPr>
      <w:r>
        <w:rPr>
          <w:sz w:val="22"/>
          <w:szCs w:val="22"/>
        </w:rPr>
        <w:tab/>
      </w:r>
      <w:r w:rsidRPr="004A3947">
        <w:rPr>
          <w:sz w:val="22"/>
          <w:szCs w:val="22"/>
        </w:rPr>
        <w:t xml:space="preserve">MSLDs are </w:t>
      </w:r>
      <w:bookmarkStart w:id="1" w:name="_Hlk503429996"/>
      <w:r w:rsidRPr="004A3947">
        <w:rPr>
          <w:sz w:val="22"/>
          <w:szCs w:val="22"/>
        </w:rPr>
        <w:t>intended for use by persons at risk of falling into the water such as mariners and workers on marine installations or docks, or by divers returning to the surface out of sight of their dive boats</w:t>
      </w:r>
      <w:bookmarkEnd w:id="1"/>
      <w:r w:rsidRPr="004A3947">
        <w:rPr>
          <w:sz w:val="22"/>
          <w:szCs w:val="22"/>
        </w:rPr>
        <w:t>.</w:t>
      </w:r>
      <w:r>
        <w:rPr>
          <w:sz w:val="22"/>
          <w:szCs w:val="22"/>
        </w:rPr>
        <w:t xml:space="preserve">  </w:t>
      </w:r>
      <w:r w:rsidRPr="004A3947">
        <w:rPr>
          <w:sz w:val="22"/>
          <w:szCs w:val="22"/>
        </w:rPr>
        <w:t>They can be worn on or as part of a garment or life jacket, and are intended to facilitate the rescue of personnel in the vicinity of their vessel or structure so that immediate</w:t>
      </w:r>
      <w:r>
        <w:rPr>
          <w:sz w:val="22"/>
          <w:szCs w:val="22"/>
        </w:rPr>
        <w:t xml:space="preserve"> </w:t>
      </w:r>
      <w:r w:rsidRPr="004A3947">
        <w:rPr>
          <w:sz w:val="22"/>
          <w:szCs w:val="22"/>
        </w:rPr>
        <w:t>assistance can be rendered without a time-consuming and expensive search and rescue</w:t>
      </w:r>
      <w:r>
        <w:rPr>
          <w:sz w:val="22"/>
          <w:szCs w:val="22"/>
        </w:rPr>
        <w:t xml:space="preserve"> </w:t>
      </w:r>
      <w:r w:rsidRPr="004A3947">
        <w:rPr>
          <w:sz w:val="22"/>
          <w:szCs w:val="22"/>
        </w:rPr>
        <w:t>operation.</w:t>
      </w:r>
      <w:r>
        <w:rPr>
          <w:sz w:val="22"/>
          <w:szCs w:val="22"/>
        </w:rPr>
        <w:t xml:space="preserve">  Formerly, MSLDs were not authorized under the Commission’s rules, because they </w:t>
      </w:r>
      <w:r w:rsidRPr="004A3947">
        <w:rPr>
          <w:sz w:val="22"/>
          <w:szCs w:val="22"/>
        </w:rPr>
        <w:t>do not meet the technical requirements for E</w:t>
      </w:r>
      <w:r>
        <w:rPr>
          <w:sz w:val="22"/>
          <w:szCs w:val="22"/>
        </w:rPr>
        <w:t xml:space="preserve">mergency </w:t>
      </w:r>
      <w:r w:rsidRPr="004A3947">
        <w:rPr>
          <w:sz w:val="22"/>
          <w:szCs w:val="22"/>
        </w:rPr>
        <w:t>P</w:t>
      </w:r>
      <w:r>
        <w:rPr>
          <w:sz w:val="22"/>
          <w:szCs w:val="22"/>
        </w:rPr>
        <w:t xml:space="preserve">osition </w:t>
      </w:r>
      <w:r w:rsidRPr="004A3947">
        <w:rPr>
          <w:sz w:val="22"/>
          <w:szCs w:val="22"/>
        </w:rPr>
        <w:t>I</w:t>
      </w:r>
      <w:r>
        <w:rPr>
          <w:sz w:val="22"/>
          <w:szCs w:val="22"/>
        </w:rPr>
        <w:t xml:space="preserve">ndicating </w:t>
      </w:r>
      <w:r w:rsidRPr="004A3947">
        <w:rPr>
          <w:sz w:val="22"/>
          <w:szCs w:val="22"/>
        </w:rPr>
        <w:t>R</w:t>
      </w:r>
      <w:r>
        <w:rPr>
          <w:sz w:val="22"/>
          <w:szCs w:val="22"/>
        </w:rPr>
        <w:t xml:space="preserve">adio </w:t>
      </w:r>
      <w:r w:rsidRPr="004A3947">
        <w:rPr>
          <w:sz w:val="22"/>
          <w:szCs w:val="22"/>
        </w:rPr>
        <w:t>B</w:t>
      </w:r>
      <w:r>
        <w:rPr>
          <w:sz w:val="22"/>
          <w:szCs w:val="22"/>
        </w:rPr>
        <w:t>eacon</w:t>
      </w:r>
      <w:r w:rsidRPr="004A3947">
        <w:rPr>
          <w:sz w:val="22"/>
          <w:szCs w:val="22"/>
        </w:rPr>
        <w:t>s</w:t>
      </w:r>
      <w:r>
        <w:rPr>
          <w:sz w:val="22"/>
          <w:szCs w:val="22"/>
        </w:rPr>
        <w:t>.</w:t>
      </w:r>
      <w:r w:rsidRPr="004A3947">
        <w:rPr>
          <w:sz w:val="22"/>
          <w:szCs w:val="22"/>
        </w:rPr>
        <w:t xml:space="preserve"> </w:t>
      </w:r>
      <w:r>
        <w:rPr>
          <w:sz w:val="22"/>
          <w:szCs w:val="22"/>
        </w:rPr>
        <w:t xml:space="preserve"> </w:t>
      </w:r>
      <w:r w:rsidRPr="004A3947">
        <w:rPr>
          <w:sz w:val="22"/>
          <w:szCs w:val="22"/>
        </w:rPr>
        <w:t xml:space="preserve">Because MSLDs contribute to maritime safety, </w:t>
      </w:r>
      <w:r>
        <w:rPr>
          <w:sz w:val="22"/>
          <w:szCs w:val="22"/>
        </w:rPr>
        <w:t xml:space="preserve">however, </w:t>
      </w:r>
      <w:r w:rsidRPr="004A3947">
        <w:rPr>
          <w:sz w:val="22"/>
          <w:szCs w:val="22"/>
        </w:rPr>
        <w:t xml:space="preserve">the Wireless Telecommunications Bureau </w:t>
      </w:r>
      <w:r>
        <w:rPr>
          <w:sz w:val="22"/>
          <w:szCs w:val="22"/>
        </w:rPr>
        <w:t>granted waivers of the p</w:t>
      </w:r>
      <w:r w:rsidRPr="004A3947">
        <w:rPr>
          <w:sz w:val="22"/>
          <w:szCs w:val="22"/>
        </w:rPr>
        <w:t xml:space="preserve">art 80 rules to permit the certification and use of </w:t>
      </w:r>
      <w:r>
        <w:rPr>
          <w:sz w:val="22"/>
          <w:szCs w:val="22"/>
        </w:rPr>
        <w:t xml:space="preserve">certain </w:t>
      </w:r>
      <w:r w:rsidRPr="004A3947">
        <w:rPr>
          <w:sz w:val="22"/>
          <w:szCs w:val="22"/>
        </w:rPr>
        <w:t>MSLDs.</w:t>
      </w:r>
      <w:r>
        <w:rPr>
          <w:rStyle w:val="FootnoteReference"/>
          <w:sz w:val="22"/>
          <w:szCs w:val="22"/>
        </w:rPr>
        <w:footnoteReference w:id="4"/>
      </w:r>
      <w:r>
        <w:rPr>
          <w:sz w:val="22"/>
          <w:szCs w:val="22"/>
        </w:rPr>
        <w:t xml:space="preserve">  Ocean Signal was granted such a waiver </w:t>
      </w:r>
      <w:r w:rsidR="009C49C9">
        <w:rPr>
          <w:sz w:val="22"/>
          <w:szCs w:val="22"/>
        </w:rPr>
        <w:t xml:space="preserve">for the </w:t>
      </w:r>
      <w:r w:rsidR="009C49C9">
        <w:rPr>
          <w:sz w:val="22"/>
        </w:rPr>
        <w:t xml:space="preserve">rescueME </w:t>
      </w:r>
      <w:r w:rsidRPr="001B543F" w:rsidR="009C49C9">
        <w:rPr>
          <w:sz w:val="22"/>
          <w:szCs w:val="22"/>
        </w:rPr>
        <w:t>MOB1</w:t>
      </w:r>
      <w:r w:rsidR="009C49C9">
        <w:rPr>
          <w:sz w:val="22"/>
          <w:szCs w:val="22"/>
        </w:rPr>
        <w:t xml:space="preserve"> in 2014.</w:t>
      </w:r>
      <w:r>
        <w:rPr>
          <w:rStyle w:val="FootnoteReference"/>
          <w:sz w:val="22"/>
          <w:szCs w:val="22"/>
        </w:rPr>
        <w:footnoteReference w:id="5"/>
      </w:r>
    </w:p>
    <w:p w:rsidR="0019651F" w:rsidRPr="001B543F">
      <w:pPr>
        <w:suppressAutoHyphens/>
        <w:rPr>
          <w:sz w:val="22"/>
          <w:szCs w:val="22"/>
        </w:rPr>
      </w:pPr>
      <w:r w:rsidRPr="001B543F">
        <w:rPr>
          <w:sz w:val="22"/>
          <w:szCs w:val="22"/>
        </w:rPr>
        <w:t xml:space="preserve"> </w:t>
      </w:r>
    </w:p>
    <w:p w:rsidR="003F7709" w:rsidP="00561F32">
      <w:pPr>
        <w:suppressAutoHyphens/>
        <w:ind w:firstLine="720"/>
        <w:rPr>
          <w:sz w:val="22"/>
          <w:szCs w:val="22"/>
        </w:rPr>
      </w:pPr>
      <w:r>
        <w:rPr>
          <w:sz w:val="22"/>
          <w:szCs w:val="22"/>
        </w:rPr>
        <w:t xml:space="preserve">In 2016, the Commission amended its </w:t>
      </w:r>
      <w:r w:rsidR="003C192F">
        <w:rPr>
          <w:sz w:val="22"/>
          <w:szCs w:val="22"/>
        </w:rPr>
        <w:t xml:space="preserve">part 95 </w:t>
      </w:r>
      <w:r>
        <w:rPr>
          <w:sz w:val="22"/>
          <w:szCs w:val="22"/>
        </w:rPr>
        <w:t xml:space="preserve">rules to authorize MSLDs </w:t>
      </w:r>
      <w:r w:rsidR="003C192F">
        <w:rPr>
          <w:sz w:val="22"/>
          <w:szCs w:val="22"/>
        </w:rPr>
        <w:t>that meet the technical and performance standards in RTCM Standard 11901.1</w:t>
      </w:r>
      <w:r>
        <w:rPr>
          <w:sz w:val="22"/>
          <w:szCs w:val="22"/>
        </w:rPr>
        <w:t>.</w:t>
      </w:r>
      <w:r>
        <w:rPr>
          <w:rStyle w:val="FootnoteReference"/>
          <w:sz w:val="22"/>
          <w:szCs w:val="22"/>
        </w:rPr>
        <w:footnoteReference w:id="6"/>
      </w:r>
      <w:r w:rsidR="003C192F">
        <w:rPr>
          <w:sz w:val="22"/>
          <w:szCs w:val="22"/>
        </w:rPr>
        <w:t xml:space="preserve">  It provided that MSLDs previously approved by </w:t>
      </w:r>
      <w:r w:rsidR="003C192F">
        <w:rPr>
          <w:sz w:val="22"/>
          <w:szCs w:val="22"/>
        </w:rPr>
        <w:t>waiver that do not comply with th</w:t>
      </w:r>
      <w:r w:rsidR="003D24A1">
        <w:rPr>
          <w:sz w:val="22"/>
          <w:szCs w:val="22"/>
        </w:rPr>
        <w:t>at</w:t>
      </w:r>
      <w:r w:rsidR="003C192F">
        <w:rPr>
          <w:sz w:val="22"/>
          <w:szCs w:val="22"/>
        </w:rPr>
        <w:t xml:space="preserve"> standard could not be manufactured, imported, or sold in the United States, beginning one year after the effective date of the rules adopted in that proceeding.</w:t>
      </w:r>
      <w:r>
        <w:rPr>
          <w:rStyle w:val="FootnoteReference"/>
          <w:sz w:val="22"/>
          <w:szCs w:val="22"/>
        </w:rPr>
        <w:footnoteReference w:id="7"/>
      </w:r>
      <w:r w:rsidR="003C192F">
        <w:rPr>
          <w:sz w:val="22"/>
          <w:szCs w:val="22"/>
        </w:rPr>
        <w:t xml:space="preserve">  Therefore, previously approved MSLDs that are not certified under the RTCM standard may not be manufactured, imported, or sold in the United States</w:t>
      </w:r>
      <w:r w:rsidR="003C192F">
        <w:rPr>
          <w:rStyle w:val="FootnoteReference"/>
          <w:sz w:val="22"/>
          <w:szCs w:val="22"/>
        </w:rPr>
        <w:t xml:space="preserve"> </w:t>
      </w:r>
      <w:r w:rsidR="003C192F">
        <w:rPr>
          <w:sz w:val="22"/>
          <w:szCs w:val="22"/>
        </w:rPr>
        <w:t xml:space="preserve"> after January 17, 2018.</w:t>
      </w:r>
      <w:r>
        <w:rPr>
          <w:rStyle w:val="FootnoteReference"/>
          <w:sz w:val="22"/>
          <w:szCs w:val="22"/>
        </w:rPr>
        <w:footnoteReference w:id="8"/>
      </w:r>
    </w:p>
    <w:p w:rsidR="003F7709" w:rsidP="00561F32">
      <w:pPr>
        <w:suppressAutoHyphens/>
        <w:ind w:firstLine="720"/>
        <w:rPr>
          <w:sz w:val="22"/>
          <w:szCs w:val="22"/>
        </w:rPr>
      </w:pPr>
    </w:p>
    <w:p w:rsidR="008570C0" w:rsidRPr="001B543F" w:rsidP="00BC7D0A">
      <w:pPr>
        <w:suppressAutoHyphens/>
        <w:ind w:firstLine="720"/>
        <w:rPr>
          <w:sz w:val="22"/>
          <w:szCs w:val="22"/>
        </w:rPr>
      </w:pPr>
      <w:r>
        <w:rPr>
          <w:sz w:val="22"/>
          <w:szCs w:val="22"/>
        </w:rPr>
        <w:t xml:space="preserve">You state </w:t>
      </w:r>
      <w:r w:rsidR="00A93A61">
        <w:rPr>
          <w:sz w:val="22"/>
          <w:szCs w:val="22"/>
        </w:rPr>
        <w:t xml:space="preserve">that the rescueME MOB1 meets the technical and performance standards </w:t>
      </w:r>
      <w:r>
        <w:rPr>
          <w:sz w:val="22"/>
          <w:szCs w:val="22"/>
        </w:rPr>
        <w:t xml:space="preserve">in </w:t>
      </w:r>
      <w:r w:rsidR="00A93A61">
        <w:rPr>
          <w:sz w:val="22"/>
          <w:szCs w:val="22"/>
        </w:rPr>
        <w:t xml:space="preserve">RTCM Standard 11901.1, and was </w:t>
      </w:r>
      <w:r>
        <w:rPr>
          <w:sz w:val="22"/>
          <w:szCs w:val="22"/>
        </w:rPr>
        <w:t>submitted for testing</w:t>
      </w:r>
      <w:r w:rsidR="003F29E3">
        <w:rPr>
          <w:sz w:val="22"/>
          <w:szCs w:val="22"/>
        </w:rPr>
        <w:t xml:space="preserve"> to an accredited test lab</w:t>
      </w:r>
      <w:r w:rsidR="00A93A61">
        <w:rPr>
          <w:sz w:val="22"/>
          <w:szCs w:val="22"/>
        </w:rPr>
        <w:t xml:space="preserve"> in 2017.  Due to its workload</w:t>
      </w:r>
      <w:r w:rsidR="00415F73">
        <w:rPr>
          <w:sz w:val="22"/>
          <w:szCs w:val="22"/>
        </w:rPr>
        <w:t xml:space="preserve">, </w:t>
      </w:r>
      <w:r w:rsidR="00DD6F46">
        <w:rPr>
          <w:sz w:val="22"/>
          <w:szCs w:val="22"/>
        </w:rPr>
        <w:t>however</w:t>
      </w:r>
      <w:r w:rsidR="00A93A61">
        <w:rPr>
          <w:sz w:val="22"/>
          <w:szCs w:val="22"/>
        </w:rPr>
        <w:t>,</w:t>
      </w:r>
      <w:r w:rsidR="00DD6F46">
        <w:rPr>
          <w:sz w:val="22"/>
          <w:szCs w:val="22"/>
        </w:rPr>
        <w:t xml:space="preserve"> </w:t>
      </w:r>
      <w:r w:rsidR="00A93A61">
        <w:rPr>
          <w:sz w:val="22"/>
          <w:szCs w:val="22"/>
        </w:rPr>
        <w:t>you do not expect the</w:t>
      </w:r>
      <w:r w:rsidR="00C7328A">
        <w:rPr>
          <w:sz w:val="22"/>
          <w:szCs w:val="22"/>
        </w:rPr>
        <w:t xml:space="preserve"> </w:t>
      </w:r>
      <w:r w:rsidR="00415F73">
        <w:rPr>
          <w:sz w:val="22"/>
          <w:szCs w:val="22"/>
        </w:rPr>
        <w:t xml:space="preserve">lab </w:t>
      </w:r>
      <w:r w:rsidR="00A93A61">
        <w:rPr>
          <w:sz w:val="22"/>
          <w:szCs w:val="22"/>
        </w:rPr>
        <w:t xml:space="preserve">to complete its testing by January 17, 2018.  </w:t>
      </w:r>
      <w:r w:rsidR="00C7328A">
        <w:rPr>
          <w:sz w:val="22"/>
          <w:szCs w:val="22"/>
        </w:rPr>
        <w:t xml:space="preserve">Therefore, in order to provide sufficient time </w:t>
      </w:r>
      <w:r w:rsidR="00A93A61">
        <w:rPr>
          <w:sz w:val="22"/>
          <w:szCs w:val="22"/>
        </w:rPr>
        <w:t>to obtain equipment authorization under the part 95 rules</w:t>
      </w:r>
      <w:r w:rsidR="00C7328A">
        <w:rPr>
          <w:sz w:val="22"/>
          <w:szCs w:val="22"/>
        </w:rPr>
        <w:t>, you request</w:t>
      </w:r>
      <w:r w:rsidR="00A93A61">
        <w:rPr>
          <w:sz w:val="22"/>
          <w:szCs w:val="22"/>
        </w:rPr>
        <w:t xml:space="preserve"> a temporary waiver until</w:t>
      </w:r>
      <w:r w:rsidR="003F7709">
        <w:rPr>
          <w:sz w:val="22"/>
          <w:szCs w:val="22"/>
        </w:rPr>
        <w:t xml:space="preserve"> March 30, 2018.</w:t>
      </w:r>
    </w:p>
    <w:p w:rsidR="00CA5686" w:rsidRPr="001B543F">
      <w:pPr>
        <w:suppressAutoHyphens/>
        <w:rPr>
          <w:sz w:val="22"/>
          <w:szCs w:val="22"/>
        </w:rPr>
      </w:pPr>
    </w:p>
    <w:p w:rsidR="00CA5686">
      <w:pPr>
        <w:suppressAutoHyphens/>
        <w:rPr>
          <w:sz w:val="22"/>
        </w:rPr>
      </w:pPr>
      <w:r>
        <w:rPr>
          <w:sz w:val="22"/>
        </w:rPr>
        <w:tab/>
        <w:t>Sec</w:t>
      </w:r>
      <w:r w:rsidR="00A93A61">
        <w:rPr>
          <w:sz w:val="22"/>
        </w:rPr>
        <w:t>tion 1.925 of the Commission's r</w:t>
      </w:r>
      <w:r>
        <w:rPr>
          <w:sz w:val="22"/>
        </w:rPr>
        <w:t>ules provides that we may grant a waiver if it is shown that (a) the underlying purpose of the rule(s) would not be served or would be frustrated by application to the instant case, and grant of the requested waiver would be in the public interest; or (b) in light of unique or unusual circumstances, application of the rule(s) would be inequitable, unduly burdensome, or contrary to the public interest, or the applicant has no reasonable alternative.</w:t>
      </w:r>
      <w:r>
        <w:rPr>
          <w:rStyle w:val="FootnoteReference"/>
          <w:sz w:val="22"/>
        </w:rPr>
        <w:footnoteReference w:id="9"/>
      </w:r>
      <w:r>
        <w:rPr>
          <w:sz w:val="22"/>
        </w:rPr>
        <w:t xml:space="preserve">  </w:t>
      </w:r>
      <w:r w:rsidR="00285AEF">
        <w:rPr>
          <w:sz w:val="22"/>
        </w:rPr>
        <w:t xml:space="preserve">We </w:t>
      </w:r>
      <w:r w:rsidR="003D24A1">
        <w:rPr>
          <w:sz w:val="22"/>
        </w:rPr>
        <w:t>conclude that purpose of the rule and the public interest would be served by a brief waiver to avoid disrupting the availability of a device that previously was found to be in the public interest, and which is expected to be found to comply with the current rules.  In addition, we are aware that the</w:t>
      </w:r>
      <w:r w:rsidR="00EA71ED">
        <w:rPr>
          <w:sz w:val="22"/>
        </w:rPr>
        <w:t xml:space="preserve"> number of accredited facilities </w:t>
      </w:r>
      <w:r w:rsidR="003D24A1">
        <w:rPr>
          <w:sz w:val="22"/>
        </w:rPr>
        <w:t>that</w:t>
      </w:r>
      <w:r w:rsidR="00EA71ED">
        <w:rPr>
          <w:sz w:val="22"/>
        </w:rPr>
        <w:t xml:space="preserve"> </w:t>
      </w:r>
      <w:r w:rsidR="00306FEC">
        <w:rPr>
          <w:sz w:val="22"/>
        </w:rPr>
        <w:t xml:space="preserve">can perform the </w:t>
      </w:r>
      <w:r w:rsidR="00635E99">
        <w:rPr>
          <w:sz w:val="22"/>
        </w:rPr>
        <w:t xml:space="preserve">required </w:t>
      </w:r>
      <w:r w:rsidR="00306FEC">
        <w:rPr>
          <w:sz w:val="22"/>
        </w:rPr>
        <w:t>testing</w:t>
      </w:r>
      <w:r w:rsidR="003D24A1">
        <w:rPr>
          <w:sz w:val="22"/>
        </w:rPr>
        <w:t xml:space="preserve"> is limited, </w:t>
      </w:r>
      <w:r w:rsidR="00A03B49">
        <w:rPr>
          <w:sz w:val="22"/>
        </w:rPr>
        <w:t>resulting in</w:t>
      </w:r>
      <w:r w:rsidR="00EA71ED">
        <w:rPr>
          <w:sz w:val="22"/>
        </w:rPr>
        <w:t xml:space="preserve"> queues for compliance testing</w:t>
      </w:r>
      <w:r w:rsidR="00A03B49">
        <w:rPr>
          <w:sz w:val="22"/>
        </w:rPr>
        <w:t>.</w:t>
      </w:r>
      <w:r w:rsidR="00EA71ED">
        <w:rPr>
          <w:sz w:val="22"/>
        </w:rPr>
        <w:t xml:space="preserve">  </w:t>
      </w:r>
      <w:r>
        <w:rPr>
          <w:sz w:val="22"/>
        </w:rPr>
        <w:t xml:space="preserve">We therefore </w:t>
      </w:r>
      <w:r w:rsidR="00E83B81">
        <w:rPr>
          <w:sz w:val="22"/>
        </w:rPr>
        <w:t>grant</w:t>
      </w:r>
      <w:r>
        <w:rPr>
          <w:sz w:val="22"/>
        </w:rPr>
        <w:t xml:space="preserve"> the request</w:t>
      </w:r>
      <w:r w:rsidR="003D24A1">
        <w:rPr>
          <w:sz w:val="22"/>
        </w:rPr>
        <w:t>, and waive section 95.2991(b) of the Commission's rules for the Ocean Signal rescueME MOB1 Marine Survivor Locating Device until March 30, 2018</w:t>
      </w:r>
      <w:r>
        <w:rPr>
          <w:sz w:val="22"/>
        </w:rPr>
        <w:t>.</w:t>
      </w:r>
    </w:p>
    <w:p w:rsidR="00CA5686">
      <w:pPr>
        <w:suppressAutoHyphens/>
        <w:rPr>
          <w:sz w:val="22"/>
        </w:rPr>
      </w:pPr>
    </w:p>
    <w:p w:rsidR="00CA5686">
      <w:pPr>
        <w:ind w:firstLine="720"/>
        <w:rPr>
          <w:sz w:val="22"/>
          <w:szCs w:val="22"/>
        </w:rPr>
      </w:pPr>
      <w:r>
        <w:rPr>
          <w:sz w:val="22"/>
          <w:szCs w:val="22"/>
        </w:rPr>
        <w:t xml:space="preserve">Accordingly, IT IS ORDERED that the waiver request of </w:t>
      </w:r>
      <w:r w:rsidR="00592611">
        <w:rPr>
          <w:sz w:val="22"/>
          <w:szCs w:val="22"/>
        </w:rPr>
        <w:t>Ocean Signal</w:t>
      </w:r>
      <w:r>
        <w:rPr>
          <w:sz w:val="22"/>
          <w:szCs w:val="22"/>
        </w:rPr>
        <w:t xml:space="preserve">, dated </w:t>
      </w:r>
      <w:r w:rsidR="00592611">
        <w:rPr>
          <w:sz w:val="22"/>
          <w:szCs w:val="22"/>
        </w:rPr>
        <w:t>December 13, 2017</w:t>
      </w:r>
      <w:r>
        <w:rPr>
          <w:sz w:val="22"/>
          <w:szCs w:val="22"/>
        </w:rPr>
        <w:t xml:space="preserve">, IS </w:t>
      </w:r>
      <w:r w:rsidR="00E83B81">
        <w:rPr>
          <w:sz w:val="22"/>
          <w:szCs w:val="22"/>
        </w:rPr>
        <w:t>GRANTED</w:t>
      </w:r>
      <w:r>
        <w:rPr>
          <w:sz w:val="22"/>
          <w:szCs w:val="22"/>
        </w:rPr>
        <w:t>.</w:t>
      </w:r>
    </w:p>
    <w:p w:rsidR="00CA5686">
      <w:pPr>
        <w:ind w:firstLine="720"/>
        <w:rPr>
          <w:sz w:val="22"/>
          <w:szCs w:val="22"/>
        </w:rPr>
      </w:pPr>
    </w:p>
    <w:p w:rsidR="00CA5686">
      <w:pPr>
        <w:ind w:firstLine="720"/>
        <w:rPr>
          <w:sz w:val="22"/>
          <w:szCs w:val="22"/>
        </w:rPr>
      </w:pPr>
      <w:r>
        <w:rPr>
          <w:sz w:val="22"/>
          <w:szCs w:val="22"/>
        </w:rPr>
        <w:t>This action is taken under delegated authority pursuant to Sections 0.131 and 0.331 of the Commission’s Rules, 47 C.F.R. §§ 0.131, 0.331</w:t>
      </w:r>
      <w:r>
        <w:rPr>
          <w:sz w:val="22"/>
        </w:rPr>
        <w:t>.</w:t>
      </w:r>
    </w:p>
    <w:p w:rsidR="00CA5686">
      <w:pPr>
        <w:ind w:firstLine="720"/>
        <w:rPr>
          <w:sz w:val="22"/>
          <w:szCs w:val="22"/>
        </w:rPr>
      </w:pP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FEDERAL COMMUNICATIONS COMMISSION</w:t>
      </w:r>
    </w:p>
    <w:p w:rsidR="00CA5686">
      <w:pPr>
        <w:rPr>
          <w:sz w:val="22"/>
          <w:szCs w:val="22"/>
        </w:rPr>
      </w:pPr>
    </w:p>
    <w:p w:rsidR="00CA5686">
      <w:pPr>
        <w:rPr>
          <w:sz w:val="22"/>
          <w:szCs w:val="22"/>
        </w:rPr>
      </w:pPr>
    </w:p>
    <w:p w:rsidR="00CA5686">
      <w:pPr>
        <w:rPr>
          <w:sz w:val="22"/>
          <w:szCs w:val="22"/>
        </w:rPr>
      </w:pPr>
    </w:p>
    <w:p w:rsidR="00CA5686">
      <w:pPr>
        <w:rPr>
          <w:sz w:val="22"/>
          <w:szCs w:val="22"/>
        </w:rPr>
      </w:pP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Scot Stone</w:t>
      </w:r>
    </w:p>
    <w:p w:rsidR="00CA5686">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Deputy Chief, Mobility Division</w:t>
      </w:r>
    </w:p>
    <w:p w:rsidR="00CA5686">
      <w:pPr>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t>Wireless Telecommunications Bureau</w:t>
      </w:r>
    </w:p>
    <w:sectPr>
      <w:headerReference w:type="even" r:id="rId6"/>
      <w:headerReference w:type="default" r:id="rId7"/>
      <w:footerReference w:type="even" r:id="rId8"/>
      <w:footerReference w:type="default" r:id="rId9"/>
      <w:headerReference w:type="first" r:id="rId10"/>
      <w:footerReference w:type="first" r:id="rId11"/>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6DA3">
      <w:r>
        <w:separator/>
      </w:r>
    </w:p>
  </w:footnote>
  <w:footnote w:type="continuationSeparator" w:id="1">
    <w:p w:rsidR="00CF6DA3">
      <w:r>
        <w:continuationSeparator/>
      </w:r>
    </w:p>
  </w:footnote>
  <w:footnote w:id="2">
    <w:p w:rsidR="004A3947" w:rsidP="004A3947">
      <w:pPr>
        <w:pStyle w:val="Heading2"/>
        <w:jc w:val="left"/>
      </w:pPr>
      <w:r>
        <w:rPr>
          <w:rStyle w:val="FootnoteReference"/>
        </w:rPr>
        <w:footnoteRef/>
      </w:r>
      <w:r>
        <w:t xml:space="preserve"> </w:t>
      </w:r>
      <w:r w:rsidR="009C49C9">
        <w:rPr>
          <w:b w:val="0"/>
        </w:rPr>
        <w:t>47 C</w:t>
      </w:r>
      <w:r w:rsidRPr="00DE2F1B">
        <w:rPr>
          <w:b w:val="0"/>
        </w:rPr>
        <w:t>FR § 95.2991</w:t>
      </w:r>
      <w:r w:rsidR="009C49C9">
        <w:rPr>
          <w:b w:val="0"/>
        </w:rPr>
        <w:t>(b)</w:t>
      </w:r>
      <w:r>
        <w:rPr>
          <w:b w:val="0"/>
        </w:rPr>
        <w:t>.</w:t>
      </w:r>
    </w:p>
  </w:footnote>
  <w:footnote w:id="3">
    <w:p w:rsidR="004A3947">
      <w:pPr>
        <w:pStyle w:val="FootnoteText"/>
        <w:rPr>
          <w:sz w:val="20"/>
        </w:rPr>
      </w:pPr>
      <w:r>
        <w:rPr>
          <w:rStyle w:val="FootnoteReference"/>
          <w:sz w:val="20"/>
        </w:rPr>
        <w:footnoteRef/>
      </w:r>
      <w:r>
        <w:rPr>
          <w:sz w:val="20"/>
        </w:rPr>
        <w:t xml:space="preserve"> Letter dated </w:t>
      </w:r>
      <w:r w:rsidR="00850CE7">
        <w:rPr>
          <w:sz w:val="20"/>
        </w:rPr>
        <w:t>December 13, 2017</w:t>
      </w:r>
      <w:r w:rsidR="009C49C9">
        <w:rPr>
          <w:sz w:val="20"/>
        </w:rPr>
        <w:t>,</w:t>
      </w:r>
      <w:r>
        <w:rPr>
          <w:sz w:val="20"/>
        </w:rPr>
        <w:t xml:space="preserve"> from </w:t>
      </w:r>
      <w:r w:rsidR="00850CE7">
        <w:rPr>
          <w:sz w:val="20"/>
        </w:rPr>
        <w:t xml:space="preserve">David Sheekey, Product and Approvals Manager, Ocean Signal </w:t>
      </w:r>
      <w:r>
        <w:rPr>
          <w:sz w:val="20"/>
        </w:rPr>
        <w:t xml:space="preserve">to </w:t>
      </w:r>
      <w:r w:rsidR="003D24A1">
        <w:rPr>
          <w:sz w:val="20"/>
        </w:rPr>
        <w:t xml:space="preserve">Tim Maguire, </w:t>
      </w:r>
      <w:r>
        <w:rPr>
          <w:sz w:val="20"/>
        </w:rPr>
        <w:t>Federal Communications Commission.</w:t>
      </w:r>
    </w:p>
    <w:p w:rsidR="009C49C9" w:rsidRPr="009C49C9">
      <w:pPr>
        <w:pStyle w:val="FootnoteText"/>
        <w:rPr>
          <w:sz w:val="20"/>
        </w:rPr>
      </w:pPr>
    </w:p>
  </w:footnote>
  <w:footnote w:id="4">
    <w:p w:rsidR="004A3947" w:rsidRPr="004A3947">
      <w:pPr>
        <w:pStyle w:val="FootnoteText"/>
        <w:rPr>
          <w:sz w:val="20"/>
        </w:rPr>
      </w:pPr>
      <w:r w:rsidRPr="004A3947">
        <w:rPr>
          <w:rStyle w:val="FootnoteReference"/>
          <w:sz w:val="20"/>
        </w:rPr>
        <w:footnoteRef/>
      </w:r>
      <w:r w:rsidRPr="004A3947">
        <w:rPr>
          <w:sz w:val="20"/>
        </w:rPr>
        <w:t xml:space="preserve"> </w:t>
      </w:r>
      <w:bookmarkStart w:id="2" w:name="_Hlk503427875"/>
      <w:r w:rsidRPr="004A3947">
        <w:rPr>
          <w:i/>
          <w:sz w:val="20"/>
        </w:rPr>
        <w:t>Amendment of the Commission’s Rules Regarding Maritime Radio Equipment and Related Matters, et al.</w:t>
      </w:r>
      <w:r w:rsidRPr="004A3947">
        <w:rPr>
          <w:sz w:val="20"/>
        </w:rPr>
        <w:t xml:space="preserve">, </w:t>
      </w:r>
      <w:bookmarkEnd w:id="2"/>
      <w:r w:rsidRPr="004A3947">
        <w:rPr>
          <w:sz w:val="20"/>
        </w:rPr>
        <w:t>Notice of Proposed Rulemaking, 29 FCC Rcd 2516, 2522, n.47 (2014) (listing examples).</w:t>
      </w:r>
    </w:p>
    <w:p w:rsidR="004A3947" w:rsidRPr="004A3947">
      <w:pPr>
        <w:pStyle w:val="FootnoteText"/>
      </w:pPr>
    </w:p>
  </w:footnote>
  <w:footnote w:id="5">
    <w:p w:rsidR="009C49C9" w:rsidRPr="009C49C9">
      <w:pPr>
        <w:pStyle w:val="FootnoteText"/>
        <w:rPr>
          <w:sz w:val="20"/>
        </w:rPr>
      </w:pPr>
      <w:r>
        <w:rPr>
          <w:rStyle w:val="FootnoteReference"/>
        </w:rPr>
        <w:footnoteRef/>
      </w:r>
      <w:r>
        <w:t xml:space="preserve"> </w:t>
      </w:r>
      <w:r w:rsidRPr="009C49C9">
        <w:rPr>
          <w:sz w:val="20"/>
        </w:rPr>
        <w:t xml:space="preserve">The </w:t>
      </w:r>
      <w:r w:rsidR="003D24A1">
        <w:rPr>
          <w:sz w:val="20"/>
        </w:rPr>
        <w:t>FCC equipment authorization is X</w:t>
      </w:r>
      <w:r w:rsidRPr="009C49C9">
        <w:rPr>
          <w:sz w:val="20"/>
        </w:rPr>
        <w:t>YEMOB1.</w:t>
      </w:r>
    </w:p>
    <w:p w:rsidR="009C49C9" w:rsidRPr="009C49C9">
      <w:pPr>
        <w:pStyle w:val="FootnoteText"/>
        <w:rPr>
          <w:sz w:val="20"/>
        </w:rPr>
      </w:pPr>
    </w:p>
  </w:footnote>
  <w:footnote w:id="6">
    <w:p w:rsidR="003C192F" w:rsidRPr="003D24A1">
      <w:pPr>
        <w:pStyle w:val="FootnoteText"/>
        <w:rPr>
          <w:sz w:val="20"/>
        </w:rPr>
      </w:pPr>
      <w:r>
        <w:rPr>
          <w:rStyle w:val="FootnoteReference"/>
        </w:rPr>
        <w:footnoteRef/>
      </w:r>
      <w:r>
        <w:t xml:space="preserve"> </w:t>
      </w:r>
      <w:r w:rsidRPr="004A3947" w:rsidR="009C49C9">
        <w:rPr>
          <w:i/>
          <w:sz w:val="20"/>
        </w:rPr>
        <w:t>See Amendment of the Commission’s Rules Regarding Maritime Radio Equipment and Related Matters, et al.</w:t>
      </w:r>
      <w:r w:rsidRPr="004A3947" w:rsidR="009C49C9">
        <w:rPr>
          <w:sz w:val="20"/>
        </w:rPr>
        <w:t xml:space="preserve">, </w:t>
      </w:r>
      <w:r w:rsidR="009C49C9">
        <w:rPr>
          <w:sz w:val="20"/>
        </w:rPr>
        <w:t>Report and Order, 31 FCC Rcd 10300,</w:t>
      </w:r>
      <w:r w:rsidR="009F48E5">
        <w:rPr>
          <w:sz w:val="20"/>
        </w:rPr>
        <w:t xml:space="preserve"> 10308</w:t>
      </w:r>
      <w:r w:rsidR="009C49C9">
        <w:rPr>
          <w:sz w:val="20"/>
        </w:rPr>
        <w:t>, para. 20 (2016)</w:t>
      </w:r>
      <w:r w:rsidR="009F48E5">
        <w:rPr>
          <w:sz w:val="20"/>
        </w:rPr>
        <w:t>.</w:t>
      </w:r>
    </w:p>
  </w:footnote>
  <w:footnote w:id="7">
    <w:p w:rsidR="003C192F">
      <w:pPr>
        <w:pStyle w:val="FootnoteText"/>
      </w:pPr>
      <w:r>
        <w:rPr>
          <w:rStyle w:val="FootnoteReference"/>
        </w:rPr>
        <w:footnoteRef/>
      </w:r>
      <w:r>
        <w:t xml:space="preserve"> </w:t>
      </w:r>
      <w:r w:rsidRPr="003C192F">
        <w:rPr>
          <w:i/>
          <w:sz w:val="20"/>
        </w:rPr>
        <w:t>See id.</w:t>
      </w:r>
    </w:p>
    <w:p w:rsidR="003C192F">
      <w:pPr>
        <w:pStyle w:val="FootnoteText"/>
      </w:pPr>
    </w:p>
  </w:footnote>
  <w:footnote w:id="8">
    <w:p w:rsidR="003C192F" w:rsidRPr="003C192F">
      <w:pPr>
        <w:pStyle w:val="FootnoteText"/>
        <w:rPr>
          <w:sz w:val="20"/>
        </w:rPr>
      </w:pPr>
      <w:r>
        <w:rPr>
          <w:rStyle w:val="FootnoteReference"/>
        </w:rPr>
        <w:footnoteRef/>
      </w:r>
      <w:r>
        <w:t xml:space="preserve"> </w:t>
      </w:r>
      <w:r w:rsidRPr="003C192F">
        <w:rPr>
          <w:sz w:val="20"/>
        </w:rPr>
        <w:t>47 CFR § 95.2991(b).</w:t>
      </w:r>
      <w:r>
        <w:rPr>
          <w:sz w:val="20"/>
        </w:rPr>
        <w:t xml:space="preserve">  This provision initially was codified as </w:t>
      </w:r>
      <w:r w:rsidRPr="003C192F">
        <w:rPr>
          <w:sz w:val="20"/>
        </w:rPr>
        <w:t>47 CFR § 95.</w:t>
      </w:r>
      <w:r>
        <w:rPr>
          <w:sz w:val="20"/>
        </w:rPr>
        <w:t xml:space="preserve">1403(c), but was renumbered as part of a reorganization of the part 95 rules.  </w:t>
      </w:r>
      <w:r>
        <w:rPr>
          <w:i/>
          <w:sz w:val="20"/>
        </w:rPr>
        <w:t>See Review of the Commission’s Part 95 Personal Service Rules; Petition for Rulemaking of Garmin International, Inc.; Petition for Rulemaking off Omnitronics, L.L.C.</w:t>
      </w:r>
      <w:r>
        <w:rPr>
          <w:sz w:val="20"/>
        </w:rPr>
        <w:t>, Report and Order, 32 FCC Rcd 4295 (2017).</w:t>
      </w:r>
    </w:p>
    <w:p w:rsidR="003C192F" w:rsidRPr="003C192F">
      <w:pPr>
        <w:pStyle w:val="FootnoteText"/>
      </w:pPr>
    </w:p>
  </w:footnote>
  <w:footnote w:id="9">
    <w:p w:rsidR="00CA5686">
      <w:pPr>
        <w:pStyle w:val="FootnoteText"/>
        <w:rPr>
          <w:sz w:val="20"/>
        </w:rPr>
      </w:pPr>
      <w:r>
        <w:rPr>
          <w:rStyle w:val="FootnoteReference"/>
          <w:sz w:val="20"/>
        </w:rPr>
        <w:footnoteRef/>
      </w:r>
      <w:r>
        <w:rPr>
          <w:sz w:val="20"/>
        </w:rPr>
        <w:t xml:space="preserve"> 47 C.F.R. § 1.925(b)(3); </w:t>
      </w:r>
      <w:r>
        <w:rPr>
          <w:i/>
          <w:sz w:val="20"/>
        </w:rPr>
        <w:t xml:space="preserve">see also </w:t>
      </w:r>
      <w:r>
        <w:rPr>
          <w:sz w:val="20"/>
        </w:rPr>
        <w:t>WAIT Radio v FCC, 418 F.2d 1153, 1159 (D.C. Cir. 1969).</w:t>
      </w:r>
    </w:p>
    <w:p w:rsidR="00CA5686">
      <w:pPr>
        <w:pStyle w:val="FootnoteText"/>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4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686">
    <w:pPr>
      <w:pStyle w:val="Header"/>
      <w:rPr>
        <w:sz w:val="22"/>
      </w:rPr>
    </w:pPr>
    <w:r>
      <w:rPr>
        <w:sz w:val="22"/>
      </w:rPr>
      <w:tab/>
    </w:r>
    <w:r>
      <w:rPr>
        <w:sz w:val="22"/>
      </w:rPr>
      <w:tab/>
      <w:t xml:space="preserve">Page </w:t>
    </w:r>
    <w:r>
      <w:rPr>
        <w:rStyle w:val="PageNumber"/>
        <w:sz w:val="22"/>
      </w:rPr>
      <w:fldChar w:fldCharType="begin"/>
    </w:r>
    <w:r>
      <w:rPr>
        <w:rStyle w:val="PageNumber"/>
        <w:sz w:val="22"/>
      </w:rPr>
      <w:instrText xml:space="preserve"> PAGE </w:instrText>
    </w:r>
    <w:r>
      <w:rPr>
        <w:rStyle w:val="PageNumber"/>
        <w:sz w:val="22"/>
      </w:rPr>
      <w:fldChar w:fldCharType="separate"/>
    </w:r>
    <w:r w:rsidR="003C41E1">
      <w:rPr>
        <w:rStyle w:val="PageNumber"/>
        <w:noProof/>
        <w:sz w:val="22"/>
      </w:rPr>
      <w:t>2</w:t>
    </w:r>
    <w:r>
      <w:rPr>
        <w:rStyle w:val="PageNumber"/>
        <w:sz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5686">
    <w:pPr>
      <w:pStyle w:val="Header"/>
      <w:tabs>
        <w:tab w:val="clear" w:pos="4320"/>
        <w:tab w:val="clear" w:pos="8640"/>
      </w:tabs>
      <w:spacing w:before="360" w:line="228" w:lineRule="auto"/>
      <w:jc w:val="center"/>
    </w:pPr>
    <w:r>
      <w:rPr>
        <w:noProof/>
      </w:rPr>
      <w:drawing>
        <wp:anchor distT="0" distB="0" distL="114300" distR="114300" simplePos="0" relativeHeight="251658240" behindDoc="0" locked="0" layoutInCell="0" allowOverlap="1">
          <wp:simplePos x="0" y="0"/>
          <wp:positionH relativeFrom="column">
            <wp:posOffset>-403860</wp:posOffset>
          </wp:positionH>
          <wp:positionV relativeFrom="paragraph">
            <wp:posOffset>0</wp:posOffset>
          </wp:positionV>
          <wp:extent cx="863600" cy="82296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2624" name="Picture 2"/>
                  <pic:cNvPicPr>
                    <a:picLocks noChangeAspect="1" noChangeArrowheads="1"/>
                  </pic:cNvPicPr>
                </pic:nvPicPr>
                <pic:blipFill>
                  <a:blip xmlns:r="http://schemas.openxmlformats.org/officeDocument/2006/relationships" r:embed="rId1">
                    <a:lum contrast="6000"/>
                  </a:blip>
                  <a:stretch>
                    <a:fillRect/>
                  </a:stretch>
                </pic:blipFill>
                <pic:spPr bwMode="auto">
                  <a:xfrm>
                    <a:off x="0" y="0"/>
                    <a:ext cx="863600" cy="822960"/>
                  </a:xfrm>
                  <a:prstGeom prst="rect">
                    <a:avLst/>
                  </a:prstGeom>
                  <a:solidFill>
                    <a:srgbClr val="33CCCC"/>
                  </a:solidFill>
                  <a:ln w="9525">
                    <a:noFill/>
                    <a:miter lim="800000"/>
                    <a:headEnd/>
                    <a:tailEnd/>
                  </a:ln>
                  <a:effectLst/>
                </pic:spPr>
              </pic:pic>
            </a:graphicData>
          </a:graphic>
        </wp:anchor>
      </w:drawing>
    </w:r>
    <w:r>
      <w:rPr>
        <w:rFonts w:ascii="CG Times (W1)" w:hAnsi="CG Times (W1)"/>
        <w:sz w:val="28"/>
      </w:rPr>
      <w:t>Federal Communications Commission</w:t>
    </w:r>
  </w:p>
  <w:p w:rsidR="00CA5686">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State">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rsidR="00CA5686">
    <w:pPr>
      <w:pStyle w:val="Header"/>
      <w:tabs>
        <w:tab w:val="clear" w:pos="4320"/>
      </w:tabs>
      <w:jc w:val="center"/>
      <w:rPr>
        <w:sz w:val="22"/>
      </w:rPr>
    </w:pPr>
  </w:p>
  <w:p w:rsidR="00CA5686">
    <w:pPr>
      <w:pStyle w:val="Header"/>
      <w:tabs>
        <w:tab w:val="clear" w:pos="4320"/>
      </w:tabs>
      <w:jc w:val="center"/>
      <w:rPr>
        <w:sz w:val="22"/>
      </w:rPr>
    </w:pPr>
    <w:r>
      <w:rPr>
        <w:sz w:val="22"/>
      </w:rPr>
      <w:t>January 17</w:t>
    </w:r>
    <w:r>
      <w:rPr>
        <w:sz w:val="22"/>
      </w:rPr>
      <w:t>, 20</w:t>
    </w:r>
    <w:r w:rsidR="00D005D8">
      <w:rPr>
        <w:sz w:val="22"/>
      </w:rPr>
      <w:t>1</w:t>
    </w:r>
    <w:r w:rsidR="001B3C71">
      <w:rPr>
        <w:sz w:val="22"/>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FC8"/>
    <w:rsid w:val="0005119C"/>
    <w:rsid w:val="00061714"/>
    <w:rsid w:val="000C1827"/>
    <w:rsid w:val="000C7B8E"/>
    <w:rsid w:val="000D562B"/>
    <w:rsid w:val="000F514E"/>
    <w:rsid w:val="00106412"/>
    <w:rsid w:val="001135C3"/>
    <w:rsid w:val="001514EE"/>
    <w:rsid w:val="001568D8"/>
    <w:rsid w:val="00183955"/>
    <w:rsid w:val="00184A49"/>
    <w:rsid w:val="0019651F"/>
    <w:rsid w:val="001B3C71"/>
    <w:rsid w:val="001B543F"/>
    <w:rsid w:val="001C4C55"/>
    <w:rsid w:val="001C7E59"/>
    <w:rsid w:val="00212300"/>
    <w:rsid w:val="00222BED"/>
    <w:rsid w:val="00262DE8"/>
    <w:rsid w:val="00285AEF"/>
    <w:rsid w:val="002A65EF"/>
    <w:rsid w:val="002C654B"/>
    <w:rsid w:val="002F09C9"/>
    <w:rsid w:val="0030294A"/>
    <w:rsid w:val="00306FEC"/>
    <w:rsid w:val="00367C00"/>
    <w:rsid w:val="00376DBB"/>
    <w:rsid w:val="003B237D"/>
    <w:rsid w:val="003C0098"/>
    <w:rsid w:val="003C192F"/>
    <w:rsid w:val="003C41E1"/>
    <w:rsid w:val="003D24A1"/>
    <w:rsid w:val="003F29E3"/>
    <w:rsid w:val="003F7709"/>
    <w:rsid w:val="004104FC"/>
    <w:rsid w:val="00415F73"/>
    <w:rsid w:val="00434852"/>
    <w:rsid w:val="00462373"/>
    <w:rsid w:val="004A3651"/>
    <w:rsid w:val="004A3947"/>
    <w:rsid w:val="004C4012"/>
    <w:rsid w:val="004F2F17"/>
    <w:rsid w:val="00505441"/>
    <w:rsid w:val="00561F32"/>
    <w:rsid w:val="00566EE4"/>
    <w:rsid w:val="005720B0"/>
    <w:rsid w:val="00592611"/>
    <w:rsid w:val="005C2CE3"/>
    <w:rsid w:val="0061771B"/>
    <w:rsid w:val="00635E99"/>
    <w:rsid w:val="006771AB"/>
    <w:rsid w:val="006900FD"/>
    <w:rsid w:val="007258A5"/>
    <w:rsid w:val="00740173"/>
    <w:rsid w:val="007404F6"/>
    <w:rsid w:val="007C51F2"/>
    <w:rsid w:val="007D0B05"/>
    <w:rsid w:val="007D0EBD"/>
    <w:rsid w:val="007D5A65"/>
    <w:rsid w:val="007F0233"/>
    <w:rsid w:val="00850CE7"/>
    <w:rsid w:val="008570C0"/>
    <w:rsid w:val="008C75FA"/>
    <w:rsid w:val="008D6F64"/>
    <w:rsid w:val="008E7A3A"/>
    <w:rsid w:val="009125BB"/>
    <w:rsid w:val="009767F0"/>
    <w:rsid w:val="00996EF4"/>
    <w:rsid w:val="009B32AB"/>
    <w:rsid w:val="009C49C9"/>
    <w:rsid w:val="009F48E5"/>
    <w:rsid w:val="00A03B49"/>
    <w:rsid w:val="00A235E4"/>
    <w:rsid w:val="00A45F0E"/>
    <w:rsid w:val="00A93A61"/>
    <w:rsid w:val="00AB7C92"/>
    <w:rsid w:val="00AC6A4A"/>
    <w:rsid w:val="00B0135F"/>
    <w:rsid w:val="00B02EB7"/>
    <w:rsid w:val="00B16775"/>
    <w:rsid w:val="00B168ED"/>
    <w:rsid w:val="00B81E40"/>
    <w:rsid w:val="00BC7D0A"/>
    <w:rsid w:val="00C05A40"/>
    <w:rsid w:val="00C31154"/>
    <w:rsid w:val="00C47283"/>
    <w:rsid w:val="00C7328A"/>
    <w:rsid w:val="00C750A1"/>
    <w:rsid w:val="00CA5686"/>
    <w:rsid w:val="00CB632A"/>
    <w:rsid w:val="00CF6DA3"/>
    <w:rsid w:val="00D005D8"/>
    <w:rsid w:val="00D03A01"/>
    <w:rsid w:val="00D1155C"/>
    <w:rsid w:val="00D15BD4"/>
    <w:rsid w:val="00D47317"/>
    <w:rsid w:val="00D917A9"/>
    <w:rsid w:val="00DA6B36"/>
    <w:rsid w:val="00DD6F46"/>
    <w:rsid w:val="00DE1584"/>
    <w:rsid w:val="00DE2F1B"/>
    <w:rsid w:val="00DE3AC2"/>
    <w:rsid w:val="00DF4FC8"/>
    <w:rsid w:val="00DF5E47"/>
    <w:rsid w:val="00E21D31"/>
    <w:rsid w:val="00E330CF"/>
    <w:rsid w:val="00E51847"/>
    <w:rsid w:val="00E735C2"/>
    <w:rsid w:val="00E83353"/>
    <w:rsid w:val="00E83B81"/>
    <w:rsid w:val="00EA2123"/>
    <w:rsid w:val="00EA71ED"/>
    <w:rsid w:val="00F15E20"/>
    <w:rsid w:val="00F81CB9"/>
    <w:rsid w:val="00FF7F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2">
    <w:name w:val="heading 2"/>
    <w:basedOn w:val="Normal"/>
    <w:link w:val="Heading2Char"/>
    <w:uiPriority w:val="9"/>
    <w:qFormat/>
    <w:rsid w:val="00C47283"/>
    <w:pPr>
      <w:spacing w:before="200" w:after="100"/>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semiHidden/>
    <w:pPr>
      <w:widowControl w:val="0"/>
    </w:pPr>
    <w:rPr>
      <w:snapToGrid w:val="0"/>
    </w:rPr>
  </w:style>
  <w:style w:type="character" w:styleId="FootnoteReference">
    <w:name w:val="footnote reference"/>
    <w:aliases w:val="(NECG) Footnote Reference,Appel note de bas de p,Style 12,Style 124"/>
    <w:semiHidden/>
    <w:rPr>
      <w:vertAlign w:val="superscript"/>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link w:val="FootnoteText"/>
    <w:semiHidden/>
    <w:rPr>
      <w:snapToGrid w:val="0"/>
      <w:sz w:val="24"/>
      <w:lang w:val="en-US" w:eastAsia="en-US" w:bidi="ar-SA"/>
    </w:rPr>
  </w:style>
  <w:style w:type="paragraph" w:customStyle="1" w:styleId="Default">
    <w:name w:val="Default"/>
    <w:rsid w:val="003C0098"/>
    <w:pPr>
      <w:autoSpaceDE w:val="0"/>
      <w:autoSpaceDN w:val="0"/>
      <w:adjustRightInd w:val="0"/>
    </w:pPr>
    <w:rPr>
      <w:color w:val="000000"/>
      <w:sz w:val="24"/>
      <w:szCs w:val="24"/>
    </w:rPr>
  </w:style>
  <w:style w:type="character" w:customStyle="1" w:styleId="Heading2Char">
    <w:name w:val="Heading 2 Char"/>
    <w:link w:val="Heading2"/>
    <w:uiPriority w:val="9"/>
    <w:rsid w:val="00C47283"/>
    <w:rPr>
      <w:b/>
      <w:bCs/>
    </w:rPr>
  </w:style>
  <w:style w:type="paragraph" w:styleId="NormalWeb">
    <w:name w:val="Normal (Web)"/>
    <w:basedOn w:val="Normal"/>
    <w:uiPriority w:val="99"/>
    <w:unhideWhenUsed/>
    <w:rsid w:val="00C47283"/>
    <w:pPr>
      <w:spacing w:before="100" w:beforeAutospacing="1" w:after="100" w:afterAutospacing="1"/>
      <w:ind w:firstLine="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3EC40-3352-4404-AD32-34D89EB5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2018-01-17T14:42:29Z</dcterms:created>
  <dcterms:modified xsi:type="dcterms:W3CDTF">2018-01-17T14:42:29Z</dcterms:modified>
</cp:coreProperties>
</file>