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B47BB5" w:rsidP="00143075">
      <w:pPr>
        <w:ind w:left="720" w:hanging="720"/>
        <w:sectPr w:rsidSect="008043C6">
          <w:headerReference w:type="even" r:id="rId5"/>
          <w:headerReference w:type="default" r:id="rId6"/>
          <w:footerReference w:type="even" r:id="rId7"/>
          <w:footerReference w:type="default" r:id="rId8"/>
          <w:headerReference w:type="first" r:id="rId9"/>
          <w:footerReference w:type="first" r:id="rId10"/>
          <w:pgSz w:w="12240" w:h="15840" w:code="1"/>
          <w:pgMar w:top="720" w:right="1440" w:bottom="1440" w:left="1440" w:header="720" w:footer="1440" w:gutter="0"/>
          <w:cols w:space="720"/>
          <w:titlePg/>
        </w:sectPr>
      </w:pPr>
    </w:p>
    <w:p w:rsidR="009E07D9" w:rsidP="009E07D9">
      <w:pPr>
        <w:jc w:val="right"/>
        <w:rPr>
          <w:szCs w:val="22"/>
        </w:rPr>
      </w:pPr>
    </w:p>
    <w:p w:rsidR="009E07D9" w:rsidRPr="00613A5D" w:rsidP="009E07D9">
      <w:pPr>
        <w:jc w:val="right"/>
        <w:rPr>
          <w:szCs w:val="22"/>
        </w:rPr>
      </w:pPr>
      <w:r w:rsidRPr="00FD5EAA">
        <w:rPr>
          <w:szCs w:val="22"/>
        </w:rPr>
        <w:t>DA</w:t>
      </w:r>
      <w:r w:rsidR="00F64E74">
        <w:rPr>
          <w:szCs w:val="22"/>
        </w:rPr>
        <w:t xml:space="preserve"> 18-505</w:t>
      </w:r>
    </w:p>
    <w:p w:rsidR="009E07D9" w:rsidRPr="00613A5D" w:rsidP="009E07D9">
      <w:pPr>
        <w:spacing w:after="120"/>
        <w:jc w:val="right"/>
        <w:rPr>
          <w:szCs w:val="22"/>
        </w:rPr>
      </w:pPr>
      <w:r>
        <w:rPr>
          <w:szCs w:val="22"/>
        </w:rPr>
        <w:t>May 17</w:t>
      </w:r>
      <w:bookmarkStart w:id="1" w:name="_GoBack"/>
      <w:bookmarkEnd w:id="1"/>
      <w:r>
        <w:rPr>
          <w:szCs w:val="22"/>
        </w:rPr>
        <w:t>, 2018</w:t>
      </w:r>
    </w:p>
    <w:p w:rsidR="009E07D9" w:rsidRPr="00613A5D" w:rsidP="009E07D9">
      <w:pPr>
        <w:spacing w:after="120"/>
        <w:jc w:val="center"/>
        <w:rPr>
          <w:b/>
          <w:szCs w:val="22"/>
        </w:rPr>
      </w:pPr>
      <w:r w:rsidRPr="00613A5D">
        <w:rPr>
          <w:b/>
          <w:szCs w:val="22"/>
        </w:rPr>
        <w:t>WIRELINE COMPETITION BUREAU ANNOUNCES COMMENT DATES</w:t>
      </w:r>
      <w:r w:rsidRPr="00613A5D">
        <w:rPr>
          <w:b/>
          <w:szCs w:val="22"/>
        </w:rPr>
        <w:br/>
        <w:t xml:space="preserve">FOR NPRM ON </w:t>
      </w:r>
      <w:r>
        <w:rPr>
          <w:b/>
          <w:szCs w:val="22"/>
        </w:rPr>
        <w:t>REGULATION OF BUSINESS DATA SERVICES FOR RATE-OF-RETURN LOCAL EXCHANGE CARRIERS</w:t>
      </w:r>
      <w:r w:rsidRPr="00613A5D">
        <w:rPr>
          <w:b/>
          <w:szCs w:val="22"/>
        </w:rPr>
        <w:t xml:space="preserve"> </w:t>
      </w:r>
    </w:p>
    <w:p w:rsidR="009E07D9" w:rsidRPr="00613A5D" w:rsidP="009E07D9">
      <w:pPr>
        <w:spacing w:after="120"/>
        <w:jc w:val="center"/>
        <w:rPr>
          <w:b/>
          <w:szCs w:val="22"/>
        </w:rPr>
      </w:pPr>
      <w:r w:rsidRPr="00613A5D">
        <w:rPr>
          <w:b/>
          <w:szCs w:val="22"/>
        </w:rPr>
        <w:t>WC Docket No</w:t>
      </w:r>
      <w:r>
        <w:rPr>
          <w:b/>
          <w:szCs w:val="22"/>
        </w:rPr>
        <w:t>. 17-144</w:t>
      </w:r>
    </w:p>
    <w:p w:rsidR="009E07D9" w:rsidRPr="00000881" w:rsidP="009E07D9">
      <w:pPr>
        <w:spacing w:after="120"/>
        <w:rPr>
          <w:b/>
          <w:szCs w:val="22"/>
        </w:rPr>
      </w:pPr>
      <w:r>
        <w:rPr>
          <w:b/>
          <w:szCs w:val="22"/>
        </w:rPr>
        <w:t>Comment Date: June 18</w:t>
      </w:r>
      <w:r w:rsidRPr="00000881">
        <w:rPr>
          <w:b/>
          <w:szCs w:val="22"/>
        </w:rPr>
        <w:t>, 2018</w:t>
      </w:r>
      <w:r w:rsidRPr="00000881">
        <w:rPr>
          <w:b/>
          <w:szCs w:val="22"/>
        </w:rPr>
        <w:br/>
        <w:t>Reply Comment Date: July 2, 2018</w:t>
      </w:r>
    </w:p>
    <w:p w:rsidR="009E07D9" w:rsidRPr="00613A5D" w:rsidP="009E07D9">
      <w:pPr>
        <w:spacing w:after="120"/>
        <w:rPr>
          <w:szCs w:val="22"/>
        </w:rPr>
      </w:pPr>
      <w:r w:rsidRPr="00613A5D">
        <w:rPr>
          <w:szCs w:val="22"/>
        </w:rPr>
        <w:tab/>
        <w:t xml:space="preserve">On April 17, 2018, the Commission adopted the </w:t>
      </w:r>
      <w:r w:rsidRPr="00564258">
        <w:rPr>
          <w:i/>
          <w:szCs w:val="22"/>
        </w:rPr>
        <w:t>Regulation of Business Data Services for Rate-of-Return Local Exchange Carriers</w:t>
      </w:r>
      <w:r w:rsidRPr="00613A5D">
        <w:rPr>
          <w:i/>
          <w:szCs w:val="22"/>
        </w:rPr>
        <w:t xml:space="preserve"> Notice of Proposed Rulemaking</w:t>
      </w:r>
      <w:r w:rsidRPr="00613A5D">
        <w:rPr>
          <w:szCs w:val="22"/>
        </w:rPr>
        <w:t xml:space="preserve"> (</w:t>
      </w:r>
      <w:r w:rsidRPr="00613A5D">
        <w:rPr>
          <w:i/>
          <w:szCs w:val="22"/>
        </w:rPr>
        <w:t>NPRM</w:t>
      </w:r>
      <w:r w:rsidRPr="00613A5D">
        <w:rPr>
          <w:szCs w:val="22"/>
        </w:rPr>
        <w:t>).</w:t>
      </w:r>
      <w:r>
        <w:rPr>
          <w:rStyle w:val="FootnoteReference"/>
          <w:szCs w:val="22"/>
        </w:rPr>
        <w:footnoteReference w:id="3"/>
      </w:r>
      <w:r w:rsidRPr="00613A5D">
        <w:rPr>
          <w:szCs w:val="22"/>
        </w:rPr>
        <w:t xml:space="preserve">  In the </w:t>
      </w:r>
      <w:r w:rsidRPr="00613A5D">
        <w:rPr>
          <w:i/>
          <w:szCs w:val="22"/>
        </w:rPr>
        <w:t>NPRM</w:t>
      </w:r>
      <w:r>
        <w:rPr>
          <w:szCs w:val="22"/>
        </w:rPr>
        <w:t>,</w:t>
      </w:r>
      <w:r>
        <w:rPr>
          <w:i/>
          <w:szCs w:val="22"/>
        </w:rPr>
        <w:t xml:space="preserve"> </w:t>
      </w:r>
      <w:r w:rsidRPr="00564258">
        <w:rPr>
          <w:szCs w:val="22"/>
        </w:rPr>
        <w:t>the Commission proposes to allow rate-of-return carriers receiving universal service support under the Alternative Connect America Cost Model (A-CAM) to voluntarily migrate their lower speed circuit-based business data service (BDS) offerings to incentive regulation</w:t>
      </w:r>
      <w:r>
        <w:rPr>
          <w:szCs w:val="22"/>
        </w:rPr>
        <w:t xml:space="preserve"> and </w:t>
      </w:r>
      <w:r w:rsidRPr="00564258">
        <w:rPr>
          <w:szCs w:val="22"/>
        </w:rPr>
        <w:t xml:space="preserve">seeks comment on whether to </w:t>
      </w:r>
      <w:r>
        <w:rPr>
          <w:szCs w:val="22"/>
        </w:rPr>
        <w:t xml:space="preserve">reduce </w:t>
      </w:r>
      <w:r w:rsidRPr="00564258">
        <w:rPr>
          <w:szCs w:val="22"/>
        </w:rPr>
        <w:t xml:space="preserve">pricing regulation </w:t>
      </w:r>
      <w:r>
        <w:rPr>
          <w:szCs w:val="22"/>
        </w:rPr>
        <w:t xml:space="preserve">of </w:t>
      </w:r>
      <w:r w:rsidRPr="00564258">
        <w:rPr>
          <w:szCs w:val="22"/>
        </w:rPr>
        <w:t>these carriers’ BDS offerings</w:t>
      </w:r>
      <w:r>
        <w:rPr>
          <w:szCs w:val="22"/>
        </w:rPr>
        <w:t xml:space="preserve">. </w:t>
      </w:r>
      <w:r w:rsidRPr="00564258">
        <w:rPr>
          <w:szCs w:val="22"/>
        </w:rPr>
        <w:t xml:space="preserve"> </w:t>
      </w:r>
      <w:r w:rsidRPr="00613A5D">
        <w:rPr>
          <w:szCs w:val="22"/>
        </w:rPr>
        <w:t xml:space="preserve">The </w:t>
      </w:r>
      <w:r w:rsidRPr="00613A5D">
        <w:rPr>
          <w:i/>
          <w:szCs w:val="22"/>
        </w:rPr>
        <w:t>NPRM</w:t>
      </w:r>
      <w:r w:rsidRPr="00613A5D">
        <w:rPr>
          <w:szCs w:val="22"/>
        </w:rPr>
        <w:t xml:space="preserve"> sets deadlines for filing comments</w:t>
      </w:r>
      <w:r>
        <w:rPr>
          <w:szCs w:val="22"/>
        </w:rPr>
        <w:t xml:space="preserve"> and reply comments at 30 and 45</w:t>
      </w:r>
      <w:r w:rsidRPr="00613A5D">
        <w:rPr>
          <w:szCs w:val="22"/>
        </w:rPr>
        <w:t xml:space="preserve"> days, respectively, </w:t>
      </w:r>
      <w:r>
        <w:rPr>
          <w:szCs w:val="22"/>
        </w:rPr>
        <w:t xml:space="preserve">following </w:t>
      </w:r>
      <w:r w:rsidRPr="00613A5D">
        <w:rPr>
          <w:szCs w:val="22"/>
        </w:rPr>
        <w:t>publication in the Federal Register.</w:t>
      </w:r>
      <w:r>
        <w:rPr>
          <w:rStyle w:val="FootnoteReference"/>
          <w:szCs w:val="22"/>
        </w:rPr>
        <w:footnoteReference w:id="4"/>
      </w:r>
    </w:p>
    <w:p w:rsidR="009E07D9" w:rsidP="009E07D9">
      <w:pPr>
        <w:spacing w:after="120"/>
        <w:ind w:firstLine="720"/>
        <w:rPr>
          <w:szCs w:val="22"/>
        </w:rPr>
      </w:pPr>
      <w:r w:rsidRPr="00613A5D">
        <w:rPr>
          <w:szCs w:val="22"/>
        </w:rPr>
        <w:t xml:space="preserve">The Federal Register published a summary of the </w:t>
      </w:r>
      <w:r w:rsidRPr="00613A5D">
        <w:rPr>
          <w:i/>
          <w:szCs w:val="22"/>
        </w:rPr>
        <w:t xml:space="preserve">NPRM </w:t>
      </w:r>
      <w:r w:rsidRPr="00613A5D">
        <w:rPr>
          <w:szCs w:val="22"/>
        </w:rPr>
        <w:t xml:space="preserve">on </w:t>
      </w:r>
      <w:r>
        <w:rPr>
          <w:szCs w:val="22"/>
        </w:rPr>
        <w:t>May 17</w:t>
      </w:r>
      <w:r w:rsidRPr="00613A5D">
        <w:rPr>
          <w:szCs w:val="22"/>
        </w:rPr>
        <w:t>, 2018.</w:t>
      </w:r>
      <w:r>
        <w:rPr>
          <w:rStyle w:val="FootnoteReference"/>
          <w:szCs w:val="22"/>
        </w:rPr>
        <w:footnoteReference w:id="5"/>
      </w:r>
      <w:r w:rsidRPr="00613A5D">
        <w:rPr>
          <w:szCs w:val="22"/>
        </w:rPr>
        <w:t xml:space="preserve">  Accordingly, comments will be due on or before June 1</w:t>
      </w:r>
      <w:r>
        <w:rPr>
          <w:szCs w:val="22"/>
        </w:rPr>
        <w:t>8</w:t>
      </w:r>
      <w:r w:rsidRPr="00613A5D">
        <w:rPr>
          <w:szCs w:val="22"/>
        </w:rPr>
        <w:t>, 2018, and reply comments will be due on or before July 2, 2018</w:t>
      </w:r>
      <w:r>
        <w:rPr>
          <w:szCs w:val="22"/>
        </w:rPr>
        <w:t xml:space="preserve">.  Complete filing instructions are provided in the </w:t>
      </w:r>
      <w:r w:rsidRPr="002B04C7">
        <w:rPr>
          <w:i/>
          <w:szCs w:val="22"/>
        </w:rPr>
        <w:t>NPRM</w:t>
      </w:r>
      <w:r>
        <w:rPr>
          <w:rStyle w:val="FootnoteReference"/>
          <w:szCs w:val="22"/>
        </w:rPr>
        <w:footnoteReference w:id="6"/>
      </w:r>
      <w:r>
        <w:rPr>
          <w:szCs w:val="22"/>
        </w:rPr>
        <w:t xml:space="preserve"> and the Federal Register.</w:t>
      </w:r>
      <w:r>
        <w:rPr>
          <w:rStyle w:val="FootnoteReference"/>
          <w:szCs w:val="22"/>
        </w:rPr>
        <w:footnoteReference w:id="7"/>
      </w:r>
    </w:p>
    <w:p w:rsidR="00693345" w:rsidP="009E07D9">
      <w:pPr>
        <w:spacing w:after="120"/>
        <w:ind w:firstLine="720"/>
        <w:rPr>
          <w:szCs w:val="22"/>
        </w:rPr>
      </w:pPr>
      <w:r w:rsidRPr="00693345">
        <w:rPr>
          <w:szCs w:val="22"/>
        </w:rPr>
        <w:t xml:space="preserve">For additional information, contact Belinda E. Nixon, Belinda.Nixon@fcc.gov, at (202) 418-1382.  </w:t>
      </w:r>
    </w:p>
    <w:p w:rsidR="009E07D9" w:rsidP="009E07D9">
      <w:pPr>
        <w:spacing w:after="120"/>
        <w:rPr>
          <w:szCs w:val="22"/>
        </w:rPr>
      </w:pPr>
      <w:r>
        <w:rPr>
          <w:szCs w:val="22"/>
        </w:rPr>
        <w:tab/>
      </w:r>
    </w:p>
    <w:p w:rsidR="00602577" w:rsidRPr="00960B64" w:rsidP="00960B64">
      <w:pPr>
        <w:jc w:val="center"/>
        <w:rPr>
          <w:rFonts w:eastAsia="TimesNewRoman"/>
          <w:color w:val="000000"/>
          <w:szCs w:val="22"/>
        </w:rPr>
      </w:pPr>
    </w:p>
    <w:sectPr w:rsidSect="002B7B57">
      <w:type w:val="continuous"/>
      <w:pgSz w:w="12240" w:h="15840" w:code="1"/>
      <w:pgMar w:top="144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20E" w:rsidP="008043C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4D72">
      <w:r>
        <w:separator/>
      </w:r>
    </w:p>
  </w:footnote>
  <w:footnote w:type="continuationSeparator" w:id="1">
    <w:p w:rsidR="000C4D72">
      <w:r>
        <w:continuationSeparator/>
      </w:r>
    </w:p>
  </w:footnote>
  <w:footnote w:type="continuationNotice" w:id="2">
    <w:p w:rsidR="000C4D72"/>
  </w:footnote>
  <w:footnote w:id="3">
    <w:p w:rsidR="009E07D9" w:rsidRPr="00196617" w:rsidP="009E07D9">
      <w:pPr>
        <w:pStyle w:val="FootnoteText"/>
        <w:spacing w:after="80"/>
        <w:rPr>
          <w:sz w:val="20"/>
        </w:rPr>
      </w:pPr>
      <w:r w:rsidRPr="00196617">
        <w:rPr>
          <w:rStyle w:val="FootnoteReference"/>
          <w:sz w:val="20"/>
        </w:rPr>
        <w:footnoteRef/>
      </w:r>
      <w:r w:rsidRPr="00196617">
        <w:rPr>
          <w:sz w:val="20"/>
        </w:rPr>
        <w:t xml:space="preserve"> </w:t>
      </w:r>
      <w:r w:rsidRPr="005D2093">
        <w:rPr>
          <w:i/>
          <w:sz w:val="20"/>
        </w:rPr>
        <w:t>Regulation of Business Data Services for Rate-of-Return Local Exchange Carriers</w:t>
      </w:r>
      <w:r w:rsidRPr="00196617">
        <w:rPr>
          <w:sz w:val="20"/>
        </w:rPr>
        <w:t xml:space="preserve">, </w:t>
      </w:r>
      <w:r>
        <w:rPr>
          <w:sz w:val="20"/>
        </w:rPr>
        <w:t>WC Docket No.</w:t>
      </w:r>
      <w:r w:rsidRPr="00D4325E">
        <w:rPr>
          <w:sz w:val="20"/>
        </w:rPr>
        <w:t xml:space="preserve"> 17-144</w:t>
      </w:r>
      <w:r>
        <w:rPr>
          <w:sz w:val="20"/>
        </w:rPr>
        <w:t>,</w:t>
      </w:r>
      <w:r w:rsidRPr="00D4325E">
        <w:rPr>
          <w:sz w:val="20"/>
        </w:rPr>
        <w:t xml:space="preserve"> </w:t>
      </w:r>
      <w:r w:rsidRPr="00196617">
        <w:rPr>
          <w:sz w:val="20"/>
        </w:rPr>
        <w:t>Notice o</w:t>
      </w:r>
      <w:r>
        <w:rPr>
          <w:sz w:val="20"/>
        </w:rPr>
        <w:t xml:space="preserve">f Proposed </w:t>
      </w:r>
      <w:r w:rsidRPr="00D4325E">
        <w:rPr>
          <w:sz w:val="20"/>
        </w:rPr>
        <w:t xml:space="preserve">Rulemaking, FCC </w:t>
      </w:r>
      <w:r>
        <w:rPr>
          <w:sz w:val="20"/>
        </w:rPr>
        <w:t xml:space="preserve">18-46 </w:t>
      </w:r>
      <w:r w:rsidRPr="00D4325E">
        <w:rPr>
          <w:sz w:val="20"/>
        </w:rPr>
        <w:t xml:space="preserve">(rel. April 18, 2018).  The document is available on the Commission’s website at </w:t>
      </w:r>
      <w:r>
        <w:fldChar w:fldCharType="begin"/>
      </w:r>
      <w:r>
        <w:instrText xml:space="preserve"> HYPERLINK "https://transition.fcc.gov/Daily_Releases/Daily_Business/2018/db0418/FCC-18-46A1.pdf" </w:instrText>
      </w:r>
      <w:r>
        <w:fldChar w:fldCharType="separate"/>
      </w:r>
      <w:r w:rsidRPr="00D955F6">
        <w:rPr>
          <w:rStyle w:val="Hyperlink"/>
          <w:sz w:val="20"/>
        </w:rPr>
        <w:t>https://transition.fcc.gov/Daily_Releases/Daily_Business/2018/db0418/FCC-18-46A1.pdf</w:t>
      </w:r>
      <w:r>
        <w:fldChar w:fldCharType="end"/>
      </w:r>
      <w:r>
        <w:rPr>
          <w:sz w:val="20"/>
        </w:rPr>
        <w:t xml:space="preserve">. </w:t>
      </w:r>
      <w:r w:rsidRPr="00D4325E">
        <w:rPr>
          <w:sz w:val="20"/>
        </w:rPr>
        <w:t>The document is also</w:t>
      </w:r>
      <w:r w:rsidRPr="00196617">
        <w:rPr>
          <w:sz w:val="20"/>
        </w:rPr>
        <w:t xml:space="preserve"> available electronically via the Commission’s Electronic Document Management System (EDOCS) website at </w:t>
      </w:r>
      <w:r>
        <w:fldChar w:fldCharType="begin"/>
      </w:r>
      <w:r>
        <w:instrText xml:space="preserve"> HYPERLINK "https://apps.fcc.gov/edocs_public/" </w:instrText>
      </w:r>
      <w:r>
        <w:fldChar w:fldCharType="separate"/>
      </w:r>
      <w:r w:rsidRPr="00D4325E">
        <w:rPr>
          <w:rStyle w:val="Hyperlink"/>
          <w:sz w:val="20"/>
        </w:rPr>
        <w:t>https</w:t>
      </w:r>
      <w:r w:rsidRPr="00196617">
        <w:rPr>
          <w:rStyle w:val="Hyperlink"/>
          <w:sz w:val="20"/>
        </w:rPr>
        <w:t>://apps.fcc.gov/edocs_public/</w:t>
      </w:r>
      <w:r>
        <w:fldChar w:fldCharType="end"/>
      </w:r>
      <w:r w:rsidRPr="00196617">
        <w:rPr>
          <w:sz w:val="20"/>
        </w:rPr>
        <w:t xml:space="preserve"> (by FCC document number, FCC </w:t>
      </w:r>
      <w:r>
        <w:rPr>
          <w:sz w:val="20"/>
        </w:rPr>
        <w:t>18-46</w:t>
      </w:r>
      <w:r w:rsidRPr="00196617">
        <w:rPr>
          <w:sz w:val="20"/>
        </w:rPr>
        <w:t xml:space="preserve">) or via the Commission’s Electronic Comment Filing System (ECFS) website at </w:t>
      </w:r>
      <w:r>
        <w:fldChar w:fldCharType="begin"/>
      </w:r>
      <w:r>
        <w:instrText xml:space="preserve"> HYPERLINK "https://www.fcc.gov/ecfs/" </w:instrText>
      </w:r>
      <w:r>
        <w:fldChar w:fldCharType="separate"/>
      </w:r>
      <w:r w:rsidRPr="00196617">
        <w:rPr>
          <w:rStyle w:val="Hyperlink"/>
          <w:sz w:val="20"/>
        </w:rPr>
        <w:t>https://www.fcc.gov/ecfs/</w:t>
      </w:r>
      <w:r>
        <w:fldChar w:fldCharType="end"/>
      </w:r>
      <w:r w:rsidRPr="00196617">
        <w:rPr>
          <w:sz w:val="20"/>
        </w:rPr>
        <w:t xml:space="preserve"> (by docket number, </w:t>
      </w:r>
      <w:r>
        <w:rPr>
          <w:sz w:val="20"/>
        </w:rPr>
        <w:t>WC Docket No. 17-144</w:t>
      </w:r>
      <w:r w:rsidRPr="00196617">
        <w:rPr>
          <w:sz w:val="20"/>
        </w:rPr>
        <w:t>).</w:t>
      </w:r>
    </w:p>
  </w:footnote>
  <w:footnote w:id="4">
    <w:p w:rsidR="009E07D9" w:rsidRPr="00E71A4B" w:rsidP="009E07D9">
      <w:pPr>
        <w:pStyle w:val="FootnoteText"/>
        <w:spacing w:after="80"/>
      </w:pPr>
      <w:r>
        <w:rPr>
          <w:rStyle w:val="FootnoteReference"/>
        </w:rPr>
        <w:footnoteRef/>
      </w:r>
      <w:r>
        <w:t xml:space="preserve"> </w:t>
      </w:r>
      <w:r w:rsidRPr="00DE6B8E">
        <w:rPr>
          <w:i/>
          <w:sz w:val="20"/>
        </w:rPr>
        <w:t>NPRM</w:t>
      </w:r>
      <w:r>
        <w:rPr>
          <w:sz w:val="20"/>
        </w:rPr>
        <w:t xml:space="preserve"> at 1.  </w:t>
      </w:r>
    </w:p>
  </w:footnote>
  <w:footnote w:id="5">
    <w:p w:rsidR="009E07D9" w:rsidRPr="00196617" w:rsidP="009E07D9">
      <w:pPr>
        <w:pStyle w:val="FootnoteText"/>
        <w:spacing w:after="80"/>
        <w:rPr>
          <w:sz w:val="20"/>
        </w:rPr>
      </w:pPr>
      <w:r w:rsidRPr="00196617">
        <w:rPr>
          <w:rStyle w:val="FootnoteReference"/>
          <w:sz w:val="20"/>
        </w:rPr>
        <w:footnoteRef/>
      </w:r>
      <w:r w:rsidRPr="00196617">
        <w:rPr>
          <w:sz w:val="20"/>
        </w:rPr>
        <w:t xml:space="preserve"> </w:t>
      </w:r>
      <w:r w:rsidRPr="00A57BD2">
        <w:rPr>
          <w:i/>
          <w:sz w:val="20"/>
        </w:rPr>
        <w:t>Regulation of Business Data Services for Rate-of-Return Local Exchange Carriers</w:t>
      </w:r>
      <w:r>
        <w:rPr>
          <w:sz w:val="20"/>
        </w:rPr>
        <w:t xml:space="preserve">, Proposed Rule, </w:t>
      </w:r>
      <w:r w:rsidRPr="00613A5D">
        <w:rPr>
          <w:sz w:val="20"/>
        </w:rPr>
        <w:t xml:space="preserve">83 Fed. Reg. </w:t>
      </w:r>
      <w:r>
        <w:rPr>
          <w:sz w:val="20"/>
        </w:rPr>
        <w:t>22923</w:t>
      </w:r>
      <w:r w:rsidRPr="00613A5D">
        <w:rPr>
          <w:sz w:val="20"/>
        </w:rPr>
        <w:t xml:space="preserve"> </w:t>
      </w:r>
      <w:r>
        <w:rPr>
          <w:sz w:val="20"/>
        </w:rPr>
        <w:t>(May 17</w:t>
      </w:r>
      <w:r w:rsidRPr="00613A5D">
        <w:rPr>
          <w:sz w:val="20"/>
        </w:rPr>
        <w:t>, 2018)</w:t>
      </w:r>
      <w:r>
        <w:rPr>
          <w:sz w:val="20"/>
        </w:rPr>
        <w:t xml:space="preserve">, </w:t>
      </w:r>
      <w:r>
        <w:fldChar w:fldCharType="begin"/>
      </w:r>
      <w:r>
        <w:instrText xml:space="preserve"> HYPERLINK "https://www.federalregister.gov/documents/2018/05/17/2018-10338/regulation-of-business-data-services-for-rate-of-return-local-exchange-carriers" </w:instrText>
      </w:r>
      <w:r>
        <w:fldChar w:fldCharType="separate"/>
      </w:r>
      <w:r w:rsidRPr="0037131C">
        <w:rPr>
          <w:rStyle w:val="Hyperlink"/>
          <w:sz w:val="20"/>
        </w:rPr>
        <w:t>https://www.federalregister.gov/documents/2018/05/17/2018-10338/regulation-of-business-data-services-for-rate-of-return-local-exchange-carriers</w:t>
      </w:r>
      <w:r>
        <w:fldChar w:fldCharType="end"/>
      </w:r>
      <w:r>
        <w:rPr>
          <w:sz w:val="20"/>
        </w:rPr>
        <w:t xml:space="preserve"> (Notice).</w:t>
      </w:r>
    </w:p>
  </w:footnote>
  <w:footnote w:id="6">
    <w:p w:rsidR="009E07D9" w:rsidP="009E07D9">
      <w:pPr>
        <w:pStyle w:val="FootnoteText"/>
        <w:spacing w:after="80"/>
      </w:pPr>
      <w:r w:rsidRPr="00196617">
        <w:rPr>
          <w:rStyle w:val="FootnoteReference"/>
          <w:sz w:val="20"/>
        </w:rPr>
        <w:footnoteRef/>
      </w:r>
      <w:r w:rsidRPr="00196617">
        <w:rPr>
          <w:sz w:val="20"/>
        </w:rPr>
        <w:t xml:space="preserve"> </w:t>
      </w:r>
      <w:r w:rsidRPr="00313668">
        <w:rPr>
          <w:i/>
          <w:sz w:val="20"/>
        </w:rPr>
        <w:t xml:space="preserve">See </w:t>
      </w:r>
      <w:r>
        <w:rPr>
          <w:i/>
          <w:sz w:val="20"/>
        </w:rPr>
        <w:t>NPRM</w:t>
      </w:r>
      <w:r>
        <w:rPr>
          <w:sz w:val="20"/>
        </w:rPr>
        <w:t xml:space="preserve"> at 24-25, paras. 64-65.  </w:t>
      </w:r>
      <w:r w:rsidRPr="00196617">
        <w:rPr>
          <w:sz w:val="20"/>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196617">
        <w:rPr>
          <w:rStyle w:val="Hyperlink"/>
          <w:sz w:val="20"/>
        </w:rPr>
        <w:t>fcc504@fcc.gov</w:t>
      </w:r>
      <w:r>
        <w:fldChar w:fldCharType="end"/>
      </w:r>
      <w:r w:rsidRPr="00196617">
        <w:rPr>
          <w:sz w:val="20"/>
        </w:rPr>
        <w:t xml:space="preserve"> or call the Consumer &amp; Governmental Affairs Bureau at 202-418-0530 (voice), 202-418-0432 (</w:t>
      </w:r>
      <w:r w:rsidRPr="00196617">
        <w:rPr>
          <w:sz w:val="20"/>
        </w:rPr>
        <w:t>tty</w:t>
      </w:r>
      <w:r w:rsidRPr="00196617">
        <w:rPr>
          <w:sz w:val="20"/>
        </w:rPr>
        <w:t>).</w:t>
      </w:r>
    </w:p>
  </w:footnote>
  <w:footnote w:id="7">
    <w:p w:rsidR="009E07D9" w:rsidRPr="00363CCC" w:rsidP="009E07D9">
      <w:pPr>
        <w:pStyle w:val="FootnoteText"/>
        <w:spacing w:after="80"/>
        <w:rPr>
          <w:sz w:val="20"/>
        </w:rPr>
      </w:pPr>
      <w:r>
        <w:rPr>
          <w:rStyle w:val="FootnoteReference"/>
        </w:rPr>
        <w:footnoteRef/>
      </w:r>
      <w:r>
        <w:t xml:space="preserve"> </w:t>
      </w:r>
      <w:r w:rsidRPr="00D11692">
        <w:rPr>
          <w:i/>
          <w:sz w:val="20"/>
        </w:rPr>
        <w:t>See</w:t>
      </w:r>
      <w:r>
        <w:rPr>
          <w:sz w:val="20"/>
        </w:rPr>
        <w:t xml:space="preserve"> Notice at 22923-24</w:t>
      </w:r>
      <w:r w:rsidRPr="00613A5D">
        <w:rPr>
          <w:sz w:val="20"/>
        </w:rPr>
        <w:t>.</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20E" w:rsidP="00DF73E0">
    <w:pPr>
      <w:pStyle w:val="Header"/>
      <w:tabs>
        <w:tab w:val="clear" w:pos="4320"/>
        <w:tab w:val="clear" w:pos="8640"/>
      </w:tabs>
      <w:spacing w:before="40"/>
      <w:ind w:left="99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pPr>
                            <w:rPr>
                              <w:rFonts w:ascii="Arial" w:hAnsi="Arial"/>
                              <w:b/>
                            </w:rPr>
                          </w:pPr>
                          <w:r>
                            <w:rPr>
                              <w:rFonts w:ascii="Arial" w:hAnsi="Arial"/>
                              <w:b/>
                            </w:rPr>
                            <w:t>Federal Communications Commission</w:t>
                          </w:r>
                        </w:p>
                        <w:p w:rsidR="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7.8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F320E">
                    <w:pPr>
                      <w:rPr>
                        <w:rFonts w:ascii="Arial" w:hAnsi="Arial"/>
                        <w:b/>
                      </w:rPr>
                    </w:pPr>
                    <w:r>
                      <w:rPr>
                        <w:rFonts w:ascii="Arial" w:hAnsi="Arial"/>
                        <w:b/>
                      </w:rPr>
                      <w:t>Federal Communications Commission</w:t>
                    </w:r>
                  </w:p>
                  <w:p w:rsidR="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66675</wp:posOffset>
          </wp:positionV>
          <wp:extent cx="530225" cy="530225"/>
          <wp:effectExtent l="0" t="0" r="3175" b="3175"/>
          <wp:wrapTight wrapText="bothSides">
            <wp:wrapPolygon>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498612" name="Picture 6"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BF320E">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1060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3.7pt,54.8pt" to="485.3pt,54.8pt" o:allowincell="f"/>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pPr>
                            <w:spacing w:before="40"/>
                            <w:jc w:val="right"/>
                            <w:rPr>
                              <w:rFonts w:ascii="Arial" w:hAnsi="Arial"/>
                              <w:b/>
                              <w:sz w:val="16"/>
                            </w:rPr>
                          </w:pPr>
                          <w:r>
                            <w:rPr>
                              <w:rFonts w:ascii="Arial" w:hAnsi="Arial"/>
                              <w:b/>
                              <w:sz w:val="16"/>
                            </w:rPr>
                            <w:t>News Media Information 202 / 418-0500</w:t>
                          </w:r>
                        </w:p>
                        <w:p w:rsidR="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pPr>
                            <w:jc w:val="right"/>
                            <w:rPr>
                              <w:rFonts w:ascii="Arial" w:hAnsi="Arial"/>
                              <w:b/>
                              <w:sz w:val="16"/>
                            </w:rPr>
                          </w:pPr>
                          <w:r>
                            <w:rPr>
                              <w:rFonts w:ascii="Arial" w:hAnsi="Arial"/>
                              <w:b/>
                              <w:sz w:val="16"/>
                            </w:rPr>
                            <w:t>TTY: 1-888-835-5322</w:t>
                          </w:r>
                        </w:p>
                        <w:p w:rsidR="00BF320E">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F320E">
                    <w:pPr>
                      <w:spacing w:before="40"/>
                      <w:jc w:val="right"/>
                      <w:rPr>
                        <w:rFonts w:ascii="Arial" w:hAnsi="Arial"/>
                        <w:b/>
                        <w:sz w:val="16"/>
                      </w:rPr>
                    </w:pPr>
                    <w:r>
                      <w:rPr>
                        <w:rFonts w:ascii="Arial" w:hAnsi="Arial"/>
                        <w:b/>
                        <w:sz w:val="16"/>
                      </w:rPr>
                      <w:t>News Media Information 202 / 418-0500</w:t>
                    </w:r>
                  </w:p>
                  <w:p w:rsidR="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pPr>
                      <w:jc w:val="right"/>
                      <w:rPr>
                        <w:rFonts w:ascii="Arial" w:hAnsi="Arial"/>
                        <w:b/>
                        <w:sz w:val="16"/>
                      </w:rPr>
                    </w:pPr>
                    <w:r>
                      <w:rPr>
                        <w:rFonts w:ascii="Arial" w:hAnsi="Arial"/>
                        <w:b/>
                        <w:sz w:val="16"/>
                      </w:rPr>
                      <w:t>TTY: 1-888-835-5322</w:t>
                    </w:r>
                  </w:p>
                  <w:p w:rsidR="00BF320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AC30CBF"/>
    <w:multiLevelType w:val="hybridMultilevel"/>
    <w:tmpl w:val="062889D6"/>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start w:val="1"/>
      <w:numFmt w:val="bullet"/>
      <w:lvlText w:val=""/>
      <w:lvlJc w:val="left"/>
      <w:pPr>
        <w:ind w:left="4320" w:hanging="360"/>
      </w:pPr>
      <w:rPr>
        <w:rFonts w:ascii="Symbol" w:hAnsi="Symbol" w:hint="default"/>
        <w:b w:val="0"/>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start w:val="0"/>
      <w:numFmt w:val="bullet"/>
      <w:lvlText w:val=""/>
      <w:lvlJc w:val="left"/>
      <w:pPr>
        <w:ind w:left="720" w:hanging="360"/>
      </w:pPr>
      <w:rPr>
        <w:rFonts w:ascii="Times New Roman" w:eastAsia="TimesNew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start w:val="1"/>
      <w:numFmt w:val="bullet"/>
      <w:lvlText w:val=""/>
      <w:lvlJc w:val="left"/>
      <w:pPr>
        <w:ind w:left="3600" w:hanging="360"/>
      </w:pPr>
      <w:rPr>
        <w:rFonts w:ascii="Symbol" w:hAnsi="Symbol" w:hint="default"/>
        <w:b w:val="0"/>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5">
    <w:nsid w:val="40A71986"/>
    <w:multiLevelType w:val="hybridMultilevel"/>
    <w:tmpl w:val="E320D11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start w:val="1"/>
      <w:numFmt w:val="decimal"/>
      <w:lvlText w:val="%1."/>
      <w:lvlJc w:val="left"/>
      <w:pPr>
        <w:ind w:left="1890" w:hanging="360"/>
      </w:pPr>
      <w:rPr>
        <w:rFonts w:hint="default"/>
        <w:i w:val="0"/>
        <w:u w:val="none"/>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7">
    <w:nsid w:val="4D7B2C3F"/>
    <w:multiLevelType w:val="hybridMultilevel"/>
    <w:tmpl w:val="1FC8813E"/>
    <w:lvl w:ilvl="0">
      <w:start w:val="0"/>
      <w:numFmt w:val="bullet"/>
      <w:lvlText w:val="-"/>
      <w:lvlJc w:val="left"/>
      <w:pPr>
        <w:ind w:left="3960" w:hanging="360"/>
      </w:pPr>
      <w:rPr>
        <w:rFonts w:ascii="Times New Roman" w:eastAsia="Times New Roman" w:hAnsi="Times New Roman" w:cs="Times New Roman" w:hint="default"/>
        <w:b/>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start w:val="1"/>
      <w:numFmt w:val="decimal"/>
      <w:lvlText w:val="%1."/>
      <w:lvlJc w:val="left"/>
      <w:pPr>
        <w:ind w:left="153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ACE4917"/>
    <w:multiLevelType w:val="hybridMultilevel"/>
    <w:tmpl w:val="A83EE65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6">
    <w:nsid w:val="7A5D06AB"/>
    <w:multiLevelType w:val="hybridMultilevel"/>
    <w:tmpl w:val="561CE3F8"/>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6"/>
  </w:num>
  <w:num w:numId="30">
    <w:abstractNumId w:val="11"/>
  </w:num>
  <w:num w:numId="31">
    <w:abstractNumId w:val="6"/>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Style 7,fr,o"/>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 Char1,ALTS FOOTNOTE Char2,Footnote Text Char Char Char Char Char Char Char,Footnote Text Char Char Char Char1,Footnote Text Char1 Char Char1,Footnote Text Char1 Char1 Char Char Char Char,f Char1,fn Char2"/>
    <w:basedOn w:val="DefaultParagraphFont"/>
    <w:link w:val="FootnoteText"/>
    <w:uiPriority w:val="99"/>
    <w:semiHidden/>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ocked/>
    <w:rsid w:val="0073223F"/>
  </w:style>
  <w:style w:type="character" w:customStyle="1" w:styleId="apple-converted-space">
    <w:name w:val="apple-converted-space"/>
    <w:basedOn w:val="DefaultParagraphFont"/>
    <w:rsid w:val="00437F55"/>
  </w:style>
  <w:style w:type="paragraph" w:customStyle="1" w:styleId="ParaNum0">
    <w:name w:val="ParaNum"/>
    <w:basedOn w:val="Normal"/>
    <w:link w:val="ParaNumChar"/>
    <w:rsid w:val="008B444E"/>
    <w:pPr>
      <w:widowControl w:val="0"/>
      <w:numPr>
        <w:numId w:val="33"/>
      </w:numPr>
      <w:tabs>
        <w:tab w:val="clear" w:pos="1080"/>
        <w:tab w:val="num" w:pos="1440"/>
      </w:tabs>
      <w:spacing w:after="120"/>
    </w:pPr>
    <w:rPr>
      <w:snapToGrid w:val="0"/>
      <w:kern w:val="28"/>
    </w:rPr>
  </w:style>
  <w:style w:type="character" w:customStyle="1" w:styleId="ParaNumChar">
    <w:name w:val="ParaNum Char"/>
    <w:link w:val="ParaNum0"/>
    <w:locked/>
    <w:rsid w:val="008B444E"/>
    <w:rPr>
      <w:snapToGrid w:val="0"/>
      <w:kern w:val="28"/>
      <w:sz w:val="22"/>
    </w:rPr>
  </w:style>
  <w:style w:type="character" w:customStyle="1" w:styleId="UnresolvedMention1">
    <w:name w:val="Unresolved Mention1"/>
    <w:basedOn w:val="DefaultParagraphFont"/>
    <w:uiPriority w:val="99"/>
    <w:semiHidden/>
    <w:unhideWhenUsed/>
    <w:rsid w:val="00EF5392"/>
    <w:rPr>
      <w:color w:val="808080"/>
      <w:shd w:val="clear" w:color="auto" w:fill="E6E6E6"/>
    </w:rPr>
  </w:style>
  <w:style w:type="character" w:customStyle="1" w:styleId="UnresolvedMention">
    <w:name w:val="Unresolved Mention"/>
    <w:basedOn w:val="DefaultParagraphFont"/>
    <w:uiPriority w:val="99"/>
    <w:semiHidden/>
    <w:unhideWhenUsed/>
    <w:rsid w:val="006970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