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06AF2" w:rsidRPr="00906AF2" w:rsidP="00906AF2">
      <w:pPr>
        <w:jc w:val="right"/>
        <w:rPr>
          <w:szCs w:val="22"/>
        </w:rPr>
      </w:pPr>
      <w:r w:rsidRPr="00906AF2">
        <w:rPr>
          <w:szCs w:val="22"/>
        </w:rPr>
        <w:t>DA 1</w:t>
      </w:r>
      <w:r>
        <w:rPr>
          <w:szCs w:val="22"/>
        </w:rPr>
        <w:t>8</w:t>
      </w:r>
      <w:r w:rsidRPr="00906AF2">
        <w:rPr>
          <w:szCs w:val="22"/>
        </w:rPr>
        <w:t>-</w:t>
      </w:r>
      <w:r w:rsidR="00240304">
        <w:rPr>
          <w:szCs w:val="22"/>
        </w:rPr>
        <w:t>512</w:t>
      </w:r>
    </w:p>
    <w:p w:rsidR="00906AF2" w:rsidRPr="00906AF2" w:rsidP="00906AF2">
      <w:pPr>
        <w:jc w:val="right"/>
        <w:rPr>
          <w:szCs w:val="22"/>
        </w:rPr>
      </w:pPr>
      <w:r w:rsidRPr="00906AF2">
        <w:rPr>
          <w:szCs w:val="22"/>
        </w:rPr>
        <w:t xml:space="preserve">May </w:t>
      </w:r>
      <w:r>
        <w:rPr>
          <w:szCs w:val="22"/>
        </w:rPr>
        <w:t>18</w:t>
      </w:r>
      <w:r w:rsidRPr="00906AF2">
        <w:rPr>
          <w:szCs w:val="22"/>
        </w:rPr>
        <w:t>, 2018</w:t>
      </w:r>
    </w:p>
    <w:p w:rsidR="00906AF2" w:rsidP="00906AF2">
      <w:pPr>
        <w:jc w:val="right"/>
        <w:rPr>
          <w:sz w:val="24"/>
        </w:rPr>
      </w:pPr>
    </w:p>
    <w:p w:rsidR="00906AF2" w:rsidP="00906AF2">
      <w:pPr>
        <w:spacing w:after="120"/>
        <w:jc w:val="center"/>
        <w:rPr>
          <w:b/>
          <w:szCs w:val="22"/>
        </w:rPr>
      </w:pPr>
      <w:r w:rsidRPr="00020CAF">
        <w:rPr>
          <w:b/>
          <w:szCs w:val="22"/>
        </w:rPr>
        <w:t xml:space="preserve">FCC ANNOUNCES THE MEMBERSHIP </w:t>
      </w:r>
      <w:r>
        <w:rPr>
          <w:b/>
          <w:szCs w:val="22"/>
        </w:rPr>
        <w:t xml:space="preserve">OF THE </w:t>
      </w:r>
      <w:r w:rsidR="00240304">
        <w:rPr>
          <w:b/>
          <w:szCs w:val="22"/>
        </w:rPr>
        <w:t xml:space="preserve">BROADBAND DEPLOYMENT ADVISORY COMMITTEE </w:t>
      </w:r>
      <w:r>
        <w:rPr>
          <w:b/>
          <w:szCs w:val="22"/>
        </w:rPr>
        <w:t>HARMONIZATION WORKING GROUP</w:t>
      </w:r>
    </w:p>
    <w:p w:rsidR="00906AF2" w:rsidRPr="00020CAF" w:rsidP="00906AF2">
      <w:pPr>
        <w:spacing w:after="120"/>
        <w:jc w:val="center"/>
        <w:rPr>
          <w:b/>
          <w:szCs w:val="22"/>
        </w:rPr>
      </w:pPr>
      <w:r w:rsidRPr="00020CAF">
        <w:rPr>
          <w:b/>
          <w:szCs w:val="22"/>
        </w:rPr>
        <w:t>GN Docket No. 17-83</w:t>
      </w:r>
    </w:p>
    <w:p w:rsidR="00906AF2" w:rsidRPr="00206ADF" w:rsidP="00906AF2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</w:t>
      </w:r>
      <w:r>
        <w:rPr>
          <w:szCs w:val="22"/>
        </w:rPr>
        <w:t xml:space="preserve">c Notice serves as notice that </w:t>
      </w:r>
      <w:r w:rsidRPr="00020CAF">
        <w:rPr>
          <w:szCs w:val="22"/>
        </w:rPr>
        <w:t xml:space="preserve">Federal Communications Commission (Commission) Chairman Ajit Pai has appointed members to serve on </w:t>
      </w:r>
      <w:r>
        <w:rPr>
          <w:szCs w:val="22"/>
        </w:rPr>
        <w:t>the</w:t>
      </w:r>
      <w:r w:rsidRPr="0096523E">
        <w:rPr>
          <w:szCs w:val="22"/>
        </w:rPr>
        <w:t xml:space="preserve"> </w:t>
      </w:r>
      <w:r>
        <w:rPr>
          <w:szCs w:val="22"/>
        </w:rPr>
        <w:t xml:space="preserve">Harmonization working group of the </w:t>
      </w:r>
      <w:r w:rsidRPr="00020CAF">
        <w:rPr>
          <w:szCs w:val="22"/>
        </w:rPr>
        <w:t>Broadband Deployment Advisory Committee (BDAC)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 </w:t>
      </w:r>
      <w:r w:rsidRPr="00206ADF">
        <w:rPr>
          <w:szCs w:val="22"/>
        </w:rPr>
        <w:t xml:space="preserve">The members of this working group are listed in Appendix A.  </w:t>
      </w:r>
    </w:p>
    <w:p w:rsidR="00906AF2" w:rsidP="00906AF2">
      <w:pPr>
        <w:spacing w:after="120"/>
        <w:ind w:firstLine="720"/>
        <w:rPr>
          <w:szCs w:val="22"/>
        </w:rPr>
      </w:pPr>
      <w:r>
        <w:rPr>
          <w:szCs w:val="22"/>
        </w:rPr>
        <w:t xml:space="preserve">This working group is being formed following </w:t>
      </w:r>
      <w:r w:rsidRPr="00853C92">
        <w:rPr>
          <w:szCs w:val="22"/>
        </w:rPr>
        <w:t xml:space="preserve">the </w:t>
      </w:r>
      <w:r>
        <w:rPr>
          <w:szCs w:val="22"/>
        </w:rPr>
        <w:t xml:space="preserve">vote of the </w:t>
      </w:r>
      <w:r w:rsidRPr="00853C92">
        <w:rPr>
          <w:szCs w:val="22"/>
        </w:rPr>
        <w:t xml:space="preserve">BDAC </w:t>
      </w:r>
      <w:r>
        <w:rPr>
          <w:szCs w:val="22"/>
        </w:rPr>
        <w:t xml:space="preserve">on April </w:t>
      </w:r>
      <w:r w:rsidRPr="00201090">
        <w:rPr>
          <w:szCs w:val="22"/>
        </w:rPr>
        <w:t xml:space="preserve">25, 2018, to approve both the Model Code for Municipalities and Model Code </w:t>
      </w:r>
      <w:r>
        <w:rPr>
          <w:szCs w:val="22"/>
        </w:rPr>
        <w:t xml:space="preserve">for </w:t>
      </w:r>
      <w:r w:rsidRPr="00201090">
        <w:rPr>
          <w:szCs w:val="22"/>
        </w:rPr>
        <w:t>States,</w:t>
      </w:r>
      <w:r>
        <w:rPr>
          <w:szCs w:val="22"/>
        </w:rPr>
        <w:t xml:space="preserve"> </w:t>
      </w:r>
      <w:r w:rsidRPr="00853C92">
        <w:rPr>
          <w:szCs w:val="22"/>
        </w:rPr>
        <w:t>subject to the understanding that further work would be done to address</w:t>
      </w:r>
      <w:r>
        <w:rPr>
          <w:szCs w:val="22"/>
        </w:rPr>
        <w:t xml:space="preserve"> inconsistencies and otherwise harmonize</w:t>
      </w:r>
      <w:r w:rsidRPr="00853C92">
        <w:rPr>
          <w:szCs w:val="22"/>
        </w:rPr>
        <w:t xml:space="preserve"> the two codes. </w:t>
      </w:r>
      <w:r>
        <w:rPr>
          <w:szCs w:val="22"/>
        </w:rPr>
        <w:t xml:space="preserve"> T</w:t>
      </w:r>
      <w:r w:rsidRPr="00853C92">
        <w:rPr>
          <w:szCs w:val="22"/>
        </w:rPr>
        <w:t>he Harmonization Working Group</w:t>
      </w:r>
      <w:r>
        <w:rPr>
          <w:szCs w:val="22"/>
        </w:rPr>
        <w:t xml:space="preserve"> has been</w:t>
      </w:r>
      <w:r w:rsidRPr="00853C92">
        <w:rPr>
          <w:szCs w:val="22"/>
        </w:rPr>
        <w:t xml:space="preserve"> tasked with revising the Model Code</w:t>
      </w:r>
      <w:r>
        <w:rPr>
          <w:szCs w:val="22"/>
        </w:rPr>
        <w:t xml:space="preserve"> for States</w:t>
      </w:r>
      <w:r w:rsidRPr="00853C92">
        <w:rPr>
          <w:szCs w:val="22"/>
        </w:rPr>
        <w:t xml:space="preserve"> and </w:t>
      </w:r>
      <w:r>
        <w:rPr>
          <w:szCs w:val="22"/>
        </w:rPr>
        <w:t xml:space="preserve">the </w:t>
      </w:r>
      <w:r w:rsidRPr="00853C92">
        <w:rPr>
          <w:szCs w:val="22"/>
        </w:rPr>
        <w:t xml:space="preserve">Model Code </w:t>
      </w:r>
      <w:r>
        <w:rPr>
          <w:szCs w:val="22"/>
        </w:rPr>
        <w:t xml:space="preserve">for Municipalities </w:t>
      </w:r>
      <w:r w:rsidRPr="00853C92">
        <w:rPr>
          <w:szCs w:val="22"/>
        </w:rPr>
        <w:t xml:space="preserve">with the goal of producing model codes that are harmonized with each other and with the BDAC’s prior recommendations.  </w:t>
      </w:r>
    </w:p>
    <w:p w:rsidR="00906AF2" w:rsidRPr="00020CAF" w:rsidP="00906AF2">
      <w:pPr>
        <w:spacing w:after="120"/>
        <w:ind w:firstLine="720"/>
        <w:rPr>
          <w:szCs w:val="22"/>
        </w:rPr>
      </w:pPr>
      <w:r>
        <w:rPr>
          <w:szCs w:val="22"/>
        </w:rPr>
        <w:t>The BDAC is organized under, and operates in accordance with, the provisions of the Federal Advisory Committee Act (FACA).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 BDAC’s mission is to provide advice and recommendations to the Commission on how to accelerate the deployment of high-speed Internet access.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</w:p>
    <w:p w:rsidR="00906AF2" w:rsidRPr="00020CAF" w:rsidP="00906AF2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More information about the BDAC is available at </w:t>
      </w:r>
      <w:r>
        <w:fldChar w:fldCharType="begin"/>
      </w:r>
      <w:r>
        <w:instrText xml:space="preserve"> HYPERLINK "https://www.fcc.gov/broadband-deployment-advisory-committee" </w:instrText>
      </w:r>
      <w:r>
        <w:fldChar w:fldCharType="separate"/>
      </w:r>
      <w:r w:rsidRPr="00020CAF">
        <w:rPr>
          <w:rStyle w:val="Hyperlink"/>
          <w:szCs w:val="22"/>
        </w:rPr>
        <w:t>https://www.fcc.gov/broadband-deployment-advisory-committee</w:t>
      </w:r>
      <w:r>
        <w:fldChar w:fldCharType="end"/>
      </w:r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Y</w:t>
      </w:r>
      <w:r>
        <w:rPr>
          <w:szCs w:val="22"/>
        </w:rPr>
        <w:t>ou may also contact Paul D’Ari</w:t>
      </w:r>
      <w:r w:rsidRPr="00020CAF">
        <w:rPr>
          <w:szCs w:val="22"/>
        </w:rPr>
        <w:t xml:space="preserve">, Designated Federal Officer (DFO) of the BDAC, at </w:t>
      </w:r>
      <w:r>
        <w:fldChar w:fldCharType="begin"/>
      </w:r>
      <w:r>
        <w:instrText xml:space="preserve"> HYPERLINK "mailto:paul.dari@fcc.gov" </w:instrText>
      </w:r>
      <w:r>
        <w:fldChar w:fldCharType="separate"/>
      </w:r>
      <w:r w:rsidRPr="00DF266E">
        <w:rPr>
          <w:rStyle w:val="Hyperlink"/>
          <w:szCs w:val="22"/>
        </w:rPr>
        <w:t>paul.dari@fcc.gov</w:t>
      </w:r>
      <w:r>
        <w:fldChar w:fldCharType="end"/>
      </w:r>
      <w:r>
        <w:rPr>
          <w:szCs w:val="22"/>
        </w:rPr>
        <w:t xml:space="preserve"> or 202-418-1550; Deputy DFO Deborah Salons</w:t>
      </w:r>
      <w:r w:rsidRPr="00020CAF">
        <w:rPr>
          <w:szCs w:val="22"/>
        </w:rPr>
        <w:t xml:space="preserve">, at </w:t>
      </w:r>
      <w:r>
        <w:fldChar w:fldCharType="begin"/>
      </w:r>
      <w:r>
        <w:instrText xml:space="preserve"> HYPERLINK "mailto:deborah.salons@fcc.gov" </w:instrText>
      </w:r>
      <w:r>
        <w:fldChar w:fldCharType="separate"/>
      </w:r>
      <w:r w:rsidRPr="00DF266E">
        <w:rPr>
          <w:rStyle w:val="Hyperlink"/>
          <w:szCs w:val="22"/>
        </w:rPr>
        <w:t>deborah.salons@fcc.gov</w:t>
      </w:r>
      <w:r>
        <w:fldChar w:fldCharType="end"/>
      </w:r>
      <w:r>
        <w:rPr>
          <w:szCs w:val="22"/>
        </w:rPr>
        <w:t xml:space="preserve"> or 202-418-0637, or Deputy DFO Jiaming Shang, at </w:t>
      </w:r>
      <w:r>
        <w:fldChar w:fldCharType="begin"/>
      </w:r>
      <w:r>
        <w:instrText xml:space="preserve"> HYPERLINK "mailto:jiaming.shang@fcc.goc" </w:instrText>
      </w:r>
      <w:r>
        <w:fldChar w:fldCharType="separate"/>
      </w:r>
      <w:r w:rsidRPr="00DF266E">
        <w:rPr>
          <w:rStyle w:val="Hyperlink"/>
          <w:szCs w:val="22"/>
        </w:rPr>
        <w:t>jiaming.shang@fcc.goc</w:t>
      </w:r>
      <w:r>
        <w:fldChar w:fldCharType="end"/>
      </w:r>
      <w:r>
        <w:rPr>
          <w:szCs w:val="22"/>
        </w:rPr>
        <w:t xml:space="preserve"> or 202-418-1303.</w:t>
      </w:r>
      <w:r w:rsidRPr="00020CAF">
        <w:rPr>
          <w:szCs w:val="22"/>
        </w:rPr>
        <w:t xml:space="preserve"> </w:t>
      </w:r>
    </w:p>
    <w:p w:rsidR="00906AF2" w:rsidP="00906AF2">
      <w:pPr>
        <w:jc w:val="center"/>
        <w:rPr>
          <w:b/>
          <w:szCs w:val="22"/>
        </w:rPr>
      </w:pPr>
    </w:p>
    <w:p w:rsidR="00906AF2" w:rsidP="00906AF2">
      <w:pPr>
        <w:jc w:val="center"/>
        <w:rPr>
          <w:b/>
          <w:szCs w:val="22"/>
        </w:rPr>
      </w:pPr>
    </w:p>
    <w:p w:rsidR="00906AF2" w:rsidRPr="00020CAF" w:rsidP="00906AF2">
      <w:pPr>
        <w:jc w:val="center"/>
        <w:rPr>
          <w:b/>
          <w:iCs/>
          <w:szCs w:val="22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p w:rsidR="00906AF2" w:rsidP="00906AF2">
      <w:pPr>
        <w:jc w:val="center"/>
        <w:rPr>
          <w:b/>
          <w:szCs w:val="22"/>
        </w:rPr>
        <w:sectPr w:rsidSect="00194707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r>
        <w:rPr>
          <w:b/>
          <w:szCs w:val="22"/>
        </w:rPr>
        <w:br w:type="page"/>
      </w:r>
    </w:p>
    <w:p w:rsidR="00906AF2" w:rsidP="00906AF2">
      <w:pPr>
        <w:jc w:val="center"/>
        <w:rPr>
          <w:b/>
          <w:szCs w:val="22"/>
        </w:rPr>
      </w:pPr>
      <w:r>
        <w:rPr>
          <w:b/>
          <w:szCs w:val="22"/>
        </w:rPr>
        <w:t>APPENDIX A</w:t>
      </w:r>
    </w:p>
    <w:p w:rsidR="00906AF2" w:rsidRPr="00020CAF" w:rsidP="00906AF2">
      <w:pPr>
        <w:jc w:val="center"/>
        <w:rPr>
          <w:b/>
          <w:szCs w:val="22"/>
        </w:rPr>
      </w:pPr>
      <w:r>
        <w:rPr>
          <w:b/>
          <w:szCs w:val="22"/>
        </w:rPr>
        <w:t>MEMBERS OF THE HARMONIZATION WORKING GROUP</w:t>
      </w:r>
    </w:p>
    <w:p w:rsidR="00906AF2" w:rsidRPr="00A72BF0" w:rsidP="00906AF2">
      <w:pPr>
        <w:tabs>
          <w:tab w:val="center" w:pos="770"/>
        </w:tabs>
        <w:rPr>
          <w:i/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</w:p>
    <w:p w:rsidR="00906AF2" w:rsidRPr="0096202E" w:rsidP="00906AF2">
      <w:pPr>
        <w:pStyle w:val="ListParagraph"/>
        <w:ind w:left="0"/>
        <w:contextualSpacing/>
        <w:rPr>
          <w:b/>
          <w:sz w:val="22"/>
          <w:szCs w:val="22"/>
        </w:rPr>
      </w:pPr>
      <w:r w:rsidRPr="0096202E">
        <w:rPr>
          <w:b/>
          <w:sz w:val="22"/>
          <w:szCs w:val="22"/>
        </w:rPr>
        <w:t>Chair:</w:t>
      </w:r>
    </w:p>
    <w:p w:rsidR="00906AF2" w:rsidP="00906AF2">
      <w:pPr>
        <w:tabs>
          <w:tab w:val="center" w:pos="770"/>
        </w:tabs>
        <w:rPr>
          <w:szCs w:val="22"/>
        </w:rPr>
      </w:pPr>
      <w:r>
        <w:t xml:space="preserve">Elizabeth Bowles, </w:t>
      </w:r>
      <w:r w:rsidRPr="00020CAF">
        <w:rPr>
          <w:szCs w:val="22"/>
        </w:rPr>
        <w:t>President and Chairman of the Board</w:t>
      </w:r>
      <w:r>
        <w:t xml:space="preserve">  </w:t>
      </w:r>
    </w:p>
    <w:p w:rsidR="00906AF2" w:rsidRPr="00043DD1" w:rsidP="00906AF2">
      <w:pPr>
        <w:pStyle w:val="ListParagraph"/>
        <w:ind w:left="0"/>
        <w:contextualSpacing/>
        <w:rPr>
          <w:i/>
        </w:rPr>
      </w:pPr>
      <w:r w:rsidRPr="00043DD1">
        <w:rPr>
          <w:i/>
        </w:rPr>
        <w:t>Aristotle</w:t>
      </w:r>
    </w:p>
    <w:p w:rsidR="00906AF2" w:rsidRPr="0096202E" w:rsidP="00906AF2">
      <w:pPr>
        <w:pStyle w:val="ListParagraph"/>
        <w:ind w:left="0"/>
        <w:contextualSpacing/>
        <w:rPr>
          <w:sz w:val="22"/>
          <w:szCs w:val="22"/>
        </w:rPr>
      </w:pPr>
    </w:p>
    <w:p w:rsidR="00906AF2" w:rsidRPr="0096202E" w:rsidP="00906AF2">
      <w:pPr>
        <w:pStyle w:val="ListParagraph"/>
        <w:ind w:left="0"/>
        <w:contextualSpacing/>
        <w:rPr>
          <w:b/>
          <w:sz w:val="22"/>
          <w:szCs w:val="22"/>
        </w:rPr>
      </w:pPr>
      <w:r w:rsidRPr="0096202E">
        <w:rPr>
          <w:b/>
          <w:sz w:val="22"/>
          <w:szCs w:val="22"/>
        </w:rPr>
        <w:t>Vice-Chair</w:t>
      </w:r>
      <w:r>
        <w:rPr>
          <w:b/>
          <w:sz w:val="22"/>
          <w:szCs w:val="22"/>
        </w:rPr>
        <w:t>s</w:t>
      </w:r>
      <w:r w:rsidRPr="0096202E">
        <w:rPr>
          <w:b/>
          <w:sz w:val="22"/>
          <w:szCs w:val="22"/>
        </w:rPr>
        <w:t>:</w:t>
      </w:r>
    </w:p>
    <w:p w:rsidR="00906AF2" w:rsidRPr="00020CAF" w:rsidP="00906AF2">
      <w:pPr>
        <w:tabs>
          <w:tab w:val="left" w:pos="770"/>
        </w:tabs>
        <w:rPr>
          <w:szCs w:val="22"/>
        </w:rPr>
      </w:pPr>
      <w:r>
        <w:t xml:space="preserve">Kelleigh Cole, </w:t>
      </w:r>
      <w:r w:rsidRPr="00020CAF">
        <w:rPr>
          <w:szCs w:val="22"/>
        </w:rPr>
        <w:t>Director, Utah Broadband Outreach Center</w:t>
      </w:r>
    </w:p>
    <w:p w:rsidR="00906AF2" w:rsidRPr="00FD14FD" w:rsidP="00906AF2">
      <w:pPr>
        <w:tabs>
          <w:tab w:val="left" w:pos="770"/>
        </w:tabs>
        <w:rPr>
          <w:i/>
          <w:szCs w:val="22"/>
        </w:rPr>
      </w:pPr>
      <w:r w:rsidRPr="00020CAF">
        <w:rPr>
          <w:i/>
          <w:szCs w:val="22"/>
        </w:rPr>
        <w:t>Utah Governor’s Office of Economic Development</w:t>
      </w:r>
    </w:p>
    <w:p w:rsidR="00906AF2" w:rsidP="00906AF2">
      <w:pPr>
        <w:rPr>
          <w:i/>
        </w:rPr>
      </w:pPr>
    </w:p>
    <w:p w:rsidR="00906AF2" w:rsidP="00906AF2">
      <w:r>
        <w:t>David Young, Fiber Infrastructure and Right of Way Manager, City of Lincoln, Nebraska</w:t>
      </w:r>
    </w:p>
    <w:p w:rsidR="00906AF2" w:rsidRPr="00043DD1" w:rsidP="00906AF2">
      <w:pPr>
        <w:rPr>
          <w:i/>
        </w:rPr>
      </w:pPr>
      <w:r w:rsidRPr="00043DD1">
        <w:rPr>
          <w:i/>
        </w:rPr>
        <w:t>National League of Cities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96202E" w:rsidP="00906AF2">
      <w:pPr>
        <w:pStyle w:val="ListParagraph"/>
        <w:ind w:left="0"/>
        <w:contextualSpacing/>
        <w:rPr>
          <w:b/>
          <w:sz w:val="22"/>
          <w:szCs w:val="22"/>
        </w:rPr>
      </w:pPr>
      <w:r w:rsidRPr="0096202E">
        <w:rPr>
          <w:b/>
          <w:sz w:val="22"/>
          <w:szCs w:val="22"/>
        </w:rPr>
        <w:t xml:space="preserve">Members: 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Jonathan Adelstein, President and Chief Executive Officer</w:t>
      </w:r>
    </w:p>
    <w:p w:rsidR="00906AF2" w:rsidRPr="00020CAF" w:rsidP="00906AF2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Wireless Infrastructure Association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Allen Bell, DOT, Joint Use and Franchise Manager, Georgia Power Company</w:t>
      </w:r>
    </w:p>
    <w:p w:rsidR="00906AF2" w:rsidP="00906AF2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Southern Company</w:t>
      </w:r>
    </w:p>
    <w:p w:rsidR="00906AF2" w:rsidP="00906AF2">
      <w:pPr>
        <w:tabs>
          <w:tab w:val="center" w:pos="770"/>
        </w:tabs>
        <w:rPr>
          <w:i/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  <w:r>
        <w:rPr>
          <w:szCs w:val="22"/>
        </w:rPr>
        <w:t>Robert DeBroux,</w:t>
      </w:r>
      <w:r w:rsidRPr="00FD14FD">
        <w:rPr>
          <w:szCs w:val="22"/>
        </w:rPr>
        <w:t xml:space="preserve"> </w:t>
      </w:r>
      <w:r w:rsidRPr="00020CAF">
        <w:rPr>
          <w:szCs w:val="22"/>
        </w:rPr>
        <w:t xml:space="preserve">Director, Public Policy and Federal Regulatory Affairs </w:t>
      </w:r>
    </w:p>
    <w:p w:rsidR="00906AF2" w:rsidRPr="00FD14FD" w:rsidP="00906AF2">
      <w:pPr>
        <w:tabs>
          <w:tab w:val="center" w:pos="770"/>
        </w:tabs>
        <w:rPr>
          <w:i/>
          <w:szCs w:val="22"/>
        </w:rPr>
      </w:pPr>
      <w:r w:rsidRPr="00FD14FD">
        <w:rPr>
          <w:i/>
          <w:szCs w:val="22"/>
        </w:rPr>
        <w:t>TDS- Telecom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  <w:tab w:val="left" w:pos="2106"/>
        </w:tabs>
        <w:rPr>
          <w:szCs w:val="22"/>
        </w:rPr>
      </w:pPr>
      <w:r>
        <w:rPr>
          <w:szCs w:val="22"/>
        </w:rPr>
        <w:t xml:space="preserve">Douglas Dimitroff, </w:t>
      </w:r>
      <w:r w:rsidRPr="00020CAF">
        <w:rPr>
          <w:szCs w:val="22"/>
        </w:rPr>
        <w:t>Partner, Phillips Lytle LLP</w:t>
      </w:r>
    </w:p>
    <w:p w:rsidR="00906AF2" w:rsidRPr="00FD14FD" w:rsidP="00906AF2">
      <w:pPr>
        <w:tabs>
          <w:tab w:val="center" w:pos="770"/>
        </w:tabs>
        <w:rPr>
          <w:i/>
          <w:szCs w:val="22"/>
        </w:rPr>
      </w:pPr>
      <w:r w:rsidRPr="00FD14FD">
        <w:rPr>
          <w:i/>
          <w:szCs w:val="22"/>
        </w:rPr>
        <w:t>New York State Wireless Association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David Don, Vice President, Regulatory Policy</w:t>
      </w:r>
    </w:p>
    <w:p w:rsidR="00906AF2" w:rsidP="00906AF2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Comcast</w:t>
      </w:r>
    </w:p>
    <w:p w:rsidR="00906AF2" w:rsidP="00906AF2">
      <w:pPr>
        <w:tabs>
          <w:tab w:val="center" w:pos="770"/>
        </w:tabs>
        <w:rPr>
          <w:i/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  <w:r>
        <w:rPr>
          <w:szCs w:val="22"/>
        </w:rPr>
        <w:t>Larry Hanson, Director</w:t>
      </w:r>
    </w:p>
    <w:p w:rsidR="00906AF2" w:rsidRPr="003E1A05" w:rsidP="00906AF2">
      <w:pPr>
        <w:tabs>
          <w:tab w:val="center" w:pos="770"/>
        </w:tabs>
        <w:rPr>
          <w:szCs w:val="22"/>
        </w:rPr>
      </w:pPr>
      <w:r w:rsidRPr="003E1A05">
        <w:rPr>
          <w:i/>
          <w:iCs/>
          <w:szCs w:val="22"/>
        </w:rPr>
        <w:t>Georgia Municipal Association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C46F59" w:rsidP="00906AF2">
      <w:pPr>
        <w:tabs>
          <w:tab w:val="center" w:pos="770"/>
        </w:tabs>
        <w:rPr>
          <w:szCs w:val="22"/>
        </w:rPr>
      </w:pPr>
      <w:r w:rsidRPr="00C46F59">
        <w:rPr>
          <w:szCs w:val="22"/>
        </w:rPr>
        <w:t>Andy Huckaba, City Council Member</w:t>
      </w:r>
    </w:p>
    <w:p w:rsidR="00906AF2" w:rsidRPr="00C46F59" w:rsidP="00906AF2">
      <w:pPr>
        <w:tabs>
          <w:tab w:val="center" w:pos="770"/>
        </w:tabs>
        <w:rPr>
          <w:i/>
          <w:szCs w:val="22"/>
        </w:rPr>
      </w:pPr>
      <w:r w:rsidRPr="00C46F59">
        <w:rPr>
          <w:i/>
          <w:szCs w:val="22"/>
        </w:rPr>
        <w:t>City of Lenexa, Texas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3E1A05" w:rsidP="00906AF2">
      <w:pPr>
        <w:tabs>
          <w:tab w:val="center" w:pos="770"/>
        </w:tabs>
        <w:rPr>
          <w:szCs w:val="22"/>
        </w:rPr>
      </w:pPr>
      <w:r w:rsidRPr="003E1A05">
        <w:rPr>
          <w:szCs w:val="22"/>
        </w:rPr>
        <w:t xml:space="preserve">Kelly McGriff, General Counsel  </w:t>
      </w:r>
    </w:p>
    <w:p w:rsidR="00906AF2" w:rsidRPr="003E1A05" w:rsidP="00906AF2">
      <w:pPr>
        <w:tabs>
          <w:tab w:val="center" w:pos="770"/>
        </w:tabs>
        <w:rPr>
          <w:i/>
          <w:szCs w:val="22"/>
        </w:rPr>
      </w:pPr>
      <w:r w:rsidRPr="003E1A05">
        <w:rPr>
          <w:i/>
          <w:szCs w:val="22"/>
        </w:rPr>
        <w:t xml:space="preserve">Uniti Fiber </w:t>
      </w:r>
    </w:p>
    <w:p w:rsidR="00906AF2" w:rsidRPr="00020CAF" w:rsidP="00906AF2">
      <w:pPr>
        <w:tabs>
          <w:tab w:val="center" w:pos="770"/>
        </w:tabs>
        <w:rPr>
          <w:i/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Milo Medin, Vice President, Access Services</w:t>
      </w:r>
    </w:p>
    <w:p w:rsidR="00906AF2" w:rsidP="00906AF2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Google Fiber</w:t>
      </w:r>
    </w:p>
    <w:p w:rsidR="00906AF2" w:rsidP="00906AF2">
      <w:pPr>
        <w:tabs>
          <w:tab w:val="center" w:pos="770"/>
        </w:tabs>
        <w:rPr>
          <w:i/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  <w:r w:rsidRPr="003E1A05">
        <w:rPr>
          <w:szCs w:val="22"/>
        </w:rPr>
        <w:t>Chris Nurse, Assistant Vice President, State Legi</w:t>
      </w:r>
      <w:r>
        <w:rPr>
          <w:szCs w:val="22"/>
        </w:rPr>
        <w:t>slative and Regulatory Affairs</w:t>
      </w:r>
    </w:p>
    <w:p w:rsidR="00906AF2" w:rsidRPr="003E1A05" w:rsidP="00906AF2">
      <w:pPr>
        <w:tabs>
          <w:tab w:val="center" w:pos="770"/>
        </w:tabs>
        <w:rPr>
          <w:szCs w:val="22"/>
        </w:rPr>
      </w:pPr>
      <w:r w:rsidRPr="003E1A05">
        <w:rPr>
          <w:i/>
          <w:iCs/>
          <w:szCs w:val="22"/>
        </w:rPr>
        <w:t>AT&amp;T</w:t>
      </w: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  <w:r>
        <w:rPr>
          <w:szCs w:val="22"/>
        </w:rPr>
        <w:br/>
      </w:r>
    </w:p>
    <w:p w:rsidR="00906AF2" w:rsidRPr="00F066A2" w:rsidP="00906AF2">
      <w:pPr>
        <w:tabs>
          <w:tab w:val="center" w:pos="770"/>
        </w:tabs>
        <w:rPr>
          <w:i/>
          <w:szCs w:val="22"/>
        </w:rPr>
      </w:pPr>
      <w:r>
        <w:rPr>
          <w:szCs w:val="22"/>
        </w:rPr>
        <w:br w:type="page"/>
      </w:r>
      <w:r w:rsidRPr="00020CAF">
        <w:rPr>
          <w:szCs w:val="22"/>
        </w:rPr>
        <w:t>The Honorable Karen Charles Peterson, Commissioner</w:t>
      </w:r>
    </w:p>
    <w:p w:rsidR="00906AF2" w:rsidRPr="00020CAF" w:rsidP="00906AF2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Massachusetts Department of Telecommunications and Cable</w:t>
      </w:r>
    </w:p>
    <w:p w:rsidR="00906AF2" w:rsidP="00906AF2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906AF2" w:rsidP="00906AF2">
      <w:pPr>
        <w:tabs>
          <w:tab w:val="center" w:pos="770"/>
        </w:tabs>
        <w:rPr>
          <w:i/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Brent Skorup, Research Fellow, Technology Policy Program</w:t>
      </w:r>
    </w:p>
    <w:p w:rsidR="00906AF2" w:rsidRPr="00020CAF" w:rsidP="00906AF2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Mercatus Center, George Mason University</w:t>
      </w:r>
    </w:p>
    <w:p w:rsidR="00906AF2" w:rsidRPr="00020CAF" w:rsidP="00906AF2">
      <w:pPr>
        <w:tabs>
          <w:tab w:val="center" w:pos="770"/>
        </w:tabs>
        <w:rPr>
          <w:i/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</w:p>
    <w:p w:rsidR="00906AF2" w:rsidRPr="00020CAF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</w:tabs>
        <w:rPr>
          <w:szCs w:val="22"/>
        </w:rPr>
      </w:pPr>
    </w:p>
    <w:p w:rsidR="00906AF2" w:rsidP="00906AF2">
      <w:pPr>
        <w:tabs>
          <w:tab w:val="center" w:pos="770"/>
        </w:tabs>
        <w:rPr>
          <w:i/>
          <w:szCs w:val="22"/>
        </w:rPr>
      </w:pPr>
    </w:p>
    <w:p w:rsidR="00602577" w:rsidP="00906AF2">
      <w:pPr>
        <w:spacing w:before="60"/>
        <w:jc w:val="right"/>
        <w:rPr>
          <w:sz w:val="24"/>
        </w:rPr>
      </w:pP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E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6AF2" w:rsidP="00323FE6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40304">
      <w:rPr>
        <w:noProof/>
      </w:rPr>
      <w:t>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6AF2" w:rsidP="00323FE6">
    <w:pPr>
      <w:pStyle w:val="Footer"/>
      <w:jc w:val="center"/>
    </w:pPr>
    <w:r>
      <w:t>DRAFT – Non-Public: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D01E5">
      <w:r>
        <w:separator/>
      </w:r>
    </w:p>
  </w:footnote>
  <w:footnote w:type="continuationSeparator" w:id="1">
    <w:p w:rsidR="001D01E5">
      <w:r>
        <w:continuationSeparator/>
      </w:r>
    </w:p>
  </w:footnote>
  <w:footnote w:id="2">
    <w:p w:rsidR="00906AF2" w:rsidP="00906A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A90">
        <w:rPr>
          <w:i/>
          <w:sz w:val="20"/>
        </w:rPr>
        <w:t>FCC Announces the Membership and First Meeting of the Broadband Deployment Advisory Committee</w:t>
      </w:r>
      <w:r w:rsidRPr="00A20A90">
        <w:rPr>
          <w:sz w:val="20"/>
        </w:rPr>
        <w:t>, GN Docket No. 17-83, Public Notice, DA 17-328 (April 6, 2017).</w:t>
      </w:r>
      <w:r>
        <w:rPr>
          <w:sz w:val="20"/>
        </w:rPr>
        <w:t xml:space="preserve"> </w:t>
      </w:r>
      <w:r w:rsidRPr="007748BD">
        <w:rPr>
          <w:i/>
          <w:sz w:val="20"/>
        </w:rPr>
        <w:t>See also</w:t>
      </w:r>
      <w:r>
        <w:rPr>
          <w:sz w:val="20"/>
        </w:rPr>
        <w:t xml:space="preserve"> </w:t>
      </w:r>
      <w:r w:rsidRPr="007748BD">
        <w:rPr>
          <w:i/>
          <w:sz w:val="20"/>
        </w:rPr>
        <w:t>FCC Announces the Membership of Two Boradband Deployment Advosory Committee Working Groups: Model Code for Municipalities and Model Code for States</w:t>
      </w:r>
      <w:r>
        <w:rPr>
          <w:sz w:val="20"/>
        </w:rPr>
        <w:t xml:space="preserve">, GN Docket No. 17-83, Public Notice, DA 17-433 (May 8, 2017). </w:t>
      </w:r>
    </w:p>
  </w:footnote>
  <w:footnote w:id="3">
    <w:p w:rsidR="00906AF2" w:rsidP="00906AF2">
      <w:pPr>
        <w:pStyle w:val="FootnoteText"/>
        <w:spacing w:after="0"/>
        <w:rPr>
          <w:sz w:val="20"/>
        </w:rPr>
      </w:pPr>
      <w:r w:rsidRPr="00020CAF">
        <w:rPr>
          <w:rStyle w:val="FootnoteReference"/>
          <w:sz w:val="20"/>
        </w:rPr>
        <w:footnoteRef/>
      </w:r>
      <w:r w:rsidRPr="00020CAF">
        <w:rPr>
          <w:sz w:val="20"/>
        </w:rPr>
        <w:t xml:space="preserve"> </w:t>
      </w:r>
      <w:r>
        <w:rPr>
          <w:sz w:val="20"/>
        </w:rPr>
        <w:t xml:space="preserve">Federal Advisory Committee Act, </w:t>
      </w:r>
      <w:r w:rsidRPr="00020CAF">
        <w:rPr>
          <w:sz w:val="20"/>
        </w:rPr>
        <w:t>5 U.S.C. App. 2.</w:t>
      </w:r>
    </w:p>
    <w:p w:rsidR="00906AF2" w:rsidRPr="00020CAF" w:rsidP="00906AF2">
      <w:pPr>
        <w:pStyle w:val="FootnoteText"/>
        <w:spacing w:after="0"/>
        <w:rPr>
          <w:sz w:val="20"/>
        </w:rPr>
      </w:pPr>
    </w:p>
  </w:footnote>
  <w:footnote w:id="4">
    <w:p w:rsidR="00906AF2" w:rsidP="00906A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A90">
        <w:rPr>
          <w:i/>
          <w:sz w:val="20"/>
        </w:rPr>
        <w:t>FCC Announces the Establishment of the Broadband Deployment Advisory Committee and Solicits Nominations for Membership</w:t>
      </w:r>
      <w:r w:rsidRPr="00A20A90">
        <w:rPr>
          <w:sz w:val="20"/>
        </w:rPr>
        <w:t>, Public Notice, DA 17-100 (Jan. 31, 2017)</w:t>
      </w:r>
      <w:r>
        <w:rPr>
          <w:sz w:val="20"/>
        </w:rPr>
        <w:t>, 2017 WL 413715</w:t>
      </w:r>
      <w:r w:rsidRPr="00A20A90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6AF2" w:rsidP="00323FE6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244.8pt;height:50.4pt;margin-top:57.6pt;margin-left:-5.8pt;position:absolute;z-index:251662336" o:allowincell="f" stroked="f">
          <v:textbox>
            <w:txbxContent>
              <w:p w:rsidR="00906AF2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06AF2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06AF2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41.75pt;height:41.75pt;margin-top:8.5pt;margin-left:-47.55pt;position:absolute;z-index:251665408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kern w:val="28"/>
        <w:sz w:val="96"/>
      </w:rPr>
      <w:t>PUBLIC NOTICE</w:t>
    </w:r>
  </w:p>
  <w:p w:rsidR="00906AF2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w:pict>
        <v:shape id="_x0000_s2055" type="#_x0000_t202" style="width:207.95pt;height:43.2pt;margin-top:7.6pt;margin-left:263.9pt;position:absolute;z-index:251664384" o:allowincell="f" stroked="f">
          <v:textbox inset=",0,,0">
            <w:txbxContent>
              <w:p w:rsidR="00906AF2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06AF2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906AF2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906AF2">
                <w:pPr>
                  <w:jc w:val="right"/>
                </w:pPr>
              </w:p>
            </w:txbxContent>
          </v:textbox>
        </v:shape>
      </w:pict>
    </w:r>
    <w:r>
      <w:rPr>
        <w:rFonts w:ascii="Arial" w:hAnsi="Arial"/>
        <w:b/>
        <w:noProof/>
      </w:rPr>
      <w:pict>
        <v:line id="_x0000_s2056" style="position:absolute;z-index:251663360" from="0.85pt,55.15pt" to="464.35pt,55.35pt" o:allowincell="f"/>
      </w:pict>
    </w:r>
  </w:p>
  <w:p w:rsidR="00906AF2" w:rsidP="00323FE6">
    <w:pPr>
      <w:pStyle w:val="Header"/>
      <w:tabs>
        <w:tab w:val="left" w:pos="1080"/>
        <w:tab w:val="clear" w:pos="4320"/>
        <w:tab w:val="clear" w:pos="864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linkStyles/>
  <w:revisionView w:comments="1" w:formatting="1" w:inkAnnotations="0" w:insDel="1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2"/>
    <w:rsid w:val="00020CAF"/>
    <w:rsid w:val="000265AE"/>
    <w:rsid w:val="00043DD1"/>
    <w:rsid w:val="001D01E5"/>
    <w:rsid w:val="00201090"/>
    <w:rsid w:val="00206ADF"/>
    <w:rsid w:val="00240304"/>
    <w:rsid w:val="00323FE6"/>
    <w:rsid w:val="003E1A05"/>
    <w:rsid w:val="005A1DFA"/>
    <w:rsid w:val="00602577"/>
    <w:rsid w:val="00695006"/>
    <w:rsid w:val="007748BD"/>
    <w:rsid w:val="00853C92"/>
    <w:rsid w:val="00906AF2"/>
    <w:rsid w:val="0096202E"/>
    <w:rsid w:val="0096523E"/>
    <w:rsid w:val="00A20A90"/>
    <w:rsid w:val="00A72BF0"/>
    <w:rsid w:val="00C46F59"/>
    <w:rsid w:val="00D17DC0"/>
    <w:rsid w:val="00D60EFF"/>
    <w:rsid w:val="00DF266E"/>
    <w:rsid w:val="00EC51FB"/>
    <w:rsid w:val="00F02E76"/>
    <w:rsid w:val="00F066A2"/>
    <w:rsid w:val="00FD14FD"/>
    <w:rsid w:val="00FF69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04"/>
    <w:rPr>
      <w:sz w:val="22"/>
    </w:rPr>
  </w:style>
  <w:style w:type="paragraph" w:styleId="Heading1">
    <w:name w:val="heading 1"/>
    <w:basedOn w:val="Normal"/>
    <w:next w:val="Normal"/>
    <w:qFormat/>
    <w:rsid w:val="00240304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40304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0304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40304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40304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40304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40304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40304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40304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0304"/>
    <w:pPr>
      <w:tabs>
        <w:tab w:val="center" w:pos="4320"/>
        <w:tab w:val="right" w:pos="8640"/>
      </w:tabs>
    </w:pPr>
  </w:style>
  <w:style w:type="character" w:styleId="Hyperlink">
    <w:name w:val="Hyperlink"/>
    <w:rsid w:val="00240304"/>
    <w:rPr>
      <w:color w:val="0000FF"/>
      <w:u w:val="single"/>
    </w:rPr>
  </w:style>
  <w:style w:type="paragraph" w:styleId="BlockText">
    <w:name w:val="Block Text"/>
    <w:basedOn w:val="Normal"/>
    <w:semiHidden/>
    <w:rsid w:val="00240304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240304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240304"/>
    <w:pPr>
      <w:spacing w:before="120" w:after="120"/>
    </w:pPr>
    <w:rPr>
      <w:b/>
    </w:rPr>
  </w:style>
  <w:style w:type="character" w:styleId="FootnoteReference">
    <w:name w:val="footnote reference"/>
    <w:semiHidden/>
    <w:rsid w:val="0024030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40304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240304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240304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240304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240304"/>
    <w:rPr>
      <w:caps/>
    </w:rPr>
  </w:style>
  <w:style w:type="character" w:styleId="FollowedHyperlink">
    <w:name w:val="FollowedHyperlink"/>
    <w:semiHidden/>
    <w:rsid w:val="00240304"/>
    <w:rPr>
      <w:color w:val="800080"/>
      <w:u w:val="single"/>
    </w:rPr>
  </w:style>
  <w:style w:type="character" w:customStyle="1" w:styleId="FooterChar">
    <w:name w:val="Footer Char"/>
    <w:link w:val="Footer"/>
    <w:locked/>
    <w:rsid w:val="00906AF2"/>
    <w:rPr>
      <w:sz w:val="22"/>
    </w:rPr>
  </w:style>
  <w:style w:type="character" w:customStyle="1" w:styleId="FootnoteTextChar">
    <w:name w:val="Footnote Text Char"/>
    <w:link w:val="FootnoteText"/>
    <w:semiHidden/>
    <w:rsid w:val="00906AF2"/>
    <w:rPr>
      <w:sz w:val="22"/>
    </w:rPr>
  </w:style>
  <w:style w:type="paragraph" w:styleId="ListParagraph">
    <w:name w:val="List Paragraph"/>
    <w:basedOn w:val="Normal"/>
    <w:uiPriority w:val="34"/>
    <w:qFormat/>
    <w:rsid w:val="00906AF2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4.xml" /><Relationship Id="rId13" Type="http://schemas.openxmlformats.org/officeDocument/2006/relationships/footer" Target="footer5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2018-05-18T13:59:17Z</dcterms:created>
  <dcterms:modified xsi:type="dcterms:W3CDTF">2018-05-18T13:59:17Z</dcterms:modified>
</cp:coreProperties>
</file>