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D3DE4" w:rsidRPr="005A7017" w:rsidP="005113AD">
      <w:pPr>
        <w:tabs>
          <w:tab w:val="left" w:pos="-720"/>
          <w:tab w:val="left" w:pos="1203"/>
        </w:tabs>
        <w:suppressAutoHyphens/>
        <w:spacing w:line="28" w:lineRule="exact"/>
        <w:rPr>
          <w:rFonts w:ascii="CG Times" w:hAnsi="CG Times"/>
          <w:sz w:val="20"/>
        </w:rPr>
      </w:pPr>
      <w:r>
        <w:rPr>
          <w:rFonts w:ascii="CG Times" w:hAnsi="CG Times"/>
          <w:sz w:val="20"/>
        </w:rPr>
        <w:tab/>
      </w:r>
    </w:p>
    <w:p w:rsidR="008D3DE4" w:rsidP="008D3DE4">
      <w:pPr>
        <w:tabs>
          <w:tab w:val="left" w:pos="-2790"/>
        </w:tabs>
        <w:suppressAutoHyphens/>
        <w:jc w:val="center"/>
        <w:rPr>
          <w:b/>
          <w:sz w:val="22"/>
        </w:rPr>
      </w:pPr>
      <w:r>
        <w:rPr>
          <w:b/>
          <w:sz w:val="22"/>
        </w:rPr>
        <w:tab/>
      </w:r>
      <w:r>
        <w:rPr>
          <w:b/>
          <w:sz w:val="22"/>
        </w:rPr>
        <w:tab/>
      </w:r>
      <w:r>
        <w:rPr>
          <w:b/>
          <w:sz w:val="22"/>
        </w:rPr>
        <w:tab/>
      </w:r>
      <w:r>
        <w:rPr>
          <w:b/>
          <w:sz w:val="22"/>
        </w:rPr>
        <w:tab/>
        <w:t xml:space="preserve">      </w:t>
      </w:r>
      <w:r w:rsidR="00C4601E">
        <w:rPr>
          <w:b/>
          <w:sz w:val="22"/>
        </w:rPr>
        <w:t xml:space="preserve">   </w:t>
      </w:r>
      <w:r w:rsidR="00C4601E">
        <w:rPr>
          <w:b/>
          <w:sz w:val="22"/>
        </w:rPr>
        <w:tab/>
        <w:t xml:space="preserve">            </w:t>
      </w:r>
      <w:r w:rsidR="007402C2">
        <w:rPr>
          <w:b/>
          <w:sz w:val="22"/>
        </w:rPr>
        <w:t xml:space="preserve"> </w:t>
      </w:r>
      <w:r>
        <w:rPr>
          <w:b/>
          <w:sz w:val="22"/>
        </w:rPr>
        <w:t xml:space="preserve">DA </w:t>
      </w:r>
      <w:r w:rsidR="00C4601E">
        <w:rPr>
          <w:b/>
          <w:sz w:val="22"/>
        </w:rPr>
        <w:t>18-530</w:t>
      </w:r>
    </w:p>
    <w:p w:rsidR="008D3DE4" w:rsidRPr="00D51583" w:rsidP="008D3DE4">
      <w:pPr>
        <w:tabs>
          <w:tab w:val="left" w:pos="-2790"/>
        </w:tabs>
        <w:suppressAutoHyphens/>
        <w:jc w:val="center"/>
        <w:rPr>
          <w:b/>
          <w:sz w:val="22"/>
        </w:rPr>
      </w:pPr>
      <w:r>
        <w:rPr>
          <w:b/>
          <w:sz w:val="22"/>
        </w:rPr>
        <w:tab/>
      </w:r>
      <w:r>
        <w:rPr>
          <w:b/>
          <w:sz w:val="22"/>
        </w:rPr>
        <w:tab/>
      </w:r>
      <w:r>
        <w:rPr>
          <w:b/>
          <w:sz w:val="22"/>
        </w:rPr>
        <w:tab/>
      </w:r>
      <w:r w:rsidR="00D860B0">
        <w:rPr>
          <w:b/>
          <w:sz w:val="22"/>
        </w:rPr>
        <w:tab/>
      </w:r>
      <w:r w:rsidR="00D860B0">
        <w:rPr>
          <w:b/>
          <w:sz w:val="22"/>
        </w:rPr>
        <w:tab/>
      </w:r>
      <w:r w:rsidR="007402C2">
        <w:rPr>
          <w:b/>
          <w:sz w:val="22"/>
        </w:rPr>
        <w:tab/>
      </w:r>
      <w:r w:rsidR="007402C2">
        <w:rPr>
          <w:b/>
          <w:sz w:val="22"/>
        </w:rPr>
        <w:tab/>
      </w:r>
      <w:r w:rsidR="00C4601E">
        <w:rPr>
          <w:b/>
          <w:sz w:val="22"/>
        </w:rPr>
        <w:t xml:space="preserve">         </w:t>
      </w:r>
      <w:bookmarkStart w:id="0" w:name="_GoBack"/>
      <w:bookmarkEnd w:id="0"/>
      <w:r>
        <w:rPr>
          <w:b/>
          <w:sz w:val="22"/>
        </w:rPr>
        <w:t xml:space="preserve">Released: </w:t>
      </w:r>
      <w:r w:rsidR="009D6BD3">
        <w:rPr>
          <w:b/>
          <w:sz w:val="22"/>
        </w:rPr>
        <w:t>May 21</w:t>
      </w:r>
      <w:r w:rsidR="007402C2">
        <w:rPr>
          <w:b/>
          <w:sz w:val="22"/>
        </w:rPr>
        <w:t xml:space="preserve">, </w:t>
      </w:r>
      <w:r w:rsidR="00EB6398">
        <w:rPr>
          <w:b/>
          <w:sz w:val="22"/>
        </w:rPr>
        <w:t>2018</w:t>
      </w:r>
    </w:p>
    <w:p w:rsidR="008D3DE4" w:rsidP="008D3DE4">
      <w:pPr>
        <w:jc w:val="center"/>
        <w:rPr>
          <w:b/>
          <w:sz w:val="18"/>
          <w:szCs w:val="18"/>
        </w:rPr>
      </w:pPr>
    </w:p>
    <w:p w:rsidR="008D3DE4" w:rsidRPr="00D51583" w:rsidP="008D3DE4">
      <w:pPr>
        <w:jc w:val="center"/>
        <w:rPr>
          <w:b/>
          <w:sz w:val="22"/>
          <w:szCs w:val="18"/>
        </w:rPr>
      </w:pPr>
    </w:p>
    <w:p w:rsidR="003F52B7" w:rsidRPr="003F52B7" w:rsidP="003F52B7">
      <w:pPr>
        <w:jc w:val="center"/>
        <w:rPr>
          <w:b/>
          <w:sz w:val="22"/>
          <w:szCs w:val="22"/>
        </w:rPr>
      </w:pPr>
      <w:r w:rsidRPr="003F52B7">
        <w:rPr>
          <w:b/>
          <w:sz w:val="22"/>
          <w:szCs w:val="22"/>
        </w:rPr>
        <w:t>MEDIA BUREAU ESTABLISHES CONSOLIDATED PLEADING CYCLE FOR AMENDMENTS TO THE JUNE 26, 2017</w:t>
      </w:r>
      <w:r w:rsidR="008331A6">
        <w:rPr>
          <w:b/>
          <w:sz w:val="22"/>
          <w:szCs w:val="22"/>
        </w:rPr>
        <w:t>,</w:t>
      </w:r>
      <w:r w:rsidRPr="003F52B7">
        <w:rPr>
          <w:b/>
          <w:sz w:val="22"/>
          <w:szCs w:val="22"/>
        </w:rPr>
        <w:t xml:space="preserve"> </w:t>
      </w:r>
      <w:r w:rsidRPr="003F52B7">
        <w:rPr>
          <w:b/>
          <w:caps/>
          <w:sz w:val="22"/>
          <w:szCs w:val="22"/>
        </w:rPr>
        <w:t xml:space="preserve">APPLICATIONS TO TRANSFER CONTROL OF </w:t>
      </w:r>
      <w:r w:rsidRPr="003F52B7">
        <w:rPr>
          <w:b/>
          <w:sz w:val="22"/>
          <w:szCs w:val="22"/>
        </w:rPr>
        <w:t>TRIBUNE MEDIA COMPANY TO SINCLAIR BROADCAST GROUP, INC.</w:t>
      </w:r>
      <w:r w:rsidR="008331A6">
        <w:rPr>
          <w:b/>
          <w:sz w:val="22"/>
          <w:szCs w:val="22"/>
        </w:rPr>
        <w:t>,</w:t>
      </w:r>
      <w:r w:rsidRPr="003F52B7">
        <w:rPr>
          <w:b/>
          <w:sz w:val="22"/>
          <w:szCs w:val="22"/>
        </w:rPr>
        <w:t xml:space="preserve"> RELATED NEW DIVESTITURE APPLICATIONS</w:t>
      </w:r>
      <w:r w:rsidR="00E96C31">
        <w:rPr>
          <w:b/>
          <w:sz w:val="22"/>
          <w:szCs w:val="22"/>
        </w:rPr>
        <w:t>, AND TOP-FOUR</w:t>
      </w:r>
      <w:r w:rsidRPr="003F52B7">
        <w:rPr>
          <w:b/>
          <w:sz w:val="22"/>
          <w:szCs w:val="22"/>
        </w:rPr>
        <w:t xml:space="preserve"> </w:t>
      </w:r>
      <w:r w:rsidR="00E96C31">
        <w:rPr>
          <w:b/>
          <w:sz w:val="22"/>
          <w:szCs w:val="22"/>
        </w:rPr>
        <w:t>SHOWINGS IN TWO MARKETS</w:t>
      </w:r>
      <w:r w:rsidRPr="003F52B7">
        <w:rPr>
          <w:b/>
          <w:sz w:val="22"/>
          <w:szCs w:val="22"/>
        </w:rPr>
        <w:t xml:space="preserve">  </w:t>
      </w:r>
    </w:p>
    <w:p w:rsidR="003F52B7" w:rsidRPr="003F52B7" w:rsidP="003F52B7">
      <w:pPr>
        <w:jc w:val="center"/>
        <w:rPr>
          <w:b/>
          <w:sz w:val="22"/>
          <w:szCs w:val="22"/>
        </w:rPr>
      </w:pPr>
    </w:p>
    <w:p w:rsidR="003F52B7" w:rsidRPr="003F52B7" w:rsidP="003F52B7">
      <w:pPr>
        <w:jc w:val="center"/>
        <w:rPr>
          <w:b/>
          <w:sz w:val="22"/>
          <w:szCs w:val="22"/>
        </w:rPr>
      </w:pPr>
      <w:r w:rsidRPr="003F52B7">
        <w:rPr>
          <w:b/>
          <w:sz w:val="22"/>
          <w:szCs w:val="22"/>
        </w:rPr>
        <w:t>MB Docket No. 17-179</w:t>
      </w:r>
    </w:p>
    <w:p w:rsidR="003F52B7" w:rsidRPr="003F52B7" w:rsidP="003F52B7">
      <w:pPr>
        <w:jc w:val="center"/>
        <w:rPr>
          <w:b/>
          <w:sz w:val="22"/>
          <w:szCs w:val="22"/>
        </w:rPr>
      </w:pPr>
    </w:p>
    <w:p w:rsidR="003F52B7" w:rsidRPr="003F52B7" w:rsidP="003F52B7">
      <w:pPr>
        <w:rPr>
          <w:b/>
          <w:sz w:val="22"/>
          <w:szCs w:val="22"/>
        </w:rPr>
      </w:pPr>
      <w:r w:rsidRPr="003F52B7">
        <w:rPr>
          <w:b/>
          <w:sz w:val="22"/>
          <w:szCs w:val="22"/>
        </w:rPr>
        <w:t xml:space="preserve">Petition to Deny Date:  </w:t>
      </w:r>
      <w:r w:rsidR="009D6BD3">
        <w:rPr>
          <w:b/>
          <w:sz w:val="22"/>
          <w:szCs w:val="22"/>
        </w:rPr>
        <w:t>June 20</w:t>
      </w:r>
      <w:r w:rsidRPr="001E6623">
        <w:rPr>
          <w:b/>
          <w:sz w:val="22"/>
          <w:szCs w:val="22"/>
        </w:rPr>
        <w:t>,</w:t>
      </w:r>
      <w:r w:rsidRPr="003F52B7">
        <w:rPr>
          <w:b/>
          <w:sz w:val="22"/>
          <w:szCs w:val="22"/>
        </w:rPr>
        <w:t xml:space="preserve"> 2018</w:t>
      </w:r>
    </w:p>
    <w:p w:rsidR="003F52B7" w:rsidRPr="003F52B7" w:rsidP="003F52B7">
      <w:pPr>
        <w:rPr>
          <w:b/>
          <w:sz w:val="22"/>
          <w:szCs w:val="22"/>
        </w:rPr>
      </w:pPr>
      <w:r w:rsidRPr="003F52B7">
        <w:rPr>
          <w:b/>
          <w:sz w:val="22"/>
          <w:szCs w:val="22"/>
        </w:rPr>
        <w:t xml:space="preserve">Opposition Date:  </w:t>
      </w:r>
      <w:r w:rsidR="009D6BD3">
        <w:rPr>
          <w:b/>
          <w:sz w:val="22"/>
          <w:szCs w:val="22"/>
        </w:rPr>
        <w:t>July 5</w:t>
      </w:r>
      <w:r w:rsidRPr="003F52B7">
        <w:rPr>
          <w:b/>
          <w:sz w:val="22"/>
          <w:szCs w:val="22"/>
        </w:rPr>
        <w:t>, 2018</w:t>
      </w:r>
    </w:p>
    <w:p w:rsidR="003F52B7" w:rsidRPr="003F52B7" w:rsidP="003F52B7">
      <w:pPr>
        <w:rPr>
          <w:b/>
          <w:sz w:val="22"/>
          <w:szCs w:val="22"/>
        </w:rPr>
      </w:pPr>
      <w:r w:rsidRPr="003F52B7">
        <w:rPr>
          <w:b/>
          <w:sz w:val="22"/>
          <w:szCs w:val="22"/>
        </w:rPr>
        <w:t xml:space="preserve">Reply Date:  </w:t>
      </w:r>
      <w:r w:rsidR="009D6BD3">
        <w:rPr>
          <w:b/>
          <w:sz w:val="22"/>
          <w:szCs w:val="22"/>
        </w:rPr>
        <w:t>July 12</w:t>
      </w:r>
      <w:r w:rsidRPr="003F52B7">
        <w:rPr>
          <w:b/>
          <w:sz w:val="22"/>
          <w:szCs w:val="22"/>
        </w:rPr>
        <w:t>, 2018</w:t>
      </w:r>
    </w:p>
    <w:p w:rsidR="003F52B7" w:rsidRPr="003F52B7" w:rsidP="003F52B7">
      <w:pPr>
        <w:jc w:val="center"/>
        <w:rPr>
          <w:b/>
          <w:sz w:val="22"/>
          <w:szCs w:val="22"/>
        </w:rPr>
      </w:pPr>
    </w:p>
    <w:p w:rsidR="003F52B7" w:rsidRPr="003F52B7" w:rsidP="003F52B7">
      <w:pPr>
        <w:rPr>
          <w:sz w:val="22"/>
          <w:szCs w:val="22"/>
        </w:rPr>
      </w:pPr>
    </w:p>
    <w:p w:rsidR="003F52B7" w:rsidRPr="003F52B7" w:rsidP="003F52B7">
      <w:pPr>
        <w:ind w:firstLine="720"/>
        <w:rPr>
          <w:sz w:val="22"/>
          <w:szCs w:val="22"/>
        </w:rPr>
      </w:pPr>
      <w:r w:rsidRPr="003F52B7">
        <w:rPr>
          <w:sz w:val="22"/>
          <w:szCs w:val="22"/>
        </w:rPr>
        <w:t xml:space="preserve">On </w:t>
      </w:r>
      <w:r w:rsidR="0094703E">
        <w:rPr>
          <w:sz w:val="22"/>
          <w:szCs w:val="22"/>
        </w:rPr>
        <w:t>April 24</w:t>
      </w:r>
      <w:r w:rsidRPr="003F52B7">
        <w:rPr>
          <w:sz w:val="22"/>
          <w:szCs w:val="22"/>
        </w:rPr>
        <w:t xml:space="preserve">, 2018, </w:t>
      </w:r>
      <w:r w:rsidR="008331A6">
        <w:rPr>
          <w:sz w:val="22"/>
          <w:szCs w:val="22"/>
        </w:rPr>
        <w:t xml:space="preserve">and May 14, 2018, </w:t>
      </w:r>
      <w:r w:rsidRPr="003F52B7">
        <w:rPr>
          <w:sz w:val="22"/>
          <w:szCs w:val="22"/>
        </w:rPr>
        <w:t xml:space="preserve">the Federal Communications Commission (Commission) </w:t>
      </w:r>
      <w:r w:rsidR="0079395A">
        <w:rPr>
          <w:sz w:val="22"/>
          <w:szCs w:val="22"/>
        </w:rPr>
        <w:t>received</w:t>
      </w:r>
      <w:r w:rsidRPr="003F52B7">
        <w:rPr>
          <w:sz w:val="22"/>
          <w:szCs w:val="22"/>
        </w:rPr>
        <w:t xml:space="preserve"> amendments</w:t>
      </w:r>
      <w:r w:rsidR="0094703E">
        <w:rPr>
          <w:sz w:val="22"/>
          <w:szCs w:val="22"/>
        </w:rPr>
        <w:t xml:space="preserve"> </w:t>
      </w:r>
      <w:r w:rsidRPr="003F52B7">
        <w:rPr>
          <w:sz w:val="22"/>
          <w:szCs w:val="22"/>
        </w:rPr>
        <w:t xml:space="preserve">to the </w:t>
      </w:r>
      <w:r w:rsidR="0094703E">
        <w:rPr>
          <w:sz w:val="22"/>
          <w:szCs w:val="22"/>
        </w:rPr>
        <w:t>original set</w:t>
      </w:r>
      <w:r w:rsidRPr="003F52B7">
        <w:rPr>
          <w:sz w:val="22"/>
          <w:szCs w:val="22"/>
        </w:rPr>
        <w:t xml:space="preserve"> of applications </w:t>
      </w:r>
      <w:r w:rsidR="0094703E">
        <w:rPr>
          <w:sz w:val="22"/>
          <w:szCs w:val="22"/>
        </w:rPr>
        <w:t xml:space="preserve">(Original </w:t>
      </w:r>
      <w:r w:rsidR="009D7A72">
        <w:rPr>
          <w:sz w:val="22"/>
          <w:szCs w:val="22"/>
        </w:rPr>
        <w:t>Applications</w:t>
      </w:r>
      <w:r w:rsidR="0094703E">
        <w:rPr>
          <w:sz w:val="22"/>
          <w:szCs w:val="22"/>
        </w:rPr>
        <w:t xml:space="preserve">) </w:t>
      </w:r>
      <w:r w:rsidRPr="003F52B7">
        <w:rPr>
          <w:sz w:val="22"/>
          <w:szCs w:val="22"/>
        </w:rPr>
        <w:t xml:space="preserve">seeking consent to the transfer of control of subsidiaries of Tribune Media Company (Tribune) </w:t>
      </w:r>
      <w:r w:rsidRPr="003F52B7">
        <w:rPr>
          <w:color w:val="000000"/>
          <w:sz w:val="22"/>
          <w:szCs w:val="22"/>
        </w:rPr>
        <w:t xml:space="preserve">holding the licenses of full-power broadcast television stations (and related broadcast auxiliary facilities), low-power television stations, and TV translator stations </w:t>
      </w:r>
      <w:r w:rsidRPr="003F52B7">
        <w:rPr>
          <w:sz w:val="22"/>
          <w:szCs w:val="22"/>
        </w:rPr>
        <w:t xml:space="preserve">to Sinclair Broadcast Group, Inc. (Sinclair, jointly </w:t>
      </w:r>
      <w:r w:rsidR="0099026E">
        <w:rPr>
          <w:sz w:val="22"/>
          <w:szCs w:val="22"/>
        </w:rPr>
        <w:t>Applicants</w:t>
      </w:r>
      <w:r w:rsidRPr="003F52B7">
        <w:rPr>
          <w:sz w:val="22"/>
          <w:szCs w:val="22"/>
        </w:rPr>
        <w:t>).</w:t>
      </w:r>
      <w:r>
        <w:rPr>
          <w:rStyle w:val="FootnoteReference"/>
          <w:sz w:val="22"/>
          <w:szCs w:val="22"/>
        </w:rPr>
        <w:footnoteReference w:id="2"/>
      </w:r>
      <w:r w:rsidRPr="003F52B7">
        <w:rPr>
          <w:sz w:val="22"/>
          <w:szCs w:val="22"/>
        </w:rPr>
        <w:t xml:space="preserve">  </w:t>
      </w:r>
      <w:bookmarkStart w:id="1" w:name="_Hlk509236520"/>
      <w:r w:rsidRPr="003F52B7">
        <w:rPr>
          <w:sz w:val="22"/>
          <w:szCs w:val="22"/>
        </w:rPr>
        <w:t xml:space="preserve">Sinclair </w:t>
      </w:r>
      <w:r w:rsidR="001E6623">
        <w:rPr>
          <w:sz w:val="22"/>
          <w:szCs w:val="22"/>
        </w:rPr>
        <w:t>and Tribune</w:t>
      </w:r>
      <w:r w:rsidR="00C04E41">
        <w:rPr>
          <w:sz w:val="22"/>
          <w:szCs w:val="22"/>
        </w:rPr>
        <w:t xml:space="preserve"> have</w:t>
      </w:r>
      <w:r w:rsidR="001E6623">
        <w:rPr>
          <w:sz w:val="22"/>
          <w:szCs w:val="22"/>
        </w:rPr>
        <w:t xml:space="preserve"> </w:t>
      </w:r>
      <w:r w:rsidR="0094703E">
        <w:rPr>
          <w:sz w:val="22"/>
          <w:szCs w:val="22"/>
        </w:rPr>
        <w:t xml:space="preserve">also </w:t>
      </w:r>
      <w:r w:rsidRPr="003F52B7">
        <w:rPr>
          <w:sz w:val="22"/>
          <w:szCs w:val="22"/>
        </w:rPr>
        <w:t>filed a set of new applications to divest certain stations to third parties (Divestiture Applications) in connection with the transaction.</w:t>
      </w:r>
      <w:bookmarkEnd w:id="1"/>
      <w:r>
        <w:rPr>
          <w:rStyle w:val="FootnoteReference"/>
          <w:sz w:val="22"/>
          <w:szCs w:val="22"/>
        </w:rPr>
        <w:footnoteReference w:id="3"/>
      </w:r>
      <w:r w:rsidRPr="003F52B7">
        <w:rPr>
          <w:sz w:val="22"/>
          <w:szCs w:val="22"/>
        </w:rPr>
        <w:t xml:space="preserve">  </w:t>
      </w:r>
      <w:r w:rsidR="00E96C31">
        <w:rPr>
          <w:sz w:val="22"/>
          <w:szCs w:val="22"/>
        </w:rPr>
        <w:t xml:space="preserve">In addition, as described below, in two markets the Applicants seek consent to combine two top-four rated stations.  </w:t>
      </w:r>
      <w:r w:rsidRPr="003F52B7">
        <w:rPr>
          <w:sz w:val="22"/>
          <w:szCs w:val="22"/>
        </w:rPr>
        <w:t xml:space="preserve">Because this proceeding involves </w:t>
      </w:r>
      <w:r w:rsidRPr="003F52B7">
        <w:rPr>
          <w:sz w:val="22"/>
          <w:szCs w:val="22"/>
        </w:rPr>
        <w:t xml:space="preserve">multiple transactions in multiple markets and requires, </w:t>
      </w:r>
      <w:r w:rsidRPr="003F52B7">
        <w:rPr>
          <w:i/>
          <w:sz w:val="22"/>
          <w:szCs w:val="22"/>
        </w:rPr>
        <w:t>inter alia</w:t>
      </w:r>
      <w:r w:rsidRPr="003F52B7">
        <w:rPr>
          <w:sz w:val="22"/>
          <w:szCs w:val="22"/>
        </w:rPr>
        <w:t>, coordinated timing to effectuate divestures of certain stations</w:t>
      </w:r>
      <w:r w:rsidR="009D7A72">
        <w:rPr>
          <w:sz w:val="22"/>
          <w:szCs w:val="22"/>
        </w:rPr>
        <w:t>,</w:t>
      </w:r>
      <w:r w:rsidRPr="003F52B7">
        <w:rPr>
          <w:sz w:val="22"/>
          <w:szCs w:val="22"/>
        </w:rPr>
        <w:t xml:space="preserve"> we believe consolidated processing of these applications will result in administrative efficiency and ensure a comprehensive record in this proceeding.    </w:t>
      </w:r>
    </w:p>
    <w:p w:rsidR="003F52B7" w:rsidRPr="003F52B7" w:rsidP="003F52B7">
      <w:pPr>
        <w:ind w:firstLine="720"/>
        <w:rPr>
          <w:sz w:val="22"/>
          <w:szCs w:val="22"/>
        </w:rPr>
      </w:pPr>
    </w:p>
    <w:p w:rsidR="003F52B7" w:rsidRPr="003F52B7" w:rsidP="003F52B7">
      <w:pPr>
        <w:ind w:firstLine="720"/>
        <w:rPr>
          <w:sz w:val="22"/>
          <w:szCs w:val="22"/>
        </w:rPr>
      </w:pPr>
      <w:r w:rsidRPr="003F52B7">
        <w:rPr>
          <w:b/>
          <w:sz w:val="22"/>
          <w:szCs w:val="22"/>
          <w:u w:val="single"/>
        </w:rPr>
        <w:t>Background</w:t>
      </w:r>
      <w:r w:rsidRPr="003F52B7">
        <w:rPr>
          <w:sz w:val="22"/>
          <w:szCs w:val="22"/>
        </w:rPr>
        <w:t xml:space="preserve">.  </w:t>
      </w:r>
      <w:r w:rsidR="00FE3D0C">
        <w:rPr>
          <w:sz w:val="22"/>
          <w:szCs w:val="22"/>
        </w:rPr>
        <w:t>The</w:t>
      </w:r>
      <w:r w:rsidRPr="003F52B7">
        <w:rPr>
          <w:sz w:val="22"/>
          <w:szCs w:val="22"/>
        </w:rPr>
        <w:t xml:space="preserve"> </w:t>
      </w:r>
      <w:r w:rsidR="00F25BA9">
        <w:rPr>
          <w:sz w:val="22"/>
          <w:szCs w:val="22"/>
        </w:rPr>
        <w:t xml:space="preserve">Applicants filed </w:t>
      </w:r>
      <w:r w:rsidR="00FE3D0C">
        <w:rPr>
          <w:sz w:val="22"/>
          <w:szCs w:val="22"/>
        </w:rPr>
        <w:t xml:space="preserve">the </w:t>
      </w:r>
      <w:r w:rsidRPr="003F52B7" w:rsidR="00FE3D0C">
        <w:rPr>
          <w:sz w:val="22"/>
          <w:szCs w:val="22"/>
        </w:rPr>
        <w:t xml:space="preserve">Original Applications </w:t>
      </w:r>
      <w:r w:rsidR="00FE3D0C">
        <w:rPr>
          <w:sz w:val="22"/>
          <w:szCs w:val="22"/>
        </w:rPr>
        <w:t>on</w:t>
      </w:r>
      <w:r w:rsidRPr="003F52B7" w:rsidR="00FE3D0C">
        <w:rPr>
          <w:sz w:val="22"/>
          <w:szCs w:val="22"/>
        </w:rPr>
        <w:t xml:space="preserve"> June 26, 2017</w:t>
      </w:r>
      <w:r w:rsidRPr="003F52B7">
        <w:rPr>
          <w:sz w:val="22"/>
          <w:szCs w:val="22"/>
        </w:rPr>
        <w:t>.</w:t>
      </w:r>
      <w:r>
        <w:rPr>
          <w:rStyle w:val="FootnoteReference"/>
          <w:sz w:val="22"/>
          <w:szCs w:val="22"/>
        </w:rPr>
        <w:footnoteReference w:id="4"/>
      </w:r>
      <w:r w:rsidRPr="003F52B7">
        <w:rPr>
          <w:sz w:val="22"/>
          <w:szCs w:val="22"/>
        </w:rPr>
        <w:t xml:space="preserve">  </w:t>
      </w:r>
      <w:r w:rsidR="00A8537C">
        <w:rPr>
          <w:sz w:val="22"/>
          <w:szCs w:val="22"/>
        </w:rPr>
        <w:t>In those applications, Sinclair proposed to</w:t>
      </w:r>
      <w:r w:rsidRPr="003F52B7">
        <w:rPr>
          <w:sz w:val="22"/>
          <w:szCs w:val="22"/>
        </w:rPr>
        <w:t xml:space="preserve"> acquire Tribune through </w:t>
      </w:r>
      <w:r w:rsidR="007C1752">
        <w:rPr>
          <w:sz w:val="22"/>
          <w:szCs w:val="22"/>
        </w:rPr>
        <w:t>the</w:t>
      </w:r>
      <w:r w:rsidRPr="003F52B7">
        <w:rPr>
          <w:sz w:val="22"/>
          <w:szCs w:val="22"/>
        </w:rPr>
        <w:t xml:space="preserve"> merger of a newly formed subsidiary of Sinclair with and into Tribune, immediately followed by Tribune merging with and into Sinclair’s wholly</w:t>
      </w:r>
      <w:r w:rsidR="007B3D47">
        <w:rPr>
          <w:sz w:val="22"/>
          <w:szCs w:val="22"/>
        </w:rPr>
        <w:t>-</w:t>
      </w:r>
      <w:r w:rsidRPr="003F52B7">
        <w:rPr>
          <w:sz w:val="22"/>
          <w:szCs w:val="22"/>
        </w:rPr>
        <w:t>owned subsidiary, Sinclair Television Group, Inc. (STG), with STG as the surviving company.</w:t>
      </w:r>
      <w:r>
        <w:rPr>
          <w:rStyle w:val="FootnoteReference"/>
          <w:sz w:val="22"/>
          <w:szCs w:val="22"/>
        </w:rPr>
        <w:footnoteReference w:id="5"/>
      </w:r>
      <w:r w:rsidRPr="003F52B7">
        <w:rPr>
          <w:sz w:val="22"/>
          <w:szCs w:val="22"/>
        </w:rPr>
        <w:t xml:space="preserve">  As a result, Tribune’s licensee subsidiaries would become indirect subsidiaries of Sinclair.  </w:t>
      </w:r>
    </w:p>
    <w:p w:rsidR="003F52B7" w:rsidRPr="003F52B7" w:rsidP="003F52B7">
      <w:pPr>
        <w:ind w:firstLine="720"/>
        <w:rPr>
          <w:sz w:val="22"/>
          <w:szCs w:val="22"/>
        </w:rPr>
      </w:pPr>
    </w:p>
    <w:p w:rsidR="003F52B7" w:rsidRPr="003F52B7" w:rsidP="003F52B7">
      <w:pPr>
        <w:ind w:firstLine="720"/>
        <w:rPr>
          <w:sz w:val="22"/>
          <w:szCs w:val="22"/>
        </w:rPr>
      </w:pPr>
      <w:r>
        <w:rPr>
          <w:sz w:val="22"/>
          <w:szCs w:val="22"/>
        </w:rPr>
        <w:t>Absent any divestitures</w:t>
      </w:r>
      <w:r w:rsidRPr="003F52B7">
        <w:rPr>
          <w:sz w:val="22"/>
          <w:szCs w:val="22"/>
        </w:rPr>
        <w:t xml:space="preserve">, </w:t>
      </w:r>
      <w:r w:rsidR="00C04E41">
        <w:rPr>
          <w:sz w:val="22"/>
          <w:szCs w:val="22"/>
        </w:rPr>
        <w:t xml:space="preserve">the </w:t>
      </w:r>
      <w:r>
        <w:rPr>
          <w:sz w:val="22"/>
          <w:szCs w:val="22"/>
        </w:rPr>
        <w:t xml:space="preserve">proposed </w:t>
      </w:r>
      <w:r w:rsidRPr="003F52B7">
        <w:rPr>
          <w:sz w:val="22"/>
          <w:szCs w:val="22"/>
        </w:rPr>
        <w:t xml:space="preserve">Merger would result in the combined company exceeding </w:t>
      </w:r>
      <w:r w:rsidR="00F25BA9">
        <w:rPr>
          <w:sz w:val="22"/>
          <w:szCs w:val="22"/>
        </w:rPr>
        <w:t xml:space="preserve"> the audience reach limit set forth in the Commission’s national television multiple ownership rule</w:t>
      </w:r>
      <w:r w:rsidRPr="003F52B7">
        <w:rPr>
          <w:sz w:val="22"/>
          <w:szCs w:val="22"/>
        </w:rPr>
        <w:t>.</w:t>
      </w:r>
      <w:r>
        <w:rPr>
          <w:rStyle w:val="FootnoteReference"/>
          <w:sz w:val="22"/>
          <w:szCs w:val="22"/>
        </w:rPr>
        <w:footnoteReference w:id="6"/>
      </w:r>
      <w:r w:rsidRPr="003F52B7">
        <w:rPr>
          <w:sz w:val="22"/>
          <w:szCs w:val="22"/>
        </w:rPr>
        <w:t xml:space="preserve">  In the Original Applications, the </w:t>
      </w:r>
      <w:r w:rsidR="00E36691">
        <w:rPr>
          <w:sz w:val="22"/>
          <w:szCs w:val="22"/>
        </w:rPr>
        <w:t>Applicants</w:t>
      </w:r>
      <w:r w:rsidRPr="003F52B7">
        <w:rPr>
          <w:sz w:val="22"/>
          <w:szCs w:val="22"/>
        </w:rPr>
        <w:t xml:space="preserve"> stated</w:t>
      </w:r>
      <w:r w:rsidR="007B3D47">
        <w:rPr>
          <w:sz w:val="22"/>
          <w:szCs w:val="22"/>
        </w:rPr>
        <w:t xml:space="preserve"> that they</w:t>
      </w:r>
      <w:r w:rsidRPr="003F52B7">
        <w:rPr>
          <w:sz w:val="22"/>
          <w:szCs w:val="22"/>
        </w:rPr>
        <w:t xml:space="preserve"> “will take such actions to the extent required to comply with the terms of the Merger Agreement and the national television ownership limit (including the UHF Discount), in order to obtain FCC approval of the Transaction.”</w:t>
      </w:r>
      <w:r>
        <w:rPr>
          <w:rStyle w:val="FootnoteReference"/>
          <w:sz w:val="22"/>
          <w:szCs w:val="22"/>
        </w:rPr>
        <w:footnoteReference w:id="7"/>
      </w:r>
      <w:r w:rsidRPr="003F52B7">
        <w:rPr>
          <w:sz w:val="22"/>
          <w:szCs w:val="22"/>
        </w:rPr>
        <w:t xml:space="preserve">  They represent that grant of the Divestiture Applications will bring the post-Merger combined company into compliance with the national ownership cap.</w:t>
      </w:r>
      <w:r>
        <w:rPr>
          <w:rStyle w:val="FootnoteReference"/>
          <w:sz w:val="22"/>
          <w:szCs w:val="22"/>
        </w:rPr>
        <w:footnoteReference w:id="8"/>
      </w:r>
    </w:p>
    <w:p w:rsidR="003F52B7" w:rsidRPr="003F52B7" w:rsidP="003F52B7">
      <w:pPr>
        <w:ind w:firstLine="720"/>
        <w:rPr>
          <w:sz w:val="22"/>
          <w:szCs w:val="22"/>
        </w:rPr>
      </w:pPr>
    </w:p>
    <w:p w:rsidR="003F52B7" w:rsidRPr="003F52B7" w:rsidP="00F86EDF">
      <w:pPr>
        <w:ind w:firstLine="720"/>
        <w:rPr>
          <w:sz w:val="22"/>
          <w:szCs w:val="22"/>
        </w:rPr>
      </w:pPr>
      <w:r w:rsidRPr="003F52B7">
        <w:rPr>
          <w:sz w:val="22"/>
          <w:szCs w:val="22"/>
        </w:rPr>
        <w:t xml:space="preserve">As explained more fully in the Comprehensive Exhibit, </w:t>
      </w:r>
      <w:r w:rsidR="0065763D">
        <w:rPr>
          <w:sz w:val="22"/>
          <w:szCs w:val="22"/>
        </w:rPr>
        <w:t xml:space="preserve">as amended, </w:t>
      </w:r>
      <w:r w:rsidRPr="003F52B7">
        <w:rPr>
          <w:sz w:val="22"/>
          <w:szCs w:val="22"/>
        </w:rPr>
        <w:t xml:space="preserve">in several Designated Market Areas Sinclair and Tribune both own full power television stations (Overlap Markets). </w:t>
      </w:r>
      <w:r w:rsidR="009E1242">
        <w:rPr>
          <w:sz w:val="22"/>
          <w:szCs w:val="22"/>
        </w:rPr>
        <w:t xml:space="preserve"> </w:t>
      </w:r>
      <w:r w:rsidRPr="003F52B7">
        <w:rPr>
          <w:sz w:val="22"/>
          <w:szCs w:val="22"/>
        </w:rPr>
        <w:t xml:space="preserve">The </w:t>
      </w:r>
      <w:r w:rsidR="00CC704E">
        <w:rPr>
          <w:sz w:val="22"/>
          <w:szCs w:val="22"/>
        </w:rPr>
        <w:t>Applicants</w:t>
      </w:r>
      <w:r w:rsidRPr="003F52B7">
        <w:rPr>
          <w:sz w:val="22"/>
          <w:szCs w:val="22"/>
        </w:rPr>
        <w:t xml:space="preserve"> state that</w:t>
      </w:r>
      <w:r w:rsidR="0074263B">
        <w:rPr>
          <w:sz w:val="22"/>
          <w:szCs w:val="22"/>
        </w:rPr>
        <w:t>,</w:t>
      </w:r>
      <w:r w:rsidRPr="003F52B7">
        <w:rPr>
          <w:sz w:val="22"/>
          <w:szCs w:val="22"/>
        </w:rPr>
        <w:t xml:space="preserve"> in </w:t>
      </w:r>
      <w:r w:rsidR="00FE3D0C">
        <w:rPr>
          <w:sz w:val="22"/>
          <w:szCs w:val="22"/>
        </w:rPr>
        <w:t>nine</w:t>
      </w:r>
      <w:r w:rsidRPr="003F52B7" w:rsidR="00B52540">
        <w:rPr>
          <w:sz w:val="22"/>
          <w:szCs w:val="22"/>
        </w:rPr>
        <w:t xml:space="preserve"> </w:t>
      </w:r>
      <w:r w:rsidRPr="003F52B7">
        <w:rPr>
          <w:sz w:val="22"/>
          <w:szCs w:val="22"/>
        </w:rPr>
        <w:t>of the Overlap Markets,</w:t>
      </w:r>
      <w:r>
        <w:rPr>
          <w:rStyle w:val="FootnoteReference"/>
          <w:sz w:val="22"/>
          <w:szCs w:val="22"/>
        </w:rPr>
        <w:footnoteReference w:id="9"/>
      </w:r>
      <w:r w:rsidRPr="003F52B7">
        <w:rPr>
          <w:sz w:val="22"/>
          <w:szCs w:val="22"/>
        </w:rPr>
        <w:t xml:space="preserve"> the Commission’s local television multiple ownership rule do</w:t>
      </w:r>
      <w:r w:rsidR="0074263B">
        <w:rPr>
          <w:sz w:val="22"/>
          <w:szCs w:val="22"/>
        </w:rPr>
        <w:t>es</w:t>
      </w:r>
      <w:r w:rsidRPr="003F52B7">
        <w:rPr>
          <w:sz w:val="22"/>
          <w:szCs w:val="22"/>
        </w:rPr>
        <w:t xml:space="preserve"> not allow Sinclair to own both its current station(s) and the Tribune station(s) and </w:t>
      </w:r>
      <w:r w:rsidR="0074263B">
        <w:rPr>
          <w:sz w:val="22"/>
          <w:szCs w:val="22"/>
        </w:rPr>
        <w:t xml:space="preserve">that </w:t>
      </w:r>
      <w:r w:rsidRPr="003F52B7">
        <w:rPr>
          <w:sz w:val="22"/>
          <w:szCs w:val="22"/>
        </w:rPr>
        <w:t xml:space="preserve">it will divest stations in order to comply with </w:t>
      </w:r>
      <w:r w:rsidR="0074263B">
        <w:rPr>
          <w:sz w:val="22"/>
          <w:szCs w:val="22"/>
        </w:rPr>
        <w:t xml:space="preserve">the </w:t>
      </w:r>
      <w:r w:rsidRPr="003F52B7">
        <w:rPr>
          <w:sz w:val="22"/>
          <w:szCs w:val="22"/>
        </w:rPr>
        <w:t>rule.</w:t>
      </w:r>
      <w:r>
        <w:rPr>
          <w:rStyle w:val="FootnoteReference"/>
          <w:sz w:val="22"/>
          <w:szCs w:val="22"/>
        </w:rPr>
        <w:footnoteReference w:id="10"/>
      </w:r>
      <w:r w:rsidRPr="003F52B7">
        <w:rPr>
          <w:sz w:val="22"/>
          <w:szCs w:val="22"/>
        </w:rPr>
        <w:t xml:space="preserve">  In </w:t>
      </w:r>
      <w:r w:rsidR="006116A5">
        <w:rPr>
          <w:sz w:val="22"/>
          <w:szCs w:val="22"/>
        </w:rPr>
        <w:t>two Overlap Markets,</w:t>
      </w:r>
      <w:r w:rsidR="003C7A45">
        <w:rPr>
          <w:sz w:val="22"/>
          <w:szCs w:val="22"/>
        </w:rPr>
        <w:t xml:space="preserve"> </w:t>
      </w:r>
      <w:r w:rsidRPr="003F52B7">
        <w:rPr>
          <w:sz w:val="22"/>
          <w:szCs w:val="22"/>
        </w:rPr>
        <w:t xml:space="preserve">Sinclair </w:t>
      </w:r>
      <w:r w:rsidR="0074263B">
        <w:rPr>
          <w:sz w:val="22"/>
          <w:szCs w:val="22"/>
        </w:rPr>
        <w:t xml:space="preserve">makes a </w:t>
      </w:r>
      <w:r w:rsidRPr="003F52B7">
        <w:rPr>
          <w:sz w:val="22"/>
          <w:szCs w:val="22"/>
        </w:rPr>
        <w:t>showing</w:t>
      </w:r>
      <w:r w:rsidR="0074263B">
        <w:rPr>
          <w:sz w:val="22"/>
          <w:szCs w:val="22"/>
        </w:rPr>
        <w:t>,</w:t>
      </w:r>
      <w:r w:rsidRPr="003F52B7">
        <w:rPr>
          <w:sz w:val="22"/>
          <w:szCs w:val="22"/>
        </w:rPr>
        <w:t xml:space="preserve"> as newly authorized by the Commission</w:t>
      </w:r>
      <w:r w:rsidR="0074263B">
        <w:rPr>
          <w:sz w:val="22"/>
          <w:szCs w:val="22"/>
        </w:rPr>
        <w:t>,</w:t>
      </w:r>
      <w:r>
        <w:rPr>
          <w:rStyle w:val="FootnoteReference"/>
          <w:sz w:val="22"/>
          <w:szCs w:val="22"/>
        </w:rPr>
        <w:footnoteReference w:id="11"/>
      </w:r>
      <w:r w:rsidRPr="003F52B7">
        <w:rPr>
          <w:sz w:val="22"/>
          <w:szCs w:val="22"/>
        </w:rPr>
        <w:t xml:space="preserve"> seek</w:t>
      </w:r>
      <w:r w:rsidR="0065763D">
        <w:rPr>
          <w:sz w:val="22"/>
          <w:szCs w:val="22"/>
        </w:rPr>
        <w:t>ing</w:t>
      </w:r>
      <w:r w:rsidRPr="003F52B7">
        <w:rPr>
          <w:sz w:val="22"/>
          <w:szCs w:val="22"/>
        </w:rPr>
        <w:t xml:space="preserve"> permission to own two top</w:t>
      </w:r>
      <w:r w:rsidR="0065763D">
        <w:rPr>
          <w:sz w:val="22"/>
          <w:szCs w:val="22"/>
        </w:rPr>
        <w:t>-</w:t>
      </w:r>
      <w:r w:rsidRPr="003F52B7">
        <w:rPr>
          <w:sz w:val="22"/>
          <w:szCs w:val="22"/>
        </w:rPr>
        <w:t>four stations in a single market</w:t>
      </w:r>
      <w:r>
        <w:rPr>
          <w:rStyle w:val="FootnoteReference"/>
          <w:sz w:val="22"/>
          <w:szCs w:val="22"/>
        </w:rPr>
        <w:footnoteReference w:id="12"/>
      </w:r>
      <w:r w:rsidR="006116A5">
        <w:rPr>
          <w:sz w:val="22"/>
          <w:szCs w:val="22"/>
        </w:rPr>
        <w:t xml:space="preserve">: Indianapolis, Indiana, where Sinclair proposes to acquire Tribune’s existing stations, both </w:t>
      </w:r>
      <w:r w:rsidR="006116A5">
        <w:rPr>
          <w:sz w:val="22"/>
          <w:szCs w:val="22"/>
        </w:rPr>
        <w:t>of which are ranked among the top four;</w:t>
      </w:r>
      <w:r>
        <w:rPr>
          <w:rStyle w:val="FootnoteReference"/>
          <w:sz w:val="22"/>
          <w:szCs w:val="22"/>
        </w:rPr>
        <w:footnoteReference w:id="13"/>
      </w:r>
      <w:r w:rsidR="006116A5">
        <w:rPr>
          <w:sz w:val="22"/>
          <w:szCs w:val="22"/>
        </w:rPr>
        <w:t xml:space="preserve"> and St. Louis, Missouri, where Sinclair proposes to own Tribune station KTVI(TV), St. Louis, Missouri, in combination with either </w:t>
      </w:r>
      <w:r w:rsidR="00EA5248">
        <w:rPr>
          <w:sz w:val="22"/>
          <w:szCs w:val="22"/>
        </w:rPr>
        <w:t>Sinclair station KDNL-TV, St. Louis, Missouri, or Tribune station KPLR-TV, St. Louis, Missouri.</w:t>
      </w:r>
      <w:r>
        <w:rPr>
          <w:rStyle w:val="FootnoteReference"/>
          <w:sz w:val="22"/>
          <w:szCs w:val="22"/>
        </w:rPr>
        <w:footnoteReference w:id="14"/>
      </w:r>
      <w:r w:rsidRPr="003F52B7">
        <w:rPr>
          <w:sz w:val="22"/>
          <w:szCs w:val="22"/>
        </w:rPr>
        <w:t xml:space="preserve">  The </w:t>
      </w:r>
      <w:r w:rsidR="00E36691">
        <w:rPr>
          <w:sz w:val="22"/>
          <w:szCs w:val="22"/>
        </w:rPr>
        <w:t>Applicants</w:t>
      </w:r>
      <w:r w:rsidRPr="003F52B7" w:rsidR="00E36691">
        <w:rPr>
          <w:sz w:val="22"/>
          <w:szCs w:val="22"/>
        </w:rPr>
        <w:t xml:space="preserve"> </w:t>
      </w:r>
      <w:r w:rsidRPr="003F52B7">
        <w:rPr>
          <w:sz w:val="22"/>
          <w:szCs w:val="22"/>
        </w:rPr>
        <w:t>assert that</w:t>
      </w:r>
      <w:r w:rsidR="00CC704E">
        <w:rPr>
          <w:sz w:val="22"/>
          <w:szCs w:val="22"/>
        </w:rPr>
        <w:t>,</w:t>
      </w:r>
      <w:r w:rsidRPr="003F52B7">
        <w:rPr>
          <w:sz w:val="22"/>
          <w:szCs w:val="22"/>
        </w:rPr>
        <w:t xml:space="preserve"> in </w:t>
      </w:r>
      <w:r w:rsidR="00FE3D0C">
        <w:rPr>
          <w:sz w:val="22"/>
          <w:szCs w:val="22"/>
        </w:rPr>
        <w:t>two</w:t>
      </w:r>
      <w:r w:rsidRPr="003F52B7" w:rsidR="00FE3D0C">
        <w:rPr>
          <w:sz w:val="22"/>
          <w:szCs w:val="22"/>
        </w:rPr>
        <w:t xml:space="preserve"> </w:t>
      </w:r>
      <w:r w:rsidRPr="003F52B7">
        <w:rPr>
          <w:sz w:val="22"/>
          <w:szCs w:val="22"/>
        </w:rPr>
        <w:t>other Overlap Market</w:t>
      </w:r>
      <w:r w:rsidR="00FE3D0C">
        <w:rPr>
          <w:sz w:val="22"/>
          <w:szCs w:val="22"/>
        </w:rPr>
        <w:t>s</w:t>
      </w:r>
      <w:r w:rsidR="00CC704E">
        <w:rPr>
          <w:sz w:val="22"/>
          <w:szCs w:val="22"/>
        </w:rPr>
        <w:t>,</w:t>
      </w:r>
      <w:r w:rsidRPr="003F52B7">
        <w:rPr>
          <w:sz w:val="22"/>
          <w:szCs w:val="22"/>
        </w:rPr>
        <w:t xml:space="preserve"> permissible duopol</w:t>
      </w:r>
      <w:r w:rsidR="00FE3D0C">
        <w:rPr>
          <w:sz w:val="22"/>
          <w:szCs w:val="22"/>
        </w:rPr>
        <w:t>ies</w:t>
      </w:r>
      <w:r w:rsidRPr="003F52B7">
        <w:rPr>
          <w:sz w:val="22"/>
          <w:szCs w:val="22"/>
        </w:rPr>
        <w:t xml:space="preserve"> will be created by the transaction</w:t>
      </w:r>
      <w:r w:rsidR="00CC704E">
        <w:rPr>
          <w:sz w:val="22"/>
          <w:szCs w:val="22"/>
        </w:rPr>
        <w:t>;</w:t>
      </w:r>
      <w:r w:rsidR="009E7016">
        <w:rPr>
          <w:sz w:val="22"/>
          <w:szCs w:val="22"/>
        </w:rPr>
        <w:t xml:space="preserve"> in one market a permissible three station combination will be created</w:t>
      </w:r>
      <w:r w:rsidR="00CC704E">
        <w:rPr>
          <w:sz w:val="22"/>
          <w:szCs w:val="22"/>
        </w:rPr>
        <w:t>;</w:t>
      </w:r>
      <w:r w:rsidRPr="007C1752" w:rsidR="007C1752">
        <w:rPr>
          <w:rStyle w:val="FootnoteReference"/>
          <w:sz w:val="22"/>
          <w:szCs w:val="22"/>
        </w:rPr>
        <w:t xml:space="preserve"> </w:t>
      </w:r>
      <w:r>
        <w:rPr>
          <w:rStyle w:val="FootnoteReference"/>
          <w:sz w:val="22"/>
          <w:szCs w:val="22"/>
        </w:rPr>
        <w:footnoteReference w:id="15"/>
      </w:r>
      <w:r w:rsidRPr="003F52B7">
        <w:rPr>
          <w:sz w:val="22"/>
          <w:szCs w:val="22"/>
        </w:rPr>
        <w:t xml:space="preserve"> and, in </w:t>
      </w:r>
      <w:r w:rsidR="007C1752">
        <w:rPr>
          <w:sz w:val="22"/>
          <w:szCs w:val="22"/>
        </w:rPr>
        <w:t>three markets</w:t>
      </w:r>
      <w:r w:rsidRPr="003F52B7" w:rsidR="007C1752">
        <w:rPr>
          <w:sz w:val="22"/>
          <w:szCs w:val="22"/>
        </w:rPr>
        <w:t xml:space="preserve"> </w:t>
      </w:r>
      <w:r w:rsidRPr="003F52B7">
        <w:rPr>
          <w:sz w:val="22"/>
          <w:szCs w:val="22"/>
        </w:rPr>
        <w:t>where Sinclair currently does not own stations, it will acquire existing permissible duopolies.</w:t>
      </w:r>
      <w:r>
        <w:rPr>
          <w:rStyle w:val="FootnoteReference"/>
          <w:sz w:val="22"/>
          <w:szCs w:val="22"/>
        </w:rPr>
        <w:footnoteReference w:id="16"/>
      </w:r>
      <w:r w:rsidRPr="003F52B7">
        <w:rPr>
          <w:sz w:val="22"/>
          <w:szCs w:val="22"/>
        </w:rPr>
        <w:t xml:space="preserve"> </w:t>
      </w:r>
      <w:r w:rsidRPr="003F52B7">
        <w:rPr>
          <w:rStyle w:val="FootnoteReference"/>
          <w:sz w:val="22"/>
          <w:szCs w:val="22"/>
        </w:rPr>
        <w:t xml:space="preserve"> </w:t>
      </w:r>
      <w:r w:rsidRPr="003F52B7">
        <w:rPr>
          <w:sz w:val="22"/>
          <w:szCs w:val="22"/>
        </w:rPr>
        <w:t xml:space="preserve">Finally, as a result of the </w:t>
      </w:r>
      <w:r w:rsidR="00CC704E">
        <w:rPr>
          <w:sz w:val="22"/>
          <w:szCs w:val="22"/>
        </w:rPr>
        <w:t>M</w:t>
      </w:r>
      <w:r w:rsidRPr="003F52B7">
        <w:rPr>
          <w:sz w:val="22"/>
          <w:szCs w:val="22"/>
        </w:rPr>
        <w:t>erger, Sinclair also w</w:t>
      </w:r>
      <w:r w:rsidR="00E27FD6">
        <w:rPr>
          <w:sz w:val="22"/>
          <w:szCs w:val="22"/>
        </w:rPr>
        <w:t>ill</w:t>
      </w:r>
      <w:r w:rsidRPr="003F52B7">
        <w:rPr>
          <w:sz w:val="22"/>
          <w:szCs w:val="22"/>
        </w:rPr>
        <w:t xml:space="preserve"> acquire four radio stations in Seattle, Washington</w:t>
      </w:r>
      <w:r w:rsidR="00CC704E">
        <w:rPr>
          <w:sz w:val="22"/>
          <w:szCs w:val="22"/>
        </w:rPr>
        <w:t>,</w:t>
      </w:r>
      <w:r w:rsidRPr="003F52B7">
        <w:rPr>
          <w:sz w:val="22"/>
          <w:szCs w:val="22"/>
        </w:rPr>
        <w:t xml:space="preserve"> and two radio stations in Chicago, Illinois, which the </w:t>
      </w:r>
      <w:r w:rsidR="00E36691">
        <w:rPr>
          <w:sz w:val="22"/>
          <w:szCs w:val="22"/>
        </w:rPr>
        <w:t>Applicants</w:t>
      </w:r>
      <w:r w:rsidRPr="003F52B7" w:rsidR="00E36691">
        <w:rPr>
          <w:sz w:val="22"/>
          <w:szCs w:val="22"/>
        </w:rPr>
        <w:t xml:space="preserve"> </w:t>
      </w:r>
      <w:r w:rsidRPr="003F52B7">
        <w:rPr>
          <w:sz w:val="22"/>
          <w:szCs w:val="22"/>
        </w:rPr>
        <w:t>state are permissible combinations.</w:t>
      </w:r>
      <w:r>
        <w:rPr>
          <w:rStyle w:val="FootnoteReference"/>
          <w:sz w:val="22"/>
          <w:szCs w:val="22"/>
        </w:rPr>
        <w:footnoteReference w:id="17"/>
      </w:r>
    </w:p>
    <w:p w:rsidR="003F52B7" w:rsidRPr="003F52B7" w:rsidP="003F52B7">
      <w:pPr>
        <w:ind w:firstLine="720"/>
        <w:rPr>
          <w:b/>
          <w:bCs/>
          <w:color w:val="010101"/>
          <w:sz w:val="22"/>
          <w:szCs w:val="22"/>
        </w:rPr>
      </w:pPr>
    </w:p>
    <w:p w:rsidR="003F52B7" w:rsidRPr="003F52B7" w:rsidP="003F52B7">
      <w:pPr>
        <w:autoSpaceDE w:val="0"/>
        <w:autoSpaceDN w:val="0"/>
        <w:adjustRightInd w:val="0"/>
        <w:rPr>
          <w:b/>
          <w:bCs/>
          <w:color w:val="010101"/>
          <w:sz w:val="22"/>
          <w:szCs w:val="22"/>
        </w:rPr>
      </w:pPr>
      <w:r w:rsidRPr="003F52B7">
        <w:rPr>
          <w:b/>
          <w:bCs/>
          <w:color w:val="010101"/>
          <w:sz w:val="22"/>
          <w:szCs w:val="22"/>
        </w:rPr>
        <w:t>GENERAL INFORMATION</w:t>
      </w:r>
    </w:p>
    <w:p w:rsidR="003F52B7" w:rsidRPr="003F52B7" w:rsidP="003F52B7">
      <w:pPr>
        <w:autoSpaceDE w:val="0"/>
        <w:autoSpaceDN w:val="0"/>
        <w:adjustRightInd w:val="0"/>
        <w:rPr>
          <w:b/>
          <w:bCs/>
          <w:color w:val="010101"/>
          <w:sz w:val="22"/>
          <w:szCs w:val="22"/>
        </w:rPr>
      </w:pPr>
    </w:p>
    <w:p w:rsidR="003F52B7" w:rsidRPr="003F52B7" w:rsidP="003F52B7">
      <w:pPr>
        <w:ind w:firstLine="720"/>
        <w:rPr>
          <w:color w:val="010101"/>
          <w:sz w:val="22"/>
          <w:szCs w:val="22"/>
        </w:rPr>
      </w:pPr>
      <w:r w:rsidRPr="003F52B7">
        <w:rPr>
          <w:color w:val="010101"/>
          <w:sz w:val="22"/>
          <w:szCs w:val="22"/>
        </w:rPr>
        <w:t xml:space="preserve">The </w:t>
      </w:r>
      <w:r w:rsidR="000668C6">
        <w:rPr>
          <w:color w:val="010101"/>
          <w:sz w:val="22"/>
          <w:szCs w:val="22"/>
        </w:rPr>
        <w:t xml:space="preserve">Divestiture Applications </w:t>
      </w:r>
      <w:r w:rsidRPr="003F52B7">
        <w:rPr>
          <w:color w:val="010101"/>
          <w:sz w:val="22"/>
          <w:szCs w:val="22"/>
        </w:rPr>
        <w:t xml:space="preserve">have been accepted for filing upon initial review.  The Commission reserves the right to return any application if, upon further </w:t>
      </w:r>
      <w:r w:rsidRPr="003F52B7">
        <w:rPr>
          <w:sz w:val="22"/>
          <w:szCs w:val="22"/>
        </w:rPr>
        <w:t>examination</w:t>
      </w:r>
      <w:r w:rsidRPr="003F52B7">
        <w:rPr>
          <w:color w:val="010101"/>
          <w:sz w:val="22"/>
          <w:szCs w:val="22"/>
        </w:rPr>
        <w:t>, it is determined to be defective and not in conformance with the Commission’s rules or policies.  Interested persons</w:t>
      </w:r>
      <w:r>
        <w:rPr>
          <w:rStyle w:val="FootnoteReference"/>
          <w:color w:val="010101"/>
          <w:sz w:val="22"/>
          <w:szCs w:val="22"/>
        </w:rPr>
        <w:footnoteReference w:id="18"/>
      </w:r>
      <w:r w:rsidRPr="003F52B7">
        <w:rPr>
          <w:color w:val="010101"/>
          <w:sz w:val="22"/>
          <w:szCs w:val="22"/>
        </w:rPr>
        <w:t xml:space="preserve"> </w:t>
      </w:r>
      <w:r w:rsidR="00A411F3">
        <w:rPr>
          <w:color w:val="010101"/>
          <w:sz w:val="22"/>
          <w:szCs w:val="22"/>
        </w:rPr>
        <w:t>and p</w:t>
      </w:r>
      <w:r w:rsidR="000668C6">
        <w:rPr>
          <w:color w:val="010101"/>
          <w:sz w:val="22"/>
          <w:szCs w:val="22"/>
        </w:rPr>
        <w:t xml:space="preserve">arties wishing to file comments </w:t>
      </w:r>
      <w:r w:rsidR="002C226C">
        <w:rPr>
          <w:color w:val="010101"/>
          <w:sz w:val="22"/>
          <w:szCs w:val="22"/>
        </w:rPr>
        <w:t xml:space="preserve">and reply comments to </w:t>
      </w:r>
      <w:r w:rsidR="000668C6">
        <w:rPr>
          <w:color w:val="010101"/>
          <w:sz w:val="22"/>
          <w:szCs w:val="22"/>
        </w:rPr>
        <w:t xml:space="preserve">the </w:t>
      </w:r>
      <w:r w:rsidR="00A411F3">
        <w:rPr>
          <w:color w:val="010101"/>
          <w:sz w:val="22"/>
          <w:szCs w:val="22"/>
        </w:rPr>
        <w:t>D</w:t>
      </w:r>
      <w:r w:rsidR="000668C6">
        <w:rPr>
          <w:color w:val="010101"/>
          <w:sz w:val="22"/>
          <w:szCs w:val="22"/>
        </w:rPr>
        <w:t xml:space="preserve">ivestiture </w:t>
      </w:r>
      <w:r w:rsidR="00A411F3">
        <w:rPr>
          <w:color w:val="010101"/>
          <w:sz w:val="22"/>
          <w:szCs w:val="22"/>
        </w:rPr>
        <w:t>A</w:t>
      </w:r>
      <w:r w:rsidR="000668C6">
        <w:rPr>
          <w:color w:val="010101"/>
          <w:sz w:val="22"/>
          <w:szCs w:val="22"/>
        </w:rPr>
        <w:t xml:space="preserve">pplications </w:t>
      </w:r>
      <w:r w:rsidR="00A411F3">
        <w:rPr>
          <w:color w:val="010101"/>
          <w:sz w:val="22"/>
          <w:szCs w:val="22"/>
        </w:rPr>
        <w:t xml:space="preserve">or </w:t>
      </w:r>
      <w:r w:rsidR="0020736B">
        <w:rPr>
          <w:color w:val="010101"/>
          <w:sz w:val="22"/>
          <w:szCs w:val="22"/>
        </w:rPr>
        <w:t xml:space="preserve">Original </w:t>
      </w:r>
      <w:r w:rsidR="00A411F3">
        <w:rPr>
          <w:color w:val="010101"/>
          <w:sz w:val="22"/>
          <w:szCs w:val="22"/>
        </w:rPr>
        <w:t>Applications</w:t>
      </w:r>
      <w:r w:rsidR="0020736B">
        <w:rPr>
          <w:color w:val="010101"/>
          <w:sz w:val="22"/>
          <w:szCs w:val="22"/>
        </w:rPr>
        <w:t>, as amended,</w:t>
      </w:r>
      <w:r w:rsidR="00A411F3">
        <w:rPr>
          <w:color w:val="010101"/>
          <w:sz w:val="22"/>
          <w:szCs w:val="22"/>
        </w:rPr>
        <w:t xml:space="preserve"> must </w:t>
      </w:r>
      <w:r w:rsidR="0020736B">
        <w:rPr>
          <w:color w:val="010101"/>
          <w:sz w:val="22"/>
          <w:szCs w:val="22"/>
        </w:rPr>
        <w:t xml:space="preserve">file </w:t>
      </w:r>
      <w:r w:rsidR="00A411F3">
        <w:rPr>
          <w:color w:val="010101"/>
          <w:sz w:val="22"/>
          <w:szCs w:val="22"/>
        </w:rPr>
        <w:t xml:space="preserve">petitions to deny no later than </w:t>
      </w:r>
      <w:r w:rsidR="009D6BD3">
        <w:rPr>
          <w:color w:val="010101"/>
          <w:sz w:val="22"/>
          <w:szCs w:val="22"/>
        </w:rPr>
        <w:t>June 20</w:t>
      </w:r>
      <w:r w:rsidR="00A411F3">
        <w:rPr>
          <w:color w:val="010101"/>
          <w:sz w:val="22"/>
          <w:szCs w:val="22"/>
        </w:rPr>
        <w:t xml:space="preserve">, 2018.  Oppositions to petitions to deny must be filed no later than </w:t>
      </w:r>
      <w:r w:rsidR="009D6BD3">
        <w:rPr>
          <w:color w:val="010101"/>
          <w:sz w:val="22"/>
          <w:szCs w:val="22"/>
        </w:rPr>
        <w:t>July 5</w:t>
      </w:r>
      <w:r w:rsidR="00A411F3">
        <w:rPr>
          <w:color w:val="010101"/>
          <w:sz w:val="22"/>
          <w:szCs w:val="22"/>
        </w:rPr>
        <w:t xml:space="preserve">, 2018.  Replies must be filed no later than </w:t>
      </w:r>
      <w:r w:rsidR="009D6BD3">
        <w:rPr>
          <w:color w:val="010101"/>
          <w:sz w:val="22"/>
          <w:szCs w:val="22"/>
        </w:rPr>
        <w:t>July 12</w:t>
      </w:r>
      <w:r w:rsidR="00A411F3">
        <w:rPr>
          <w:color w:val="010101"/>
          <w:sz w:val="22"/>
          <w:szCs w:val="22"/>
        </w:rPr>
        <w:t xml:space="preserve">, 2018.  In addition, interested persons with comments on the top-four showings </w:t>
      </w:r>
      <w:r w:rsidR="000668C6">
        <w:rPr>
          <w:color w:val="010101"/>
          <w:sz w:val="22"/>
          <w:szCs w:val="22"/>
        </w:rPr>
        <w:t>shall use th</w:t>
      </w:r>
      <w:r w:rsidR="00025D67">
        <w:rPr>
          <w:color w:val="010101"/>
          <w:sz w:val="22"/>
          <w:szCs w:val="22"/>
        </w:rPr>
        <w:t>is</w:t>
      </w:r>
      <w:r w:rsidR="000668C6">
        <w:rPr>
          <w:color w:val="010101"/>
          <w:sz w:val="22"/>
          <w:szCs w:val="22"/>
        </w:rPr>
        <w:t xml:space="preserve"> same pleading cycle.  </w:t>
      </w:r>
    </w:p>
    <w:p w:rsidR="003F52B7" w:rsidRPr="003F52B7" w:rsidP="003F52B7">
      <w:pPr>
        <w:autoSpaceDE w:val="0"/>
        <w:autoSpaceDN w:val="0"/>
        <w:adjustRightInd w:val="0"/>
        <w:rPr>
          <w:color w:val="010101"/>
          <w:sz w:val="22"/>
          <w:szCs w:val="22"/>
        </w:rPr>
      </w:pPr>
    </w:p>
    <w:p w:rsidR="003F52B7" w:rsidP="008D3A7F">
      <w:pPr>
        <w:autoSpaceDE w:val="0"/>
        <w:autoSpaceDN w:val="0"/>
        <w:adjustRightInd w:val="0"/>
        <w:ind w:firstLine="720"/>
        <w:rPr>
          <w:b/>
          <w:bCs/>
          <w:color w:val="010101"/>
          <w:sz w:val="22"/>
          <w:szCs w:val="22"/>
        </w:rPr>
      </w:pPr>
      <w:r w:rsidRPr="003F52B7">
        <w:rPr>
          <w:bCs/>
          <w:color w:val="010101"/>
          <w:sz w:val="22"/>
          <w:szCs w:val="22"/>
        </w:rPr>
        <w:t xml:space="preserve">To allow the Commission to consider fully all substantive issues regarding the applications in as timely and efficient a manner as possible, petitioners and commenters should raise all issues in their </w:t>
      </w:r>
      <w:r w:rsidR="0099026E">
        <w:rPr>
          <w:bCs/>
          <w:color w:val="010101"/>
          <w:sz w:val="22"/>
          <w:szCs w:val="22"/>
        </w:rPr>
        <w:t xml:space="preserve">original </w:t>
      </w:r>
      <w:r w:rsidRPr="003F52B7">
        <w:rPr>
          <w:bCs/>
          <w:color w:val="010101"/>
          <w:sz w:val="22"/>
          <w:szCs w:val="22"/>
        </w:rPr>
        <w:t>filings.  Replies may only address matters raised in oppositions.</w:t>
      </w:r>
      <w:r>
        <w:rPr>
          <w:rStyle w:val="FootnoteReference"/>
          <w:bCs/>
          <w:color w:val="010101"/>
          <w:sz w:val="22"/>
          <w:szCs w:val="22"/>
        </w:rPr>
        <w:footnoteReference w:id="19"/>
      </w:r>
      <w:r w:rsidRPr="003F52B7">
        <w:rPr>
          <w:bCs/>
          <w:color w:val="010101"/>
          <w:sz w:val="22"/>
          <w:szCs w:val="22"/>
        </w:rPr>
        <w:t xml:space="preserve">  A party or interested person seeking to raise a new issue after the pleading cycle has closed must show good cause why it was not possible to raise the issue previously.</w:t>
      </w:r>
      <w:r>
        <w:rPr>
          <w:rStyle w:val="FootnoteReference"/>
          <w:bCs/>
          <w:color w:val="010101"/>
          <w:sz w:val="22"/>
          <w:szCs w:val="22"/>
        </w:rPr>
        <w:footnoteReference w:id="20"/>
      </w:r>
      <w:r w:rsidRPr="003F52B7">
        <w:rPr>
          <w:bCs/>
          <w:color w:val="010101"/>
          <w:sz w:val="22"/>
          <w:szCs w:val="22"/>
        </w:rPr>
        <w:t xml:space="preserve">  Submissions after the pleading cycle has closed that seek to raise new issues based on new facts or newly discovered facts should be filed within 15 days after such facts are discovered.  Absent such showing</w:t>
      </w:r>
      <w:r w:rsidR="00025D67">
        <w:rPr>
          <w:bCs/>
          <w:color w:val="010101"/>
          <w:sz w:val="22"/>
          <w:szCs w:val="22"/>
        </w:rPr>
        <w:t>s</w:t>
      </w:r>
      <w:r w:rsidRPr="003F52B7">
        <w:rPr>
          <w:bCs/>
          <w:color w:val="010101"/>
          <w:sz w:val="22"/>
          <w:szCs w:val="22"/>
        </w:rPr>
        <w:t xml:space="preserve"> of good cause, any issues not timely raised may be disregarded by the Commission.</w:t>
      </w:r>
      <w:r w:rsidRPr="003F52B7">
        <w:rPr>
          <w:b/>
          <w:bCs/>
          <w:color w:val="010101"/>
          <w:sz w:val="22"/>
          <w:szCs w:val="22"/>
        </w:rPr>
        <w:tab/>
      </w:r>
    </w:p>
    <w:p w:rsidR="002C226C" w:rsidRPr="003F52B7" w:rsidP="008D3A7F">
      <w:pPr>
        <w:autoSpaceDE w:val="0"/>
        <w:autoSpaceDN w:val="0"/>
        <w:adjustRightInd w:val="0"/>
        <w:ind w:firstLine="720"/>
        <w:rPr>
          <w:b/>
          <w:bCs/>
          <w:color w:val="010101"/>
          <w:sz w:val="22"/>
          <w:szCs w:val="22"/>
        </w:rPr>
      </w:pPr>
    </w:p>
    <w:p w:rsidR="003F52B7" w:rsidRPr="003F52B7" w:rsidP="003F52B7">
      <w:pPr>
        <w:autoSpaceDE w:val="0"/>
        <w:autoSpaceDN w:val="0"/>
        <w:adjustRightInd w:val="0"/>
        <w:ind w:firstLine="720"/>
        <w:rPr>
          <w:color w:val="010101"/>
          <w:sz w:val="22"/>
          <w:szCs w:val="22"/>
        </w:rPr>
      </w:pPr>
      <w:r w:rsidRPr="003F52B7">
        <w:rPr>
          <w:color w:val="010101"/>
          <w:sz w:val="22"/>
          <w:szCs w:val="22"/>
        </w:rPr>
        <w:t>All filings concerning matters referenced in this Public Notice should refer to MB Docket No.17-179, as well as the specific file numbers of the individual applications or other matters to which the filings pertain.</w:t>
      </w:r>
      <w:r>
        <w:rPr>
          <w:rStyle w:val="FootnoteReference"/>
          <w:color w:val="010101"/>
          <w:sz w:val="22"/>
          <w:szCs w:val="22"/>
        </w:rPr>
        <w:footnoteReference w:id="21"/>
      </w:r>
      <w:r w:rsidRPr="003F52B7">
        <w:rPr>
          <w:color w:val="010101"/>
          <w:sz w:val="22"/>
          <w:szCs w:val="22"/>
        </w:rPr>
        <w:t xml:space="preserve">  </w:t>
      </w:r>
    </w:p>
    <w:p w:rsidR="003F52B7" w:rsidRPr="003F52B7" w:rsidP="003F52B7">
      <w:pPr>
        <w:autoSpaceDE w:val="0"/>
        <w:autoSpaceDN w:val="0"/>
        <w:adjustRightInd w:val="0"/>
        <w:rPr>
          <w:color w:val="010101"/>
          <w:sz w:val="22"/>
          <w:szCs w:val="22"/>
        </w:rPr>
      </w:pPr>
    </w:p>
    <w:p w:rsidR="003F52B7" w:rsidRPr="003F52B7" w:rsidP="003F52B7">
      <w:pPr>
        <w:autoSpaceDE w:val="0"/>
        <w:autoSpaceDN w:val="0"/>
        <w:adjustRightInd w:val="0"/>
        <w:ind w:firstLine="720"/>
        <w:rPr>
          <w:color w:val="010101"/>
          <w:sz w:val="22"/>
          <w:szCs w:val="22"/>
        </w:rPr>
      </w:pPr>
      <w:r w:rsidRPr="003F52B7">
        <w:rPr>
          <w:color w:val="010101"/>
          <w:sz w:val="22"/>
          <w:szCs w:val="22"/>
        </w:rPr>
        <w:t>Submissions in this matter may be filed electronically (</w:t>
      </w:r>
      <w:r w:rsidRPr="003F52B7">
        <w:rPr>
          <w:i/>
          <w:iCs/>
          <w:color w:val="010101"/>
          <w:sz w:val="22"/>
          <w:szCs w:val="22"/>
        </w:rPr>
        <w:t>i.e.</w:t>
      </w:r>
      <w:r w:rsidRPr="003F52B7">
        <w:rPr>
          <w:color w:val="010101"/>
          <w:sz w:val="22"/>
          <w:szCs w:val="22"/>
        </w:rPr>
        <w:t>, through ECFS) or by filing paper copies.</w:t>
      </w:r>
    </w:p>
    <w:p w:rsidR="003F52B7" w:rsidRPr="003F52B7" w:rsidP="003F52B7">
      <w:pPr>
        <w:autoSpaceDE w:val="0"/>
        <w:autoSpaceDN w:val="0"/>
        <w:adjustRightInd w:val="0"/>
        <w:rPr>
          <w:color w:val="010101"/>
          <w:sz w:val="22"/>
          <w:szCs w:val="22"/>
        </w:rPr>
      </w:pPr>
    </w:p>
    <w:p w:rsidR="003F52B7" w:rsidRPr="003F52B7" w:rsidP="003F52B7">
      <w:pPr>
        <w:numPr>
          <w:ilvl w:val="0"/>
          <w:numId w:val="8"/>
        </w:numPr>
        <w:autoSpaceDE w:val="0"/>
        <w:autoSpaceDN w:val="0"/>
        <w:adjustRightInd w:val="0"/>
        <w:rPr>
          <w:color w:val="010101"/>
          <w:sz w:val="22"/>
          <w:szCs w:val="22"/>
        </w:rPr>
      </w:pPr>
      <w:r w:rsidRPr="003F52B7">
        <w:rPr>
          <w:color w:val="010101"/>
          <w:sz w:val="22"/>
          <w:szCs w:val="22"/>
        </w:rPr>
        <w:t>Electronic Filers:  Documents may be filed electronically using the Internet by accessing the</w:t>
      </w:r>
    </w:p>
    <w:p w:rsidR="003F52B7" w:rsidRPr="003F52B7" w:rsidP="003F52B7">
      <w:pPr>
        <w:autoSpaceDE w:val="0"/>
        <w:autoSpaceDN w:val="0"/>
        <w:adjustRightInd w:val="0"/>
        <w:rPr>
          <w:color w:val="010101"/>
          <w:sz w:val="22"/>
          <w:szCs w:val="22"/>
        </w:rPr>
      </w:pPr>
      <w:r w:rsidRPr="003F52B7">
        <w:rPr>
          <w:color w:val="010101"/>
          <w:sz w:val="22"/>
          <w:szCs w:val="22"/>
        </w:rPr>
        <w:t xml:space="preserve">ECFS:  </w:t>
      </w:r>
      <w:r>
        <w:fldChar w:fldCharType="begin"/>
      </w:r>
      <w:r>
        <w:instrText xml:space="preserve"> HYPERLINK "http://fjallfoss.fcc.gov/ecfs2/" </w:instrText>
      </w:r>
      <w:r>
        <w:fldChar w:fldCharType="separate"/>
      </w:r>
      <w:r w:rsidRPr="003F52B7">
        <w:rPr>
          <w:rStyle w:val="Hyperlink"/>
          <w:sz w:val="22"/>
          <w:szCs w:val="22"/>
        </w:rPr>
        <w:t>http://fjallfoss.fcc.gov/ecfs2/</w:t>
      </w:r>
      <w:r>
        <w:fldChar w:fldCharType="end"/>
      </w:r>
      <w:r w:rsidRPr="003F52B7">
        <w:rPr>
          <w:color w:val="010101"/>
          <w:sz w:val="22"/>
          <w:szCs w:val="22"/>
        </w:rPr>
        <w:t>.</w:t>
      </w:r>
    </w:p>
    <w:p w:rsidR="003F52B7" w:rsidRPr="003F52B7" w:rsidP="003F52B7">
      <w:pPr>
        <w:autoSpaceDE w:val="0"/>
        <w:autoSpaceDN w:val="0"/>
        <w:adjustRightInd w:val="0"/>
        <w:rPr>
          <w:color w:val="010101"/>
          <w:sz w:val="22"/>
          <w:szCs w:val="22"/>
        </w:rPr>
      </w:pPr>
    </w:p>
    <w:p w:rsidR="003F52B7" w:rsidRPr="003F52B7" w:rsidP="003F52B7">
      <w:pPr>
        <w:numPr>
          <w:ilvl w:val="0"/>
          <w:numId w:val="8"/>
        </w:numPr>
        <w:autoSpaceDE w:val="0"/>
        <w:autoSpaceDN w:val="0"/>
        <w:adjustRightInd w:val="0"/>
        <w:rPr>
          <w:color w:val="010101"/>
          <w:sz w:val="22"/>
          <w:szCs w:val="22"/>
        </w:rPr>
      </w:pPr>
      <w:r w:rsidRPr="003F52B7">
        <w:rPr>
          <w:color w:val="010101"/>
          <w:sz w:val="22"/>
          <w:szCs w:val="22"/>
        </w:rPr>
        <w:t>Paper Filers:  Parties who choose to file by paper must file an original and four copies of each</w:t>
      </w:r>
    </w:p>
    <w:p w:rsidR="003F52B7" w:rsidRPr="003F52B7" w:rsidP="003F52B7">
      <w:pPr>
        <w:autoSpaceDE w:val="0"/>
        <w:autoSpaceDN w:val="0"/>
        <w:adjustRightInd w:val="0"/>
        <w:rPr>
          <w:color w:val="010101"/>
          <w:sz w:val="22"/>
          <w:szCs w:val="22"/>
        </w:rPr>
      </w:pPr>
      <w:r w:rsidRPr="003F52B7">
        <w:rPr>
          <w:color w:val="010101"/>
          <w:sz w:val="22"/>
          <w:szCs w:val="22"/>
        </w:rPr>
        <w:t>filing.  Filings may be sent by hand or messenger delivery, by commercial overnight courier, or by first-class or overnight U.S. Postal Service mail.  All filings must be addressed to the Commission’s Secretary, Office of the Secretary, Federal Communications Commission, 445 12</w:t>
      </w:r>
      <w:r w:rsidRPr="003F52B7">
        <w:rPr>
          <w:color w:val="010101"/>
          <w:sz w:val="22"/>
          <w:szCs w:val="22"/>
          <w:vertAlign w:val="superscript"/>
        </w:rPr>
        <w:t>th</w:t>
      </w:r>
      <w:r w:rsidRPr="003F52B7">
        <w:rPr>
          <w:color w:val="010101"/>
          <w:sz w:val="22"/>
          <w:szCs w:val="22"/>
        </w:rPr>
        <w:t xml:space="preserve"> Street, S.W., Washington, DC 20554.</w:t>
      </w:r>
    </w:p>
    <w:p w:rsidR="003F52B7" w:rsidRPr="003F52B7" w:rsidP="003F52B7">
      <w:pPr>
        <w:autoSpaceDE w:val="0"/>
        <w:autoSpaceDN w:val="0"/>
        <w:adjustRightInd w:val="0"/>
        <w:rPr>
          <w:color w:val="010101"/>
          <w:sz w:val="22"/>
          <w:szCs w:val="22"/>
        </w:rPr>
      </w:pPr>
    </w:p>
    <w:p w:rsidR="003F52B7" w:rsidRPr="003F52B7" w:rsidP="003F52B7">
      <w:pPr>
        <w:widowControl w:val="0"/>
        <w:numPr>
          <w:ilvl w:val="0"/>
          <w:numId w:val="8"/>
        </w:numPr>
        <w:autoSpaceDE w:val="0"/>
        <w:autoSpaceDN w:val="0"/>
        <w:adjustRightInd w:val="0"/>
        <w:ind w:left="0" w:firstLine="360"/>
        <w:rPr>
          <w:color w:val="010101"/>
          <w:sz w:val="22"/>
          <w:szCs w:val="22"/>
        </w:rPr>
      </w:pPr>
      <w:r w:rsidRPr="003F52B7">
        <w:rPr>
          <w:color w:val="010101"/>
          <w:sz w:val="22"/>
          <w:szCs w:val="22"/>
        </w:rPr>
        <w:t>All hand-delivered or messenger-delivered paper filings no larger than a copier paper box for the Commission’s Secretary must be delivered to the Mail and Distribution Window at FCC Headquarters at 445 12th Street, S.W., Washington, D.C. 20554.  All hand deliveries must be held together with rubber bands or fasteners.  Any envelopes must be disposed of before entering the building.</w:t>
      </w:r>
    </w:p>
    <w:p w:rsidR="003F52B7" w:rsidRPr="003F52B7" w:rsidP="003F52B7">
      <w:pPr>
        <w:autoSpaceDE w:val="0"/>
        <w:autoSpaceDN w:val="0"/>
        <w:adjustRightInd w:val="0"/>
        <w:rPr>
          <w:color w:val="010101"/>
          <w:sz w:val="22"/>
          <w:szCs w:val="22"/>
        </w:rPr>
      </w:pPr>
    </w:p>
    <w:p w:rsidR="003F52B7" w:rsidRPr="003F52B7" w:rsidP="003F52B7">
      <w:pPr>
        <w:numPr>
          <w:ilvl w:val="0"/>
          <w:numId w:val="8"/>
        </w:numPr>
        <w:autoSpaceDE w:val="0"/>
        <w:autoSpaceDN w:val="0"/>
        <w:adjustRightInd w:val="0"/>
        <w:rPr>
          <w:color w:val="010101"/>
          <w:sz w:val="22"/>
          <w:szCs w:val="22"/>
        </w:rPr>
      </w:pPr>
      <w:r w:rsidRPr="003F52B7">
        <w:rPr>
          <w:color w:val="010101"/>
          <w:sz w:val="22"/>
          <w:szCs w:val="22"/>
        </w:rPr>
        <w:t>Commercial overnight mail (other than U.S. Postal Service Express Mail and Priority</w:t>
      </w:r>
    </w:p>
    <w:p w:rsidR="003F52B7" w:rsidRPr="003F52B7" w:rsidP="003F52B7">
      <w:pPr>
        <w:autoSpaceDE w:val="0"/>
        <w:autoSpaceDN w:val="0"/>
        <w:adjustRightInd w:val="0"/>
        <w:jc w:val="both"/>
        <w:rPr>
          <w:color w:val="010101"/>
          <w:sz w:val="22"/>
          <w:szCs w:val="22"/>
        </w:rPr>
      </w:pPr>
      <w:r w:rsidRPr="003F52B7">
        <w:rPr>
          <w:color w:val="010101"/>
          <w:sz w:val="22"/>
          <w:szCs w:val="22"/>
        </w:rPr>
        <w:t>Mail) must be sent to 9300 East Hampton Drive, Capitol Heights, MD 20743.</w:t>
      </w:r>
    </w:p>
    <w:p w:rsidR="003F52B7" w:rsidRPr="003F52B7" w:rsidP="003F52B7">
      <w:pPr>
        <w:autoSpaceDE w:val="0"/>
        <w:autoSpaceDN w:val="0"/>
        <w:adjustRightInd w:val="0"/>
        <w:rPr>
          <w:color w:val="010101"/>
          <w:sz w:val="22"/>
          <w:szCs w:val="22"/>
        </w:rPr>
      </w:pPr>
    </w:p>
    <w:p w:rsidR="003F52B7" w:rsidRPr="003F52B7" w:rsidP="003F52B7">
      <w:pPr>
        <w:numPr>
          <w:ilvl w:val="0"/>
          <w:numId w:val="8"/>
        </w:numPr>
        <w:autoSpaceDE w:val="0"/>
        <w:autoSpaceDN w:val="0"/>
        <w:adjustRightInd w:val="0"/>
        <w:rPr>
          <w:color w:val="010101"/>
          <w:sz w:val="22"/>
          <w:szCs w:val="22"/>
        </w:rPr>
      </w:pPr>
      <w:r w:rsidRPr="003F52B7">
        <w:rPr>
          <w:color w:val="010101"/>
          <w:sz w:val="22"/>
          <w:szCs w:val="22"/>
        </w:rPr>
        <w:t>U.S. Postal Service first-class, Express, and Priority mail must be addressed to 445 12th</w:t>
      </w:r>
    </w:p>
    <w:p w:rsidR="003F52B7" w:rsidRPr="003F52B7" w:rsidP="003F52B7">
      <w:pPr>
        <w:autoSpaceDE w:val="0"/>
        <w:autoSpaceDN w:val="0"/>
        <w:adjustRightInd w:val="0"/>
        <w:rPr>
          <w:color w:val="010101"/>
          <w:sz w:val="22"/>
          <w:szCs w:val="22"/>
        </w:rPr>
      </w:pPr>
      <w:r w:rsidRPr="003F52B7">
        <w:rPr>
          <w:color w:val="010101"/>
          <w:sz w:val="22"/>
          <w:szCs w:val="22"/>
        </w:rPr>
        <w:t>Street, S.W., Washington, DC 20554.</w:t>
      </w:r>
    </w:p>
    <w:p w:rsidR="003F52B7" w:rsidRPr="003F52B7" w:rsidP="003F52B7">
      <w:pPr>
        <w:autoSpaceDE w:val="0"/>
        <w:autoSpaceDN w:val="0"/>
        <w:adjustRightInd w:val="0"/>
        <w:rPr>
          <w:color w:val="010101"/>
          <w:sz w:val="22"/>
          <w:szCs w:val="22"/>
        </w:rPr>
      </w:pPr>
    </w:p>
    <w:p w:rsidR="003F52B7" w:rsidRPr="003F52B7" w:rsidP="003F52B7">
      <w:pPr>
        <w:autoSpaceDE w:val="0"/>
        <w:autoSpaceDN w:val="0"/>
        <w:adjustRightInd w:val="0"/>
        <w:rPr>
          <w:b/>
          <w:bCs/>
          <w:color w:val="010101"/>
          <w:sz w:val="22"/>
          <w:szCs w:val="22"/>
        </w:rPr>
      </w:pPr>
      <w:r w:rsidRPr="003F52B7">
        <w:rPr>
          <w:b/>
          <w:bCs/>
          <w:color w:val="010101"/>
          <w:sz w:val="22"/>
          <w:szCs w:val="22"/>
        </w:rPr>
        <w:t>In addition, one copy of each submission must be sent to the following:</w:t>
      </w:r>
    </w:p>
    <w:p w:rsidR="003F52B7" w:rsidRPr="003F52B7" w:rsidP="003F52B7">
      <w:pPr>
        <w:autoSpaceDE w:val="0"/>
        <w:autoSpaceDN w:val="0"/>
        <w:adjustRightInd w:val="0"/>
        <w:rPr>
          <w:b/>
          <w:bCs/>
          <w:color w:val="010101"/>
          <w:sz w:val="22"/>
          <w:szCs w:val="22"/>
        </w:rPr>
      </w:pPr>
    </w:p>
    <w:p w:rsidR="003F52B7" w:rsidRPr="003F52B7" w:rsidP="003F52B7">
      <w:pPr>
        <w:numPr>
          <w:ilvl w:val="0"/>
          <w:numId w:val="8"/>
        </w:numPr>
        <w:autoSpaceDE w:val="0"/>
        <w:autoSpaceDN w:val="0"/>
        <w:adjustRightInd w:val="0"/>
        <w:rPr>
          <w:color w:val="010101"/>
          <w:sz w:val="22"/>
          <w:szCs w:val="22"/>
        </w:rPr>
      </w:pPr>
      <w:r w:rsidRPr="003F52B7">
        <w:rPr>
          <w:color w:val="010101"/>
          <w:sz w:val="22"/>
          <w:szCs w:val="22"/>
        </w:rPr>
        <w:t xml:space="preserve">David Brown, Video Division, Media Bureau, Room 2-A662, e-mail </w:t>
      </w:r>
      <w:r>
        <w:fldChar w:fldCharType="begin"/>
      </w:r>
      <w:r>
        <w:instrText xml:space="preserve"> HYPERLINK "mailto:David.Brown@fcc.gov" </w:instrText>
      </w:r>
      <w:r>
        <w:fldChar w:fldCharType="separate"/>
      </w:r>
      <w:r w:rsidRPr="003F52B7">
        <w:rPr>
          <w:rStyle w:val="Hyperlink"/>
          <w:sz w:val="22"/>
          <w:szCs w:val="22"/>
        </w:rPr>
        <w:t>David.Brown@fcc.gov</w:t>
      </w:r>
      <w:r>
        <w:fldChar w:fldCharType="end"/>
      </w:r>
    </w:p>
    <w:p w:rsidR="003F52B7" w:rsidRPr="003F52B7" w:rsidP="003F52B7">
      <w:pPr>
        <w:pStyle w:val="MediumGrid1Accent2"/>
        <w:rPr>
          <w:color w:val="010101"/>
          <w:sz w:val="22"/>
          <w:szCs w:val="22"/>
        </w:rPr>
      </w:pPr>
    </w:p>
    <w:p w:rsidR="003F52B7" w:rsidRPr="004371AA" w:rsidP="003F52B7">
      <w:pPr>
        <w:numPr>
          <w:ilvl w:val="0"/>
          <w:numId w:val="8"/>
        </w:numPr>
        <w:autoSpaceDE w:val="0"/>
        <w:autoSpaceDN w:val="0"/>
        <w:adjustRightInd w:val="0"/>
        <w:rPr>
          <w:rStyle w:val="Hyperlink"/>
          <w:color w:val="010101"/>
          <w:sz w:val="22"/>
          <w:szCs w:val="22"/>
          <w:u w:val="none"/>
        </w:rPr>
      </w:pPr>
      <w:r w:rsidRPr="003F52B7">
        <w:rPr>
          <w:color w:val="010101"/>
          <w:sz w:val="22"/>
          <w:szCs w:val="22"/>
        </w:rPr>
        <w:t xml:space="preserve">David Roberts, Video Division, Media Bureau, Room 2-A660, e-mail </w:t>
      </w:r>
      <w:r>
        <w:fldChar w:fldCharType="begin"/>
      </w:r>
      <w:r>
        <w:instrText xml:space="preserve"> HYPERLINK "mailto:David.Roberts@fcc.gov" </w:instrText>
      </w:r>
      <w:r>
        <w:fldChar w:fldCharType="separate"/>
      </w:r>
      <w:r w:rsidRPr="003F52B7">
        <w:rPr>
          <w:rStyle w:val="Hyperlink"/>
          <w:sz w:val="22"/>
          <w:szCs w:val="22"/>
        </w:rPr>
        <w:t>David.Roberts@fcc.gov</w:t>
      </w:r>
      <w:r>
        <w:fldChar w:fldCharType="end"/>
      </w:r>
    </w:p>
    <w:p w:rsidR="004371AA" w:rsidP="004371AA">
      <w:pPr>
        <w:pStyle w:val="MediumGrid1Accent2"/>
        <w:rPr>
          <w:rStyle w:val="Hyperlink"/>
          <w:color w:val="010101"/>
          <w:sz w:val="22"/>
          <w:szCs w:val="22"/>
          <w:u w:val="none"/>
        </w:rPr>
      </w:pPr>
    </w:p>
    <w:p w:rsidR="00BD2E17" w:rsidRPr="00BD2E17" w:rsidP="00BD2E17">
      <w:pPr>
        <w:numPr>
          <w:ilvl w:val="0"/>
          <w:numId w:val="8"/>
        </w:numPr>
        <w:autoSpaceDE w:val="0"/>
        <w:autoSpaceDN w:val="0"/>
        <w:adjustRightInd w:val="0"/>
        <w:rPr>
          <w:rStyle w:val="Hyperlink"/>
          <w:color w:val="010101"/>
          <w:sz w:val="22"/>
          <w:szCs w:val="22"/>
          <w:u w:val="none"/>
        </w:rPr>
      </w:pPr>
      <w:r>
        <w:rPr>
          <w:rStyle w:val="Hyperlink"/>
          <w:color w:val="010101"/>
          <w:sz w:val="22"/>
          <w:szCs w:val="22"/>
          <w:u w:val="none"/>
        </w:rPr>
        <w:t xml:space="preserve">Jeremy Miller, Video Division, Media Bureau, Room 2-A821, e-mail </w:t>
      </w:r>
      <w:r>
        <w:fldChar w:fldCharType="begin"/>
      </w:r>
      <w:r>
        <w:instrText xml:space="preserve"> HYPERLINK "mailto:Jeremy.Miller@fcc.gov" </w:instrText>
      </w:r>
      <w:r>
        <w:fldChar w:fldCharType="separate"/>
      </w:r>
      <w:r w:rsidRPr="00D77A8D">
        <w:rPr>
          <w:rStyle w:val="Hyperlink"/>
          <w:sz w:val="22"/>
          <w:szCs w:val="22"/>
        </w:rPr>
        <w:t>Jeremy.Miller@fcc.gov</w:t>
      </w:r>
      <w:r>
        <w:fldChar w:fldCharType="end"/>
      </w:r>
    </w:p>
    <w:p w:rsidR="003F52B7" w:rsidRPr="003F52B7" w:rsidP="003F52B7">
      <w:pPr>
        <w:autoSpaceDE w:val="0"/>
        <w:autoSpaceDN w:val="0"/>
        <w:adjustRightInd w:val="0"/>
        <w:rPr>
          <w:color w:val="010101"/>
          <w:sz w:val="22"/>
          <w:szCs w:val="22"/>
        </w:rPr>
      </w:pPr>
    </w:p>
    <w:p w:rsidR="003F52B7" w:rsidRPr="003F52B7" w:rsidP="003F52B7">
      <w:pPr>
        <w:autoSpaceDE w:val="0"/>
        <w:autoSpaceDN w:val="0"/>
        <w:adjustRightInd w:val="0"/>
        <w:ind w:firstLine="360"/>
        <w:rPr>
          <w:color w:val="010101"/>
          <w:sz w:val="22"/>
          <w:szCs w:val="22"/>
        </w:rPr>
      </w:pPr>
      <w:r w:rsidRPr="003F52B7">
        <w:rPr>
          <w:color w:val="010101"/>
          <w:sz w:val="22"/>
          <w:szCs w:val="22"/>
        </w:rPr>
        <w:t>Any submission that is e-mailed to David Brown, David Roberts</w:t>
      </w:r>
      <w:r w:rsidR="00BD2E17">
        <w:rPr>
          <w:color w:val="010101"/>
          <w:sz w:val="22"/>
          <w:szCs w:val="22"/>
        </w:rPr>
        <w:t>, or</w:t>
      </w:r>
      <w:r w:rsidRPr="003F52B7">
        <w:rPr>
          <w:color w:val="010101"/>
          <w:sz w:val="22"/>
          <w:szCs w:val="22"/>
        </w:rPr>
        <w:t xml:space="preserve"> </w:t>
      </w:r>
      <w:r w:rsidR="004371AA">
        <w:rPr>
          <w:color w:val="010101"/>
          <w:sz w:val="22"/>
          <w:szCs w:val="22"/>
        </w:rPr>
        <w:t>Jeremy Miller</w:t>
      </w:r>
      <w:r w:rsidRPr="003F52B7">
        <w:rPr>
          <w:color w:val="010101"/>
          <w:sz w:val="22"/>
          <w:szCs w:val="22"/>
        </w:rPr>
        <w:t xml:space="preserve"> should include in the subject line of the e-mail: (1) MB Docket No. 17-179; (2) the name of the submitting party; (3) a brief description or title identifying the type of document being submitted (</w:t>
      </w:r>
      <w:r w:rsidRPr="003F52B7">
        <w:rPr>
          <w:i/>
          <w:iCs/>
          <w:color w:val="010101"/>
          <w:sz w:val="22"/>
          <w:szCs w:val="22"/>
        </w:rPr>
        <w:t>e.g</w:t>
      </w:r>
      <w:r w:rsidRPr="003F52B7">
        <w:rPr>
          <w:color w:val="010101"/>
          <w:sz w:val="22"/>
          <w:szCs w:val="22"/>
        </w:rPr>
        <w:t xml:space="preserve">., MB Docket No. 17-179, Sinclair Tribune Merger, </w:t>
      </w:r>
      <w:r w:rsidRPr="003F52B7">
        <w:rPr>
          <w:i/>
          <w:color w:val="010101"/>
          <w:sz w:val="22"/>
          <w:szCs w:val="22"/>
        </w:rPr>
        <w:t>E</w:t>
      </w:r>
      <w:r w:rsidRPr="003F52B7">
        <w:rPr>
          <w:i/>
          <w:iCs/>
          <w:color w:val="010101"/>
          <w:sz w:val="22"/>
          <w:szCs w:val="22"/>
        </w:rPr>
        <w:t xml:space="preserve">x </w:t>
      </w:r>
      <w:r w:rsidRPr="003F52B7">
        <w:rPr>
          <w:i/>
          <w:iCs/>
          <w:color w:val="010101"/>
          <w:sz w:val="22"/>
          <w:szCs w:val="22"/>
        </w:rPr>
        <w:t>Parte</w:t>
      </w:r>
      <w:r w:rsidRPr="003F52B7">
        <w:rPr>
          <w:i/>
          <w:iCs/>
          <w:color w:val="010101"/>
          <w:sz w:val="22"/>
          <w:szCs w:val="22"/>
        </w:rPr>
        <w:t xml:space="preserve"> </w:t>
      </w:r>
      <w:r w:rsidRPr="003F52B7">
        <w:rPr>
          <w:color w:val="010101"/>
          <w:sz w:val="22"/>
          <w:szCs w:val="22"/>
        </w:rPr>
        <w:t>Notice).</w:t>
      </w:r>
    </w:p>
    <w:p w:rsidR="003F52B7" w:rsidP="003F52B7">
      <w:pPr>
        <w:autoSpaceDE w:val="0"/>
        <w:autoSpaceDN w:val="0"/>
        <w:adjustRightInd w:val="0"/>
        <w:rPr>
          <w:color w:val="010101"/>
          <w:szCs w:val="22"/>
        </w:rPr>
      </w:pPr>
    </w:p>
    <w:p w:rsidR="003F52B7" w:rsidRPr="003F52B7" w:rsidP="003F52B7">
      <w:pPr>
        <w:autoSpaceDE w:val="0"/>
        <w:autoSpaceDN w:val="0"/>
        <w:adjustRightInd w:val="0"/>
        <w:ind w:firstLine="360"/>
        <w:rPr>
          <w:color w:val="010101"/>
          <w:sz w:val="22"/>
          <w:szCs w:val="22"/>
        </w:rPr>
      </w:pPr>
      <w:r w:rsidRPr="003F52B7">
        <w:rPr>
          <w:i/>
          <w:iCs/>
          <w:color w:val="010101"/>
          <w:sz w:val="22"/>
          <w:szCs w:val="22"/>
        </w:rPr>
        <w:t>People with Disabilities</w:t>
      </w:r>
      <w:r w:rsidRPr="003F52B7">
        <w:rPr>
          <w:color w:val="010101"/>
          <w:sz w:val="22"/>
          <w:szCs w:val="22"/>
        </w:rPr>
        <w:t>.  To request materials in accessible formats for people with disabilities (braille, large print, electronic files, audio format), send an e-mail to fcc504@fcc.gov or call the Consumer &amp; Governmental Affairs Bureau at (202) 418-0530 (voice), (202) 418-0432 (TTY).</w:t>
      </w:r>
    </w:p>
    <w:p w:rsidR="003F52B7" w:rsidRPr="003F52B7" w:rsidP="003F52B7">
      <w:pPr>
        <w:autoSpaceDE w:val="0"/>
        <w:autoSpaceDN w:val="0"/>
        <w:adjustRightInd w:val="0"/>
        <w:rPr>
          <w:color w:val="010101"/>
          <w:sz w:val="22"/>
          <w:szCs w:val="22"/>
        </w:rPr>
      </w:pPr>
    </w:p>
    <w:p w:rsidR="003F52B7" w:rsidRPr="003F52B7" w:rsidP="003F52B7">
      <w:pPr>
        <w:autoSpaceDE w:val="0"/>
        <w:autoSpaceDN w:val="0"/>
        <w:adjustRightInd w:val="0"/>
        <w:ind w:firstLine="360"/>
        <w:rPr>
          <w:color w:val="010101"/>
          <w:sz w:val="22"/>
          <w:szCs w:val="22"/>
        </w:rPr>
      </w:pPr>
      <w:r w:rsidRPr="003F52B7">
        <w:rPr>
          <w:i/>
          <w:iCs/>
          <w:color w:val="010101"/>
          <w:sz w:val="22"/>
          <w:szCs w:val="22"/>
        </w:rPr>
        <w:t>Availability of Documents</w:t>
      </w:r>
      <w:r w:rsidRPr="003F52B7">
        <w:rPr>
          <w:color w:val="010101"/>
          <w:sz w:val="22"/>
          <w:szCs w:val="22"/>
        </w:rPr>
        <w:t xml:space="preserve">.  Documents in this proceeding will be available for public inspection and copying during business hours at the FCC Reference Information Center, Portals II, 445 12th Street, S.W., Room CY-A257, Washington, D.C. 20554.  </w:t>
      </w:r>
    </w:p>
    <w:p w:rsidR="003F52B7" w:rsidRPr="003F52B7" w:rsidP="003F52B7">
      <w:pPr>
        <w:autoSpaceDE w:val="0"/>
        <w:autoSpaceDN w:val="0"/>
        <w:adjustRightInd w:val="0"/>
        <w:ind w:firstLine="720"/>
        <w:rPr>
          <w:color w:val="010101"/>
          <w:sz w:val="22"/>
          <w:szCs w:val="22"/>
        </w:rPr>
      </w:pPr>
    </w:p>
    <w:p w:rsidR="003F52B7" w:rsidRPr="003F52B7" w:rsidP="003F52B7">
      <w:pPr>
        <w:autoSpaceDE w:val="0"/>
        <w:autoSpaceDN w:val="0"/>
        <w:adjustRightInd w:val="0"/>
        <w:ind w:firstLine="450"/>
        <w:rPr>
          <w:sz w:val="22"/>
          <w:szCs w:val="22"/>
        </w:rPr>
      </w:pPr>
      <w:r w:rsidRPr="003F52B7">
        <w:rPr>
          <w:color w:val="010101"/>
          <w:sz w:val="22"/>
          <w:szCs w:val="22"/>
        </w:rPr>
        <w:t xml:space="preserve">The applications are also available electronically through the Commission’s ECFS, which will provide hyperlinks to the applications in the Media Bureau’s Consolidated Database System (CDBS).  ECFS may be accessed on the Commission’s Internet website at </w:t>
      </w:r>
      <w:r>
        <w:fldChar w:fldCharType="begin"/>
      </w:r>
      <w:r>
        <w:instrText xml:space="preserve"> HYPERLINK "http://www.fcc.gov" </w:instrText>
      </w:r>
      <w:r>
        <w:fldChar w:fldCharType="separate"/>
      </w:r>
      <w:r w:rsidRPr="003F52B7">
        <w:rPr>
          <w:rStyle w:val="Hyperlink"/>
          <w:sz w:val="22"/>
          <w:szCs w:val="22"/>
        </w:rPr>
        <w:t>http://www.fcc.gov</w:t>
      </w:r>
      <w:r>
        <w:fldChar w:fldCharType="end"/>
      </w:r>
      <w:r w:rsidRPr="003F52B7">
        <w:rPr>
          <w:color w:val="010101"/>
          <w:sz w:val="22"/>
          <w:szCs w:val="22"/>
        </w:rPr>
        <w:t xml:space="preserve">. </w:t>
      </w:r>
    </w:p>
    <w:p w:rsidR="003F52B7" w:rsidRPr="003F52B7" w:rsidP="003F52B7">
      <w:pPr>
        <w:spacing w:before="120" w:after="240"/>
        <w:ind w:firstLine="360"/>
        <w:rPr>
          <w:sz w:val="22"/>
          <w:szCs w:val="22"/>
        </w:rPr>
      </w:pPr>
      <w:r w:rsidRPr="003F52B7">
        <w:rPr>
          <w:sz w:val="22"/>
          <w:szCs w:val="22"/>
        </w:rPr>
        <w:t>For further information, contact David Brown at (202) 418-1645, David Roberts at (202) 418-1618</w:t>
      </w:r>
      <w:r w:rsidR="00BD2E17">
        <w:rPr>
          <w:sz w:val="22"/>
          <w:szCs w:val="22"/>
        </w:rPr>
        <w:t>, or</w:t>
      </w:r>
      <w:r w:rsidRPr="003F52B7">
        <w:rPr>
          <w:sz w:val="22"/>
          <w:szCs w:val="22"/>
        </w:rPr>
        <w:t xml:space="preserve"> </w:t>
      </w:r>
      <w:r w:rsidR="006E787C">
        <w:rPr>
          <w:sz w:val="22"/>
          <w:szCs w:val="22"/>
        </w:rPr>
        <w:t>Jeremy Miller at (202) 418-1507</w:t>
      </w:r>
      <w:r w:rsidRPr="003F52B7">
        <w:rPr>
          <w:sz w:val="22"/>
          <w:szCs w:val="22"/>
        </w:rPr>
        <w:t xml:space="preserve">.  For press inquiries, contact Janice Wise at (202) 418-8165.  </w:t>
      </w:r>
    </w:p>
    <w:p w:rsidR="009F09EA" w:rsidP="003F52B7">
      <w:pPr>
        <w:spacing w:before="120" w:after="240"/>
        <w:rPr>
          <w:sz w:val="22"/>
          <w:szCs w:val="22"/>
        </w:rPr>
      </w:pPr>
      <w:r w:rsidRPr="003F52B7">
        <w:rPr>
          <w:sz w:val="22"/>
          <w:szCs w:val="22"/>
        </w:rPr>
        <w:t>By:  Chief, Media Bureau</w:t>
      </w:r>
    </w:p>
    <w:p w:rsidR="00860CA8" w:rsidP="00216E48">
      <w:pPr>
        <w:spacing w:before="120" w:after="240"/>
        <w:jc w:val="center"/>
        <w:rPr>
          <w:b/>
          <w:sz w:val="22"/>
          <w:szCs w:val="22"/>
          <w:lang w:val="es-ES"/>
        </w:rPr>
      </w:pPr>
      <w:r>
        <w:rPr>
          <w:sz w:val="22"/>
          <w:szCs w:val="22"/>
        </w:rPr>
        <w:br w:type="page"/>
      </w:r>
      <w:r w:rsidRPr="00860CA8" w:rsidR="0020736B">
        <w:rPr>
          <w:b/>
          <w:sz w:val="22"/>
          <w:szCs w:val="22"/>
        </w:rPr>
        <w:t xml:space="preserve"> </w:t>
      </w:r>
      <w:r w:rsidR="003A41C4">
        <w:rPr>
          <w:b/>
          <w:sz w:val="22"/>
          <w:szCs w:val="22"/>
          <w:lang w:val="es-ES"/>
        </w:rPr>
        <w:t>ATTACHMENT</w:t>
      </w:r>
    </w:p>
    <w:p w:rsidR="00FB1211" w:rsidP="003A41C4">
      <w:pPr>
        <w:spacing w:after="200" w:line="276" w:lineRule="auto"/>
        <w:jc w:val="center"/>
        <w:rPr>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343"/>
        <w:gridCol w:w="2532"/>
        <w:gridCol w:w="1044"/>
        <w:gridCol w:w="2059"/>
        <w:gridCol w:w="2612"/>
      </w:tblGrid>
      <w:tr w:rsidTr="0029384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c>
          <w:tcPr>
            <w:tcW w:w="1343" w:type="dxa"/>
            <w:shd w:val="clear" w:color="auto" w:fill="auto"/>
          </w:tcPr>
          <w:p w:rsidR="00FB1211" w:rsidRPr="0029384F" w:rsidP="0029384F">
            <w:pPr>
              <w:spacing w:after="200" w:line="276" w:lineRule="auto"/>
              <w:jc w:val="center"/>
              <w:rPr>
                <w:b/>
                <w:sz w:val="22"/>
                <w:szCs w:val="22"/>
                <w:lang w:val="es-ES"/>
              </w:rPr>
            </w:pPr>
            <w:r w:rsidRPr="0029384F">
              <w:rPr>
                <w:b/>
                <w:sz w:val="22"/>
                <w:szCs w:val="22"/>
                <w:lang w:val="es-ES"/>
              </w:rPr>
              <w:t>Call</w:t>
            </w:r>
            <w:r w:rsidRPr="0029384F">
              <w:rPr>
                <w:b/>
                <w:sz w:val="22"/>
                <w:szCs w:val="22"/>
                <w:lang w:val="es-ES"/>
              </w:rPr>
              <w:t xml:space="preserve"> </w:t>
            </w:r>
            <w:r w:rsidRPr="0029384F">
              <w:rPr>
                <w:b/>
                <w:sz w:val="22"/>
                <w:szCs w:val="22"/>
                <w:lang w:val="es-ES"/>
              </w:rPr>
              <w:t>Sign</w:t>
            </w:r>
          </w:p>
        </w:tc>
        <w:tc>
          <w:tcPr>
            <w:tcW w:w="2532" w:type="dxa"/>
            <w:shd w:val="clear" w:color="auto" w:fill="auto"/>
          </w:tcPr>
          <w:p w:rsidR="00FB1211" w:rsidRPr="0029384F" w:rsidP="0029384F">
            <w:pPr>
              <w:spacing w:after="200" w:line="276" w:lineRule="auto"/>
              <w:jc w:val="center"/>
              <w:rPr>
                <w:b/>
                <w:sz w:val="22"/>
                <w:szCs w:val="22"/>
                <w:lang w:val="es-ES"/>
              </w:rPr>
            </w:pPr>
            <w:r w:rsidRPr="0029384F">
              <w:rPr>
                <w:b/>
                <w:sz w:val="22"/>
                <w:szCs w:val="22"/>
                <w:lang w:val="es-ES"/>
              </w:rPr>
              <w:t>Community</w:t>
            </w:r>
            <w:r w:rsidRPr="0029384F">
              <w:rPr>
                <w:b/>
                <w:sz w:val="22"/>
                <w:szCs w:val="22"/>
                <w:lang w:val="es-ES"/>
              </w:rPr>
              <w:t xml:space="preserve"> of </w:t>
            </w:r>
            <w:r w:rsidRPr="0029384F">
              <w:rPr>
                <w:b/>
                <w:sz w:val="22"/>
                <w:szCs w:val="22"/>
                <w:lang w:val="es-ES"/>
              </w:rPr>
              <w:t>License</w:t>
            </w:r>
          </w:p>
        </w:tc>
        <w:tc>
          <w:tcPr>
            <w:tcW w:w="1044" w:type="dxa"/>
            <w:shd w:val="clear" w:color="auto" w:fill="auto"/>
          </w:tcPr>
          <w:p w:rsidR="00FB1211" w:rsidRPr="0029384F" w:rsidP="0029384F">
            <w:pPr>
              <w:spacing w:after="200" w:line="276" w:lineRule="auto"/>
              <w:jc w:val="center"/>
              <w:rPr>
                <w:b/>
                <w:sz w:val="22"/>
                <w:szCs w:val="22"/>
                <w:lang w:val="es-ES"/>
              </w:rPr>
            </w:pPr>
            <w:r w:rsidRPr="0029384F">
              <w:rPr>
                <w:b/>
                <w:sz w:val="22"/>
                <w:szCs w:val="22"/>
                <w:lang w:val="es-ES"/>
              </w:rPr>
              <w:t>FAC ID</w:t>
            </w:r>
          </w:p>
        </w:tc>
        <w:tc>
          <w:tcPr>
            <w:tcW w:w="2059" w:type="dxa"/>
            <w:shd w:val="clear" w:color="auto" w:fill="auto"/>
          </w:tcPr>
          <w:p w:rsidR="00FB1211" w:rsidRPr="0029384F" w:rsidP="0029384F">
            <w:pPr>
              <w:spacing w:after="200" w:line="276" w:lineRule="auto"/>
              <w:jc w:val="center"/>
              <w:rPr>
                <w:b/>
                <w:sz w:val="22"/>
                <w:szCs w:val="22"/>
                <w:lang w:val="es-ES"/>
              </w:rPr>
            </w:pPr>
            <w:r w:rsidRPr="0029384F">
              <w:rPr>
                <w:b/>
                <w:sz w:val="22"/>
                <w:szCs w:val="22"/>
                <w:lang w:val="es-ES"/>
              </w:rPr>
              <w:t>Licensee</w:t>
            </w:r>
          </w:p>
        </w:tc>
        <w:tc>
          <w:tcPr>
            <w:tcW w:w="2612" w:type="dxa"/>
            <w:shd w:val="clear" w:color="auto" w:fill="auto"/>
          </w:tcPr>
          <w:p w:rsidR="00FB1211" w:rsidRPr="0029384F" w:rsidP="0029384F">
            <w:pPr>
              <w:spacing w:after="200" w:line="276" w:lineRule="auto"/>
              <w:jc w:val="center"/>
              <w:rPr>
                <w:b/>
                <w:sz w:val="22"/>
                <w:szCs w:val="22"/>
                <w:lang w:val="es-ES"/>
              </w:rPr>
            </w:pPr>
            <w:r w:rsidRPr="0029384F">
              <w:rPr>
                <w:b/>
                <w:sz w:val="22"/>
                <w:szCs w:val="22"/>
                <w:lang w:val="es-ES"/>
              </w:rPr>
              <w:t xml:space="preserve">File </w:t>
            </w:r>
            <w:r w:rsidRPr="0029384F">
              <w:rPr>
                <w:b/>
                <w:sz w:val="22"/>
                <w:szCs w:val="22"/>
                <w:lang w:val="es-ES"/>
              </w:rPr>
              <w:t>Number</w:t>
            </w:r>
          </w:p>
        </w:tc>
      </w:tr>
      <w:tr w:rsidTr="0029384F">
        <w:tblPrEx>
          <w:tblW w:w="0" w:type="auto"/>
          <w:tblCellMar>
            <w:left w:w="115" w:type="dxa"/>
            <w:right w:w="115" w:type="dxa"/>
          </w:tblCellMar>
          <w:tblLook w:val="04A0"/>
        </w:tblPrEx>
        <w:tc>
          <w:tcPr>
            <w:tcW w:w="1343" w:type="dxa"/>
            <w:shd w:val="clear" w:color="auto" w:fill="auto"/>
          </w:tcPr>
          <w:p w:rsidR="00FB1211" w:rsidRPr="0020736B" w:rsidP="0029384F">
            <w:pPr>
              <w:spacing w:after="200" w:line="276" w:lineRule="auto"/>
              <w:rPr>
                <w:sz w:val="22"/>
                <w:szCs w:val="22"/>
                <w:lang w:val="es-ES"/>
              </w:rPr>
            </w:pPr>
            <w:r w:rsidRPr="0029384F">
              <w:rPr>
                <w:sz w:val="22"/>
                <w:szCs w:val="22"/>
                <w:lang w:val="es-ES"/>
              </w:rPr>
              <w:t>KOKH-TV</w:t>
            </w:r>
          </w:p>
        </w:tc>
        <w:tc>
          <w:tcPr>
            <w:tcW w:w="2532" w:type="dxa"/>
            <w:shd w:val="clear" w:color="auto" w:fill="auto"/>
          </w:tcPr>
          <w:p w:rsidR="00FB1211" w:rsidRPr="0020736B" w:rsidP="0029384F">
            <w:pPr>
              <w:spacing w:after="200" w:line="276" w:lineRule="auto"/>
              <w:rPr>
                <w:sz w:val="22"/>
                <w:szCs w:val="22"/>
                <w:lang w:val="es-ES"/>
              </w:rPr>
            </w:pPr>
            <w:r w:rsidRPr="0029384F">
              <w:rPr>
                <w:sz w:val="22"/>
                <w:szCs w:val="22"/>
                <w:lang w:val="es-ES"/>
              </w:rPr>
              <w:t>Oklahoma City, OK</w:t>
            </w:r>
          </w:p>
        </w:tc>
        <w:tc>
          <w:tcPr>
            <w:tcW w:w="1044" w:type="dxa"/>
            <w:shd w:val="clear" w:color="auto" w:fill="auto"/>
          </w:tcPr>
          <w:p w:rsidR="00FB1211" w:rsidRPr="0020736B" w:rsidP="0029384F">
            <w:pPr>
              <w:spacing w:after="200" w:line="276" w:lineRule="auto"/>
              <w:rPr>
                <w:sz w:val="22"/>
                <w:szCs w:val="22"/>
                <w:lang w:val="es-ES"/>
              </w:rPr>
            </w:pPr>
            <w:r w:rsidRPr="0029384F">
              <w:rPr>
                <w:sz w:val="22"/>
                <w:szCs w:val="22"/>
                <w:lang w:val="es-ES"/>
              </w:rPr>
              <w:t>35388</w:t>
            </w:r>
          </w:p>
        </w:tc>
        <w:tc>
          <w:tcPr>
            <w:tcW w:w="2059" w:type="dxa"/>
            <w:shd w:val="clear" w:color="auto" w:fill="auto"/>
          </w:tcPr>
          <w:p w:rsidR="00FB1211" w:rsidRPr="0020736B" w:rsidP="0029384F">
            <w:pPr>
              <w:spacing w:after="200" w:line="276" w:lineRule="auto"/>
              <w:rPr>
                <w:sz w:val="22"/>
                <w:szCs w:val="22"/>
                <w:lang w:val="es-ES"/>
              </w:rPr>
            </w:pPr>
            <w:r w:rsidRPr="0029384F">
              <w:rPr>
                <w:sz w:val="22"/>
                <w:szCs w:val="22"/>
                <w:lang w:val="es-ES"/>
              </w:rPr>
              <w:t xml:space="preserve">KOKH </w:t>
            </w:r>
            <w:r w:rsidRPr="0029384F">
              <w:rPr>
                <w:sz w:val="22"/>
                <w:szCs w:val="22"/>
                <w:lang w:val="es-ES"/>
              </w:rPr>
              <w:t>Licensee</w:t>
            </w:r>
            <w:r w:rsidRPr="0029384F">
              <w:rPr>
                <w:sz w:val="22"/>
                <w:szCs w:val="22"/>
                <w:lang w:val="es-ES"/>
              </w:rPr>
              <w:t>, LLC</w:t>
            </w:r>
          </w:p>
        </w:tc>
        <w:tc>
          <w:tcPr>
            <w:tcW w:w="2612" w:type="dxa"/>
            <w:shd w:val="clear" w:color="auto" w:fill="auto"/>
          </w:tcPr>
          <w:p w:rsidR="00FB1211" w:rsidRPr="0020736B" w:rsidP="0029384F">
            <w:pPr>
              <w:spacing w:after="200" w:line="276" w:lineRule="auto"/>
              <w:rPr>
                <w:sz w:val="22"/>
                <w:szCs w:val="22"/>
                <w:lang w:val="es-ES"/>
              </w:rPr>
            </w:pPr>
            <w:r w:rsidRPr="0029384F">
              <w:rPr>
                <w:sz w:val="22"/>
                <w:szCs w:val="22"/>
                <w:lang w:val="es-ES"/>
              </w:rPr>
              <w:t>BALCDT-20180430ACV</w:t>
            </w:r>
          </w:p>
        </w:tc>
      </w:tr>
      <w:tr w:rsidTr="0029384F">
        <w:tblPrEx>
          <w:tblW w:w="0" w:type="auto"/>
          <w:tblCellMar>
            <w:left w:w="115" w:type="dxa"/>
            <w:right w:w="115" w:type="dxa"/>
          </w:tblCellMar>
          <w:tblLook w:val="04A0"/>
        </w:tblPrEx>
        <w:tc>
          <w:tcPr>
            <w:tcW w:w="1343" w:type="dxa"/>
            <w:shd w:val="clear" w:color="auto" w:fill="auto"/>
          </w:tcPr>
          <w:p w:rsidR="00FB1211" w:rsidRPr="0020736B" w:rsidP="0029384F">
            <w:pPr>
              <w:spacing w:after="200" w:line="276" w:lineRule="auto"/>
              <w:rPr>
                <w:sz w:val="22"/>
                <w:szCs w:val="22"/>
                <w:lang w:val="es-ES"/>
              </w:rPr>
            </w:pPr>
            <w:r w:rsidRPr="0029384F">
              <w:rPr>
                <w:sz w:val="22"/>
                <w:szCs w:val="22"/>
                <w:lang w:val="es-ES"/>
              </w:rPr>
              <w:t>KUNS-TV</w:t>
            </w:r>
          </w:p>
        </w:tc>
        <w:tc>
          <w:tcPr>
            <w:tcW w:w="2532" w:type="dxa"/>
            <w:shd w:val="clear" w:color="auto" w:fill="auto"/>
          </w:tcPr>
          <w:p w:rsidR="00FB1211" w:rsidRPr="0020736B" w:rsidP="0029384F">
            <w:pPr>
              <w:spacing w:after="200" w:line="276" w:lineRule="auto"/>
              <w:rPr>
                <w:sz w:val="22"/>
                <w:szCs w:val="22"/>
                <w:lang w:val="es-ES"/>
              </w:rPr>
            </w:pPr>
            <w:r w:rsidRPr="0029384F">
              <w:rPr>
                <w:sz w:val="22"/>
                <w:szCs w:val="22"/>
                <w:lang w:val="es-ES"/>
              </w:rPr>
              <w:t>Bellevue, WA</w:t>
            </w:r>
          </w:p>
        </w:tc>
        <w:tc>
          <w:tcPr>
            <w:tcW w:w="1044" w:type="dxa"/>
            <w:shd w:val="clear" w:color="auto" w:fill="auto"/>
          </w:tcPr>
          <w:p w:rsidR="00FB1211" w:rsidRPr="0020736B" w:rsidP="0029384F">
            <w:pPr>
              <w:spacing w:after="200" w:line="276" w:lineRule="auto"/>
              <w:rPr>
                <w:sz w:val="22"/>
                <w:szCs w:val="22"/>
                <w:lang w:val="es-ES"/>
              </w:rPr>
            </w:pPr>
            <w:r w:rsidRPr="0029384F">
              <w:rPr>
                <w:sz w:val="22"/>
                <w:szCs w:val="22"/>
                <w:lang w:val="es-ES"/>
              </w:rPr>
              <w:t>4624</w:t>
            </w:r>
          </w:p>
        </w:tc>
        <w:tc>
          <w:tcPr>
            <w:tcW w:w="2059" w:type="dxa"/>
            <w:shd w:val="clear" w:color="auto" w:fill="auto"/>
          </w:tcPr>
          <w:p w:rsidR="00FB1211" w:rsidRPr="0020736B" w:rsidP="0029384F">
            <w:pPr>
              <w:spacing w:after="200" w:line="276" w:lineRule="auto"/>
              <w:rPr>
                <w:sz w:val="22"/>
                <w:szCs w:val="22"/>
                <w:lang w:val="es-ES"/>
              </w:rPr>
            </w:pPr>
            <w:r w:rsidRPr="0029384F">
              <w:rPr>
                <w:sz w:val="22"/>
                <w:szCs w:val="22"/>
                <w:lang w:val="es-ES"/>
              </w:rPr>
              <w:t xml:space="preserve">Sinclair Seattle </w:t>
            </w:r>
            <w:r w:rsidRPr="0029384F">
              <w:rPr>
                <w:sz w:val="22"/>
                <w:szCs w:val="22"/>
                <w:lang w:val="es-ES"/>
              </w:rPr>
              <w:t>Licensee</w:t>
            </w:r>
            <w:r w:rsidRPr="0029384F">
              <w:rPr>
                <w:sz w:val="22"/>
                <w:szCs w:val="22"/>
                <w:lang w:val="es-ES"/>
              </w:rPr>
              <w:t>, LLC</w:t>
            </w:r>
          </w:p>
        </w:tc>
        <w:tc>
          <w:tcPr>
            <w:tcW w:w="2612" w:type="dxa"/>
            <w:shd w:val="clear" w:color="auto" w:fill="auto"/>
          </w:tcPr>
          <w:p w:rsidR="00FB1211" w:rsidRPr="0020736B" w:rsidP="0029384F">
            <w:pPr>
              <w:spacing w:after="200" w:line="276" w:lineRule="auto"/>
              <w:rPr>
                <w:sz w:val="22"/>
                <w:szCs w:val="22"/>
                <w:lang w:val="es-ES"/>
              </w:rPr>
            </w:pPr>
            <w:r w:rsidRPr="0029384F">
              <w:rPr>
                <w:sz w:val="22"/>
                <w:szCs w:val="22"/>
                <w:lang w:val="es-ES"/>
              </w:rPr>
              <w:t>BALCDT-20180426ABR</w:t>
            </w:r>
          </w:p>
        </w:tc>
      </w:tr>
      <w:tr w:rsidTr="0029384F">
        <w:tblPrEx>
          <w:tblW w:w="0" w:type="auto"/>
          <w:tblCellMar>
            <w:left w:w="115" w:type="dxa"/>
            <w:right w:w="115" w:type="dxa"/>
          </w:tblCellMar>
          <w:tblLook w:val="04A0"/>
        </w:tblPrEx>
        <w:tc>
          <w:tcPr>
            <w:tcW w:w="1343" w:type="dxa"/>
            <w:shd w:val="clear" w:color="auto" w:fill="auto"/>
          </w:tcPr>
          <w:p w:rsidR="00FB1211" w:rsidRPr="0020736B" w:rsidP="0029384F">
            <w:pPr>
              <w:spacing w:after="200" w:line="276" w:lineRule="auto"/>
              <w:rPr>
                <w:sz w:val="22"/>
                <w:szCs w:val="22"/>
                <w:lang w:val="es-ES"/>
              </w:rPr>
            </w:pPr>
            <w:r w:rsidRPr="0029384F">
              <w:rPr>
                <w:sz w:val="22"/>
                <w:szCs w:val="22"/>
                <w:lang w:val="es-ES"/>
              </w:rPr>
              <w:t>KMYU(TV)</w:t>
            </w:r>
          </w:p>
        </w:tc>
        <w:tc>
          <w:tcPr>
            <w:tcW w:w="2532" w:type="dxa"/>
            <w:shd w:val="clear" w:color="auto" w:fill="auto"/>
          </w:tcPr>
          <w:p w:rsidR="00FB1211" w:rsidRPr="0020736B" w:rsidP="0029384F">
            <w:pPr>
              <w:spacing w:after="200" w:line="276" w:lineRule="auto"/>
              <w:rPr>
                <w:sz w:val="22"/>
                <w:szCs w:val="22"/>
                <w:lang w:val="es-ES"/>
              </w:rPr>
            </w:pPr>
            <w:r w:rsidRPr="0029384F">
              <w:rPr>
                <w:sz w:val="22"/>
                <w:szCs w:val="22"/>
                <w:lang w:val="es-ES"/>
              </w:rPr>
              <w:t>St. George, UT</w:t>
            </w:r>
          </w:p>
        </w:tc>
        <w:tc>
          <w:tcPr>
            <w:tcW w:w="1044" w:type="dxa"/>
            <w:shd w:val="clear" w:color="auto" w:fill="auto"/>
          </w:tcPr>
          <w:p w:rsidR="00FB1211" w:rsidRPr="0020736B" w:rsidP="0029384F">
            <w:pPr>
              <w:spacing w:after="200" w:line="276" w:lineRule="auto"/>
              <w:rPr>
                <w:sz w:val="22"/>
                <w:szCs w:val="22"/>
                <w:lang w:val="es-ES"/>
              </w:rPr>
            </w:pPr>
            <w:r w:rsidRPr="0029384F">
              <w:rPr>
                <w:sz w:val="22"/>
                <w:szCs w:val="22"/>
                <w:lang w:val="es-ES"/>
              </w:rPr>
              <w:t>35822</w:t>
            </w:r>
          </w:p>
        </w:tc>
        <w:tc>
          <w:tcPr>
            <w:tcW w:w="2059" w:type="dxa"/>
            <w:shd w:val="clear" w:color="auto" w:fill="auto"/>
          </w:tcPr>
          <w:p w:rsidR="00FB1211" w:rsidRPr="0020736B" w:rsidP="0029384F">
            <w:pPr>
              <w:spacing w:after="200" w:line="276" w:lineRule="auto"/>
              <w:rPr>
                <w:sz w:val="22"/>
                <w:szCs w:val="22"/>
                <w:lang w:val="es-ES"/>
              </w:rPr>
            </w:pPr>
            <w:r w:rsidRPr="0029384F">
              <w:rPr>
                <w:sz w:val="22"/>
                <w:szCs w:val="22"/>
                <w:lang w:val="es-ES"/>
              </w:rPr>
              <w:t xml:space="preserve">KUTV </w:t>
            </w:r>
            <w:r w:rsidRPr="0029384F">
              <w:rPr>
                <w:sz w:val="22"/>
                <w:szCs w:val="22"/>
                <w:lang w:val="es-ES"/>
              </w:rPr>
              <w:t>Licensee</w:t>
            </w:r>
            <w:r w:rsidRPr="0029384F">
              <w:rPr>
                <w:sz w:val="22"/>
                <w:szCs w:val="22"/>
                <w:lang w:val="es-ES"/>
              </w:rPr>
              <w:t>, LLC</w:t>
            </w:r>
          </w:p>
        </w:tc>
        <w:tc>
          <w:tcPr>
            <w:tcW w:w="2612" w:type="dxa"/>
            <w:shd w:val="clear" w:color="auto" w:fill="auto"/>
          </w:tcPr>
          <w:p w:rsidR="00FB1211" w:rsidRPr="0020736B" w:rsidP="0029384F">
            <w:pPr>
              <w:spacing w:after="200" w:line="276" w:lineRule="auto"/>
              <w:rPr>
                <w:sz w:val="22"/>
                <w:szCs w:val="22"/>
                <w:lang w:val="es-ES"/>
              </w:rPr>
            </w:pPr>
            <w:r w:rsidRPr="0029384F">
              <w:rPr>
                <w:sz w:val="22"/>
                <w:szCs w:val="22"/>
                <w:lang w:val="es-ES"/>
              </w:rPr>
              <w:t>BALCDT-20180426ABQ</w:t>
            </w:r>
          </w:p>
        </w:tc>
      </w:tr>
      <w:tr w:rsidTr="0029384F">
        <w:tblPrEx>
          <w:tblW w:w="0" w:type="auto"/>
          <w:tblCellMar>
            <w:left w:w="115" w:type="dxa"/>
            <w:right w:w="115" w:type="dxa"/>
          </w:tblCellMar>
          <w:tblLook w:val="04A0"/>
        </w:tblPrEx>
        <w:tc>
          <w:tcPr>
            <w:tcW w:w="1343" w:type="dxa"/>
            <w:shd w:val="clear" w:color="auto" w:fill="auto"/>
          </w:tcPr>
          <w:p w:rsidR="00FB1211" w:rsidRPr="0020736B" w:rsidP="0029384F">
            <w:pPr>
              <w:spacing w:after="200" w:line="276" w:lineRule="auto"/>
              <w:rPr>
                <w:sz w:val="22"/>
                <w:szCs w:val="22"/>
                <w:lang w:val="es-ES"/>
              </w:rPr>
            </w:pPr>
            <w:r w:rsidRPr="0029384F">
              <w:rPr>
                <w:sz w:val="22"/>
                <w:szCs w:val="22"/>
                <w:lang w:val="es-ES"/>
              </w:rPr>
              <w:t>WXLV-TV</w:t>
            </w:r>
          </w:p>
        </w:tc>
        <w:tc>
          <w:tcPr>
            <w:tcW w:w="2532" w:type="dxa"/>
            <w:shd w:val="clear" w:color="auto" w:fill="auto"/>
          </w:tcPr>
          <w:p w:rsidR="00FB1211" w:rsidRPr="0020736B" w:rsidP="0029384F">
            <w:pPr>
              <w:spacing w:after="200" w:line="276" w:lineRule="auto"/>
              <w:rPr>
                <w:sz w:val="22"/>
                <w:szCs w:val="22"/>
                <w:lang w:val="es-ES"/>
              </w:rPr>
            </w:pPr>
            <w:r w:rsidRPr="0029384F">
              <w:rPr>
                <w:sz w:val="22"/>
                <w:szCs w:val="22"/>
                <w:lang w:val="es-ES"/>
              </w:rPr>
              <w:t>Greensboro, NC</w:t>
            </w:r>
          </w:p>
        </w:tc>
        <w:tc>
          <w:tcPr>
            <w:tcW w:w="1044" w:type="dxa"/>
            <w:shd w:val="clear" w:color="auto" w:fill="auto"/>
          </w:tcPr>
          <w:p w:rsidR="00FB1211" w:rsidRPr="0020736B" w:rsidP="0029384F">
            <w:pPr>
              <w:spacing w:after="200" w:line="276" w:lineRule="auto"/>
              <w:rPr>
                <w:sz w:val="22"/>
                <w:szCs w:val="22"/>
                <w:lang w:val="es-ES"/>
              </w:rPr>
            </w:pPr>
            <w:r w:rsidRPr="0029384F">
              <w:rPr>
                <w:sz w:val="22"/>
                <w:szCs w:val="22"/>
                <w:lang w:val="es-ES"/>
              </w:rPr>
              <w:t>414</w:t>
            </w:r>
          </w:p>
        </w:tc>
        <w:tc>
          <w:tcPr>
            <w:tcW w:w="2059" w:type="dxa"/>
            <w:shd w:val="clear" w:color="auto" w:fill="auto"/>
          </w:tcPr>
          <w:p w:rsidR="00FB1211" w:rsidRPr="0020736B" w:rsidP="0029384F">
            <w:pPr>
              <w:spacing w:after="200" w:line="276" w:lineRule="auto"/>
              <w:rPr>
                <w:sz w:val="22"/>
                <w:szCs w:val="22"/>
                <w:lang w:val="es-ES"/>
              </w:rPr>
            </w:pPr>
            <w:r w:rsidRPr="0029384F">
              <w:rPr>
                <w:sz w:val="22"/>
                <w:szCs w:val="22"/>
                <w:lang w:val="es-ES"/>
              </w:rPr>
              <w:t xml:space="preserve">WXLV </w:t>
            </w:r>
            <w:r w:rsidRPr="0029384F">
              <w:rPr>
                <w:sz w:val="22"/>
                <w:szCs w:val="22"/>
                <w:lang w:val="es-ES"/>
              </w:rPr>
              <w:t>Licensee</w:t>
            </w:r>
            <w:r w:rsidRPr="0029384F">
              <w:rPr>
                <w:sz w:val="22"/>
                <w:szCs w:val="22"/>
                <w:lang w:val="es-ES"/>
              </w:rPr>
              <w:t>, LLC</w:t>
            </w:r>
          </w:p>
        </w:tc>
        <w:tc>
          <w:tcPr>
            <w:tcW w:w="2612" w:type="dxa"/>
            <w:shd w:val="clear" w:color="auto" w:fill="auto"/>
          </w:tcPr>
          <w:p w:rsidR="00FB1211" w:rsidRPr="0020736B" w:rsidP="0029384F">
            <w:pPr>
              <w:spacing w:after="200" w:line="276" w:lineRule="auto"/>
              <w:rPr>
                <w:sz w:val="22"/>
                <w:szCs w:val="22"/>
                <w:lang w:val="es-ES"/>
              </w:rPr>
            </w:pPr>
            <w:r w:rsidRPr="0029384F">
              <w:rPr>
                <w:sz w:val="22"/>
                <w:szCs w:val="22"/>
                <w:lang w:val="es-ES"/>
              </w:rPr>
              <w:t>BALCDT-20180430ADA</w:t>
            </w:r>
          </w:p>
        </w:tc>
      </w:tr>
      <w:tr w:rsidTr="0029384F">
        <w:tblPrEx>
          <w:tblW w:w="0" w:type="auto"/>
          <w:tblCellMar>
            <w:left w:w="115" w:type="dxa"/>
            <w:right w:w="115" w:type="dxa"/>
          </w:tblCellMar>
          <w:tblLook w:val="04A0"/>
        </w:tblPrEx>
        <w:tc>
          <w:tcPr>
            <w:tcW w:w="1343" w:type="dxa"/>
            <w:shd w:val="clear" w:color="auto" w:fill="auto"/>
          </w:tcPr>
          <w:p w:rsidR="00FB1211" w:rsidRPr="0020736B" w:rsidP="0029384F">
            <w:pPr>
              <w:spacing w:after="200" w:line="276" w:lineRule="auto"/>
              <w:rPr>
                <w:sz w:val="22"/>
                <w:szCs w:val="22"/>
                <w:lang w:val="es-ES"/>
              </w:rPr>
            </w:pPr>
            <w:r w:rsidRPr="0029384F">
              <w:rPr>
                <w:sz w:val="22"/>
                <w:szCs w:val="22"/>
                <w:lang w:val="es-ES"/>
              </w:rPr>
              <w:t>WRLH-TV</w:t>
            </w:r>
          </w:p>
        </w:tc>
        <w:tc>
          <w:tcPr>
            <w:tcW w:w="2532" w:type="dxa"/>
            <w:shd w:val="clear" w:color="auto" w:fill="auto"/>
          </w:tcPr>
          <w:p w:rsidR="00FB1211" w:rsidRPr="0020736B" w:rsidP="0029384F">
            <w:pPr>
              <w:spacing w:after="200" w:line="276" w:lineRule="auto"/>
              <w:rPr>
                <w:sz w:val="22"/>
                <w:szCs w:val="22"/>
                <w:lang w:val="es-ES"/>
              </w:rPr>
            </w:pPr>
            <w:r w:rsidRPr="0029384F">
              <w:rPr>
                <w:sz w:val="22"/>
                <w:szCs w:val="22"/>
                <w:lang w:val="es-ES"/>
              </w:rPr>
              <w:t>Richmond, VA</w:t>
            </w:r>
          </w:p>
        </w:tc>
        <w:tc>
          <w:tcPr>
            <w:tcW w:w="1044" w:type="dxa"/>
            <w:shd w:val="clear" w:color="auto" w:fill="auto"/>
          </w:tcPr>
          <w:p w:rsidR="00FB1211" w:rsidRPr="0020736B" w:rsidP="0029384F">
            <w:pPr>
              <w:spacing w:after="200" w:line="276" w:lineRule="auto"/>
              <w:rPr>
                <w:sz w:val="22"/>
                <w:szCs w:val="22"/>
                <w:lang w:val="es-ES"/>
              </w:rPr>
            </w:pPr>
            <w:r w:rsidRPr="0029384F">
              <w:rPr>
                <w:sz w:val="22"/>
                <w:szCs w:val="22"/>
                <w:lang w:val="es-ES"/>
              </w:rPr>
              <w:t>412</w:t>
            </w:r>
          </w:p>
        </w:tc>
        <w:tc>
          <w:tcPr>
            <w:tcW w:w="2059" w:type="dxa"/>
            <w:shd w:val="clear" w:color="auto" w:fill="auto"/>
          </w:tcPr>
          <w:p w:rsidR="00FB1211" w:rsidRPr="0020736B" w:rsidP="0029384F">
            <w:pPr>
              <w:spacing w:after="200" w:line="276" w:lineRule="auto"/>
              <w:rPr>
                <w:sz w:val="22"/>
                <w:szCs w:val="22"/>
                <w:lang w:val="es-ES"/>
              </w:rPr>
            </w:pPr>
            <w:r w:rsidRPr="0029384F">
              <w:rPr>
                <w:sz w:val="22"/>
                <w:szCs w:val="22"/>
                <w:lang w:val="es-ES"/>
              </w:rPr>
              <w:t xml:space="preserve">WRLH </w:t>
            </w:r>
            <w:r w:rsidRPr="0029384F">
              <w:rPr>
                <w:sz w:val="22"/>
                <w:szCs w:val="22"/>
                <w:lang w:val="es-ES"/>
              </w:rPr>
              <w:t>Licensee</w:t>
            </w:r>
            <w:r w:rsidRPr="0029384F">
              <w:rPr>
                <w:sz w:val="22"/>
                <w:szCs w:val="22"/>
                <w:lang w:val="es-ES"/>
              </w:rPr>
              <w:t>, LLC</w:t>
            </w:r>
          </w:p>
        </w:tc>
        <w:tc>
          <w:tcPr>
            <w:tcW w:w="2612" w:type="dxa"/>
            <w:shd w:val="clear" w:color="auto" w:fill="auto"/>
          </w:tcPr>
          <w:p w:rsidR="00FB1211" w:rsidRPr="0020736B" w:rsidP="0029384F">
            <w:pPr>
              <w:spacing w:after="200" w:line="276" w:lineRule="auto"/>
              <w:rPr>
                <w:sz w:val="22"/>
                <w:szCs w:val="22"/>
                <w:lang w:val="es-ES"/>
              </w:rPr>
            </w:pPr>
            <w:r w:rsidRPr="0029384F">
              <w:rPr>
                <w:sz w:val="22"/>
                <w:szCs w:val="22"/>
                <w:lang w:val="es-ES"/>
              </w:rPr>
              <w:t>BALCDT-20180430ACY</w:t>
            </w:r>
          </w:p>
        </w:tc>
      </w:tr>
      <w:tr w:rsidTr="0029384F">
        <w:tblPrEx>
          <w:tblW w:w="0" w:type="auto"/>
          <w:tblCellMar>
            <w:left w:w="115" w:type="dxa"/>
            <w:right w:w="115" w:type="dxa"/>
          </w:tblCellMar>
          <w:tblLook w:val="04A0"/>
        </w:tblPrEx>
        <w:tc>
          <w:tcPr>
            <w:tcW w:w="1343" w:type="dxa"/>
            <w:shd w:val="clear" w:color="auto" w:fill="auto"/>
          </w:tcPr>
          <w:p w:rsidR="00FB1211" w:rsidRPr="0020736B" w:rsidP="0029384F">
            <w:pPr>
              <w:spacing w:after="200" w:line="276" w:lineRule="auto"/>
              <w:rPr>
                <w:sz w:val="22"/>
                <w:szCs w:val="22"/>
                <w:lang w:val="es-ES"/>
              </w:rPr>
            </w:pPr>
            <w:r w:rsidRPr="0029384F">
              <w:rPr>
                <w:sz w:val="22"/>
                <w:szCs w:val="22"/>
                <w:lang w:val="es-ES"/>
              </w:rPr>
              <w:t>KDSM-TV</w:t>
            </w:r>
          </w:p>
        </w:tc>
        <w:tc>
          <w:tcPr>
            <w:tcW w:w="2532" w:type="dxa"/>
            <w:shd w:val="clear" w:color="auto" w:fill="auto"/>
          </w:tcPr>
          <w:p w:rsidR="00FB1211" w:rsidRPr="0020736B" w:rsidP="0029384F">
            <w:pPr>
              <w:spacing w:after="200" w:line="276" w:lineRule="auto"/>
              <w:rPr>
                <w:sz w:val="22"/>
                <w:szCs w:val="22"/>
                <w:lang w:val="es-ES"/>
              </w:rPr>
            </w:pPr>
            <w:r w:rsidRPr="0029384F">
              <w:rPr>
                <w:sz w:val="22"/>
                <w:szCs w:val="22"/>
                <w:lang w:val="es-ES"/>
              </w:rPr>
              <w:t>Des Moines, IA</w:t>
            </w:r>
          </w:p>
        </w:tc>
        <w:tc>
          <w:tcPr>
            <w:tcW w:w="1044" w:type="dxa"/>
            <w:shd w:val="clear" w:color="auto" w:fill="auto"/>
          </w:tcPr>
          <w:p w:rsidR="00FB1211" w:rsidRPr="0020736B" w:rsidP="0029384F">
            <w:pPr>
              <w:spacing w:after="200" w:line="276" w:lineRule="auto"/>
              <w:rPr>
                <w:sz w:val="22"/>
                <w:szCs w:val="22"/>
                <w:lang w:val="es-ES"/>
              </w:rPr>
            </w:pPr>
            <w:r w:rsidRPr="0029384F">
              <w:rPr>
                <w:sz w:val="22"/>
                <w:szCs w:val="22"/>
                <w:lang w:val="es-ES"/>
              </w:rPr>
              <w:t>56527</w:t>
            </w:r>
          </w:p>
        </w:tc>
        <w:tc>
          <w:tcPr>
            <w:tcW w:w="2059" w:type="dxa"/>
            <w:shd w:val="clear" w:color="auto" w:fill="auto"/>
          </w:tcPr>
          <w:p w:rsidR="00FB1211" w:rsidRPr="0020736B" w:rsidP="0029384F">
            <w:pPr>
              <w:spacing w:after="200" w:line="276" w:lineRule="auto"/>
              <w:rPr>
                <w:sz w:val="22"/>
                <w:szCs w:val="22"/>
                <w:lang w:val="es-ES"/>
              </w:rPr>
            </w:pPr>
            <w:r w:rsidRPr="0029384F">
              <w:rPr>
                <w:sz w:val="22"/>
                <w:szCs w:val="22"/>
                <w:lang w:val="es-ES"/>
              </w:rPr>
              <w:t xml:space="preserve">KDSM </w:t>
            </w:r>
            <w:r w:rsidRPr="0029384F">
              <w:rPr>
                <w:sz w:val="22"/>
                <w:szCs w:val="22"/>
                <w:lang w:val="es-ES"/>
              </w:rPr>
              <w:t>Licensee</w:t>
            </w:r>
            <w:r w:rsidRPr="0029384F">
              <w:rPr>
                <w:sz w:val="22"/>
                <w:szCs w:val="22"/>
                <w:lang w:val="es-ES"/>
              </w:rPr>
              <w:t>, LLC</w:t>
            </w:r>
          </w:p>
        </w:tc>
        <w:tc>
          <w:tcPr>
            <w:tcW w:w="2612" w:type="dxa"/>
            <w:shd w:val="clear" w:color="auto" w:fill="auto"/>
          </w:tcPr>
          <w:p w:rsidR="00FB1211" w:rsidRPr="0020736B" w:rsidP="0029384F">
            <w:pPr>
              <w:spacing w:after="200" w:line="276" w:lineRule="auto"/>
              <w:rPr>
                <w:sz w:val="22"/>
                <w:szCs w:val="22"/>
                <w:lang w:val="es-ES"/>
              </w:rPr>
            </w:pPr>
            <w:r w:rsidRPr="0029384F">
              <w:rPr>
                <w:sz w:val="22"/>
                <w:szCs w:val="22"/>
                <w:lang w:val="es-ES"/>
              </w:rPr>
              <w:t>BALCDT-20180430ACU</w:t>
            </w:r>
          </w:p>
        </w:tc>
      </w:tr>
      <w:tr w:rsidTr="0029384F">
        <w:tblPrEx>
          <w:tblW w:w="0" w:type="auto"/>
          <w:tblCellMar>
            <w:left w:w="115" w:type="dxa"/>
            <w:right w:w="115" w:type="dxa"/>
          </w:tblCellMar>
          <w:tblLook w:val="04A0"/>
        </w:tblPrEx>
        <w:tc>
          <w:tcPr>
            <w:tcW w:w="1343" w:type="dxa"/>
            <w:shd w:val="clear" w:color="auto" w:fill="auto"/>
          </w:tcPr>
          <w:p w:rsidR="00FB1211" w:rsidRPr="0020736B" w:rsidP="0029384F">
            <w:pPr>
              <w:spacing w:after="200" w:line="276" w:lineRule="auto"/>
              <w:rPr>
                <w:sz w:val="22"/>
                <w:szCs w:val="22"/>
                <w:lang w:val="es-ES"/>
              </w:rPr>
            </w:pPr>
            <w:r w:rsidRPr="0029384F">
              <w:rPr>
                <w:sz w:val="22"/>
                <w:szCs w:val="22"/>
                <w:lang w:val="es-ES"/>
              </w:rPr>
              <w:t>KDNL-TV</w:t>
            </w:r>
          </w:p>
        </w:tc>
        <w:tc>
          <w:tcPr>
            <w:tcW w:w="2532" w:type="dxa"/>
            <w:shd w:val="clear" w:color="auto" w:fill="auto"/>
          </w:tcPr>
          <w:p w:rsidR="00FB1211" w:rsidRPr="0020736B" w:rsidP="0029384F">
            <w:pPr>
              <w:spacing w:after="200" w:line="276" w:lineRule="auto"/>
              <w:rPr>
                <w:sz w:val="22"/>
                <w:szCs w:val="22"/>
                <w:lang w:val="es-ES"/>
              </w:rPr>
            </w:pPr>
            <w:r w:rsidRPr="0029384F">
              <w:rPr>
                <w:sz w:val="22"/>
                <w:szCs w:val="22"/>
                <w:lang w:val="es-ES"/>
              </w:rPr>
              <w:t>St. Louis, MO</w:t>
            </w:r>
          </w:p>
        </w:tc>
        <w:tc>
          <w:tcPr>
            <w:tcW w:w="1044" w:type="dxa"/>
            <w:shd w:val="clear" w:color="auto" w:fill="auto"/>
          </w:tcPr>
          <w:p w:rsidR="00FB1211" w:rsidRPr="0020736B" w:rsidP="0029384F">
            <w:pPr>
              <w:spacing w:after="200" w:line="276" w:lineRule="auto"/>
              <w:rPr>
                <w:sz w:val="22"/>
                <w:szCs w:val="22"/>
                <w:lang w:val="es-ES"/>
              </w:rPr>
            </w:pPr>
            <w:r w:rsidRPr="0029384F">
              <w:rPr>
                <w:sz w:val="22"/>
                <w:szCs w:val="22"/>
                <w:lang w:val="es-ES"/>
              </w:rPr>
              <w:t>56524</w:t>
            </w:r>
          </w:p>
        </w:tc>
        <w:tc>
          <w:tcPr>
            <w:tcW w:w="2059" w:type="dxa"/>
            <w:shd w:val="clear" w:color="auto" w:fill="auto"/>
          </w:tcPr>
          <w:p w:rsidR="00FB1211" w:rsidRPr="0020736B" w:rsidP="0029384F">
            <w:pPr>
              <w:spacing w:after="200" w:line="276" w:lineRule="auto"/>
              <w:rPr>
                <w:sz w:val="22"/>
                <w:szCs w:val="22"/>
                <w:lang w:val="es-ES"/>
              </w:rPr>
            </w:pPr>
            <w:r w:rsidRPr="0029384F">
              <w:rPr>
                <w:sz w:val="22"/>
                <w:szCs w:val="22"/>
                <w:lang w:val="es-ES"/>
              </w:rPr>
              <w:t xml:space="preserve">KDNL </w:t>
            </w:r>
            <w:r w:rsidRPr="0029384F">
              <w:rPr>
                <w:sz w:val="22"/>
                <w:szCs w:val="22"/>
                <w:lang w:val="es-ES"/>
              </w:rPr>
              <w:t>Licensee</w:t>
            </w:r>
            <w:r w:rsidRPr="0029384F">
              <w:rPr>
                <w:sz w:val="22"/>
                <w:szCs w:val="22"/>
                <w:lang w:val="es-ES"/>
              </w:rPr>
              <w:t>, LLC</w:t>
            </w:r>
          </w:p>
        </w:tc>
        <w:tc>
          <w:tcPr>
            <w:tcW w:w="2612" w:type="dxa"/>
            <w:shd w:val="clear" w:color="auto" w:fill="auto"/>
          </w:tcPr>
          <w:p w:rsidR="00FB1211" w:rsidRPr="0020736B" w:rsidP="0029384F">
            <w:pPr>
              <w:spacing w:after="200" w:line="276" w:lineRule="auto"/>
              <w:rPr>
                <w:sz w:val="22"/>
                <w:szCs w:val="22"/>
                <w:lang w:val="es-ES"/>
              </w:rPr>
            </w:pPr>
            <w:r w:rsidRPr="0029384F">
              <w:rPr>
                <w:sz w:val="22"/>
                <w:szCs w:val="22"/>
                <w:lang w:val="es-ES"/>
              </w:rPr>
              <w:t>BALCDT-20180514ABW</w:t>
            </w:r>
          </w:p>
        </w:tc>
      </w:tr>
      <w:tr w:rsidTr="0029384F">
        <w:tblPrEx>
          <w:tblW w:w="0" w:type="auto"/>
          <w:tblCellMar>
            <w:left w:w="115" w:type="dxa"/>
            <w:right w:w="115" w:type="dxa"/>
          </w:tblCellMar>
          <w:tblLook w:val="04A0"/>
        </w:tblPrEx>
        <w:tc>
          <w:tcPr>
            <w:tcW w:w="1343" w:type="dxa"/>
            <w:shd w:val="clear" w:color="auto" w:fill="auto"/>
          </w:tcPr>
          <w:p w:rsidR="00401CF4" w:rsidRPr="0029384F" w:rsidP="0029384F">
            <w:pPr>
              <w:spacing w:after="200" w:line="276" w:lineRule="auto"/>
              <w:rPr>
                <w:sz w:val="22"/>
                <w:szCs w:val="22"/>
                <w:lang w:val="es-ES"/>
              </w:rPr>
            </w:pPr>
            <w:r w:rsidRPr="0029384F">
              <w:rPr>
                <w:sz w:val="22"/>
                <w:szCs w:val="22"/>
                <w:lang w:val="es-ES"/>
              </w:rPr>
              <w:t>KSWB-TV</w:t>
            </w:r>
          </w:p>
        </w:tc>
        <w:tc>
          <w:tcPr>
            <w:tcW w:w="2532" w:type="dxa"/>
            <w:shd w:val="clear" w:color="auto" w:fill="auto"/>
          </w:tcPr>
          <w:p w:rsidR="00401CF4" w:rsidRPr="0029384F" w:rsidP="0029384F">
            <w:pPr>
              <w:spacing w:after="200" w:line="276" w:lineRule="auto"/>
              <w:rPr>
                <w:sz w:val="22"/>
                <w:szCs w:val="22"/>
                <w:lang w:val="es-ES"/>
              </w:rPr>
            </w:pPr>
            <w:r w:rsidRPr="0029384F">
              <w:rPr>
                <w:sz w:val="22"/>
                <w:szCs w:val="22"/>
                <w:lang w:val="es-ES"/>
              </w:rPr>
              <w:t>San Diego, CA</w:t>
            </w:r>
          </w:p>
        </w:tc>
        <w:tc>
          <w:tcPr>
            <w:tcW w:w="1044" w:type="dxa"/>
            <w:shd w:val="clear" w:color="auto" w:fill="auto"/>
          </w:tcPr>
          <w:p w:rsidR="00401CF4" w:rsidRPr="0029384F" w:rsidP="0029384F">
            <w:pPr>
              <w:spacing w:after="200" w:line="276" w:lineRule="auto"/>
              <w:rPr>
                <w:sz w:val="22"/>
                <w:szCs w:val="22"/>
                <w:lang w:val="es-ES"/>
              </w:rPr>
            </w:pPr>
            <w:r w:rsidRPr="0029384F">
              <w:rPr>
                <w:sz w:val="22"/>
                <w:szCs w:val="22"/>
                <w:lang w:val="es-ES"/>
              </w:rPr>
              <w:t>58827</w:t>
            </w:r>
          </w:p>
        </w:tc>
        <w:tc>
          <w:tcPr>
            <w:tcW w:w="2059" w:type="dxa"/>
            <w:shd w:val="clear" w:color="auto" w:fill="auto"/>
          </w:tcPr>
          <w:p w:rsidR="00401CF4" w:rsidRPr="0029384F" w:rsidP="0029384F">
            <w:pPr>
              <w:spacing w:after="200" w:line="276" w:lineRule="auto"/>
              <w:rPr>
                <w:sz w:val="22"/>
                <w:szCs w:val="22"/>
                <w:lang w:val="es-ES"/>
              </w:rPr>
            </w:pPr>
            <w:r w:rsidRPr="0029384F">
              <w:rPr>
                <w:sz w:val="22"/>
                <w:szCs w:val="22"/>
                <w:lang w:val="es-ES"/>
              </w:rPr>
              <w:t>KSWB, LLC</w:t>
            </w:r>
          </w:p>
        </w:tc>
        <w:tc>
          <w:tcPr>
            <w:tcW w:w="2612" w:type="dxa"/>
            <w:shd w:val="clear" w:color="auto" w:fill="auto"/>
          </w:tcPr>
          <w:p w:rsidR="00401CF4" w:rsidRPr="0029384F" w:rsidP="0029384F">
            <w:pPr>
              <w:spacing w:after="200" w:line="276" w:lineRule="auto"/>
              <w:rPr>
                <w:sz w:val="22"/>
                <w:szCs w:val="22"/>
                <w:lang w:val="es-ES"/>
              </w:rPr>
            </w:pPr>
            <w:r w:rsidRPr="0029384F">
              <w:rPr>
                <w:sz w:val="22"/>
                <w:szCs w:val="22"/>
                <w:lang w:val="es-ES"/>
              </w:rPr>
              <w:t>BALCDT-20180514ABC</w:t>
            </w:r>
          </w:p>
        </w:tc>
      </w:tr>
      <w:tr w:rsidTr="0029384F">
        <w:tblPrEx>
          <w:tblW w:w="0" w:type="auto"/>
          <w:tblCellMar>
            <w:left w:w="115" w:type="dxa"/>
            <w:right w:w="115" w:type="dxa"/>
          </w:tblCellMar>
          <w:tblLook w:val="04A0"/>
        </w:tblPrEx>
        <w:tc>
          <w:tcPr>
            <w:tcW w:w="1343" w:type="dxa"/>
            <w:shd w:val="clear" w:color="auto" w:fill="auto"/>
          </w:tcPr>
          <w:p w:rsidR="00401CF4" w:rsidRPr="0029384F" w:rsidP="0029384F">
            <w:pPr>
              <w:spacing w:after="200" w:line="276" w:lineRule="auto"/>
              <w:rPr>
                <w:sz w:val="22"/>
                <w:szCs w:val="22"/>
                <w:lang w:val="es-ES"/>
              </w:rPr>
            </w:pPr>
            <w:r w:rsidRPr="0029384F">
              <w:rPr>
                <w:sz w:val="22"/>
                <w:szCs w:val="22"/>
                <w:lang w:val="es-ES"/>
              </w:rPr>
              <w:t>KCPQ(TV)</w:t>
            </w:r>
          </w:p>
        </w:tc>
        <w:tc>
          <w:tcPr>
            <w:tcW w:w="2532" w:type="dxa"/>
            <w:shd w:val="clear" w:color="auto" w:fill="auto"/>
          </w:tcPr>
          <w:p w:rsidR="00401CF4" w:rsidRPr="0029384F" w:rsidP="0029384F">
            <w:pPr>
              <w:spacing w:after="200" w:line="276" w:lineRule="auto"/>
              <w:rPr>
                <w:sz w:val="22"/>
                <w:szCs w:val="22"/>
                <w:lang w:val="es-ES"/>
              </w:rPr>
            </w:pPr>
            <w:r w:rsidRPr="0029384F">
              <w:rPr>
                <w:sz w:val="22"/>
                <w:szCs w:val="22"/>
                <w:lang w:val="es-ES"/>
              </w:rPr>
              <w:t>Tacoma, WA</w:t>
            </w:r>
          </w:p>
        </w:tc>
        <w:tc>
          <w:tcPr>
            <w:tcW w:w="1044" w:type="dxa"/>
            <w:shd w:val="clear" w:color="auto" w:fill="auto"/>
          </w:tcPr>
          <w:p w:rsidR="00401CF4" w:rsidRPr="0029384F" w:rsidP="0029384F">
            <w:pPr>
              <w:spacing w:after="200" w:line="276" w:lineRule="auto"/>
              <w:rPr>
                <w:sz w:val="22"/>
                <w:szCs w:val="22"/>
                <w:lang w:val="es-ES"/>
              </w:rPr>
            </w:pPr>
            <w:r w:rsidRPr="0029384F">
              <w:rPr>
                <w:sz w:val="22"/>
                <w:szCs w:val="22"/>
                <w:lang w:val="es-ES"/>
              </w:rPr>
              <w:t>33894</w:t>
            </w:r>
          </w:p>
        </w:tc>
        <w:tc>
          <w:tcPr>
            <w:tcW w:w="2059" w:type="dxa"/>
            <w:shd w:val="clear" w:color="auto" w:fill="auto"/>
          </w:tcPr>
          <w:p w:rsidR="00401CF4" w:rsidRPr="0029384F" w:rsidP="0029384F">
            <w:pPr>
              <w:spacing w:after="200" w:line="276" w:lineRule="auto"/>
              <w:rPr>
                <w:sz w:val="22"/>
                <w:szCs w:val="22"/>
                <w:lang w:val="es-ES"/>
              </w:rPr>
            </w:pPr>
            <w:r w:rsidRPr="0029384F">
              <w:rPr>
                <w:sz w:val="22"/>
                <w:szCs w:val="22"/>
                <w:lang w:val="es-ES"/>
              </w:rPr>
              <w:t>Tribune</w:t>
            </w:r>
            <w:r w:rsidRPr="0029384F">
              <w:rPr>
                <w:sz w:val="22"/>
                <w:szCs w:val="22"/>
                <w:lang w:val="es-ES"/>
              </w:rPr>
              <w:t xml:space="preserve"> </w:t>
            </w:r>
            <w:r w:rsidRPr="0029384F">
              <w:rPr>
                <w:sz w:val="22"/>
                <w:szCs w:val="22"/>
                <w:lang w:val="es-ES"/>
              </w:rPr>
              <w:t>Broadcasting</w:t>
            </w:r>
            <w:r w:rsidRPr="0029384F">
              <w:rPr>
                <w:sz w:val="22"/>
                <w:szCs w:val="22"/>
                <w:lang w:val="es-ES"/>
              </w:rPr>
              <w:t xml:space="preserve"> Seattle, LLC</w:t>
            </w:r>
          </w:p>
        </w:tc>
        <w:tc>
          <w:tcPr>
            <w:tcW w:w="2612" w:type="dxa"/>
            <w:shd w:val="clear" w:color="auto" w:fill="auto"/>
          </w:tcPr>
          <w:p w:rsidR="00401CF4" w:rsidRPr="0029384F" w:rsidP="0029384F">
            <w:pPr>
              <w:spacing w:after="200" w:line="276" w:lineRule="auto"/>
              <w:rPr>
                <w:sz w:val="22"/>
                <w:szCs w:val="22"/>
                <w:lang w:val="es-ES"/>
              </w:rPr>
            </w:pPr>
            <w:r w:rsidRPr="0029384F">
              <w:rPr>
                <w:sz w:val="22"/>
                <w:szCs w:val="22"/>
                <w:lang w:val="es-ES"/>
              </w:rPr>
              <w:t>BALCDT-20180514AAU</w:t>
            </w:r>
          </w:p>
        </w:tc>
      </w:tr>
      <w:tr w:rsidTr="0029384F">
        <w:tblPrEx>
          <w:tblW w:w="0" w:type="auto"/>
          <w:tblCellMar>
            <w:left w:w="115" w:type="dxa"/>
            <w:right w:w="115" w:type="dxa"/>
          </w:tblCellMar>
          <w:tblLook w:val="04A0"/>
        </w:tblPrEx>
        <w:tc>
          <w:tcPr>
            <w:tcW w:w="1343" w:type="dxa"/>
            <w:shd w:val="clear" w:color="auto" w:fill="auto"/>
          </w:tcPr>
          <w:p w:rsidR="00401CF4" w:rsidRPr="0029384F" w:rsidP="0029384F">
            <w:pPr>
              <w:spacing w:after="200" w:line="276" w:lineRule="auto"/>
              <w:rPr>
                <w:sz w:val="22"/>
                <w:szCs w:val="22"/>
                <w:lang w:val="es-ES"/>
              </w:rPr>
            </w:pPr>
            <w:r w:rsidRPr="0029384F">
              <w:rPr>
                <w:sz w:val="22"/>
                <w:szCs w:val="22"/>
                <w:lang w:val="es-ES"/>
              </w:rPr>
              <w:t>WJW(TV)</w:t>
            </w:r>
          </w:p>
        </w:tc>
        <w:tc>
          <w:tcPr>
            <w:tcW w:w="2532" w:type="dxa"/>
            <w:shd w:val="clear" w:color="auto" w:fill="auto"/>
          </w:tcPr>
          <w:p w:rsidR="00401CF4" w:rsidRPr="0029384F" w:rsidP="0029384F">
            <w:pPr>
              <w:spacing w:after="200" w:line="276" w:lineRule="auto"/>
              <w:rPr>
                <w:sz w:val="22"/>
                <w:szCs w:val="22"/>
                <w:lang w:val="es-ES"/>
              </w:rPr>
            </w:pPr>
            <w:r w:rsidRPr="0029384F">
              <w:rPr>
                <w:sz w:val="22"/>
                <w:szCs w:val="22"/>
                <w:lang w:val="es-ES"/>
              </w:rPr>
              <w:t>Cleveland, OH</w:t>
            </w:r>
          </w:p>
        </w:tc>
        <w:tc>
          <w:tcPr>
            <w:tcW w:w="1044" w:type="dxa"/>
            <w:shd w:val="clear" w:color="auto" w:fill="auto"/>
          </w:tcPr>
          <w:p w:rsidR="00401CF4" w:rsidRPr="0029384F" w:rsidP="0029384F">
            <w:pPr>
              <w:spacing w:after="200" w:line="276" w:lineRule="auto"/>
              <w:rPr>
                <w:sz w:val="22"/>
                <w:szCs w:val="22"/>
                <w:lang w:val="es-ES"/>
              </w:rPr>
            </w:pPr>
            <w:r w:rsidRPr="0029384F">
              <w:rPr>
                <w:sz w:val="22"/>
                <w:szCs w:val="22"/>
                <w:lang w:val="es-ES"/>
              </w:rPr>
              <w:t>73150</w:t>
            </w:r>
          </w:p>
        </w:tc>
        <w:tc>
          <w:tcPr>
            <w:tcW w:w="2059" w:type="dxa"/>
            <w:shd w:val="clear" w:color="auto" w:fill="auto"/>
          </w:tcPr>
          <w:p w:rsidR="00401CF4" w:rsidRPr="0029384F" w:rsidP="0029384F">
            <w:pPr>
              <w:spacing w:after="200" w:line="276" w:lineRule="auto"/>
              <w:rPr>
                <w:sz w:val="22"/>
                <w:szCs w:val="22"/>
                <w:lang w:val="es-ES"/>
              </w:rPr>
            </w:pPr>
            <w:r w:rsidRPr="0029384F">
              <w:rPr>
                <w:sz w:val="22"/>
                <w:szCs w:val="22"/>
                <w:lang w:val="es-ES"/>
              </w:rPr>
              <w:t xml:space="preserve">WJW </w:t>
            </w:r>
            <w:r w:rsidRPr="0029384F">
              <w:rPr>
                <w:sz w:val="22"/>
                <w:szCs w:val="22"/>
                <w:lang w:val="es-ES"/>
              </w:rPr>
              <w:t>License</w:t>
            </w:r>
            <w:r w:rsidRPr="0029384F">
              <w:rPr>
                <w:sz w:val="22"/>
                <w:szCs w:val="22"/>
                <w:lang w:val="es-ES"/>
              </w:rPr>
              <w:t>, LLC</w:t>
            </w:r>
          </w:p>
        </w:tc>
        <w:tc>
          <w:tcPr>
            <w:tcW w:w="2612" w:type="dxa"/>
            <w:shd w:val="clear" w:color="auto" w:fill="auto"/>
          </w:tcPr>
          <w:p w:rsidR="00401CF4" w:rsidRPr="0029384F" w:rsidP="0029384F">
            <w:pPr>
              <w:spacing w:after="200" w:line="276" w:lineRule="auto"/>
              <w:rPr>
                <w:sz w:val="22"/>
                <w:szCs w:val="22"/>
                <w:lang w:val="es-ES"/>
              </w:rPr>
            </w:pPr>
            <w:r w:rsidRPr="0029384F">
              <w:rPr>
                <w:sz w:val="22"/>
                <w:szCs w:val="22"/>
                <w:lang w:val="es-ES"/>
              </w:rPr>
              <w:t>BALCDT-20180514ABB</w:t>
            </w:r>
          </w:p>
        </w:tc>
      </w:tr>
      <w:tr w:rsidTr="0029384F">
        <w:tblPrEx>
          <w:tblW w:w="0" w:type="auto"/>
          <w:tblCellMar>
            <w:left w:w="115" w:type="dxa"/>
            <w:right w:w="115" w:type="dxa"/>
          </w:tblCellMar>
          <w:tblLook w:val="04A0"/>
        </w:tblPrEx>
        <w:tc>
          <w:tcPr>
            <w:tcW w:w="1343" w:type="dxa"/>
            <w:shd w:val="clear" w:color="auto" w:fill="auto"/>
          </w:tcPr>
          <w:p w:rsidR="00401CF4" w:rsidRPr="0029384F" w:rsidP="0029384F">
            <w:pPr>
              <w:spacing w:after="200" w:line="276" w:lineRule="auto"/>
              <w:rPr>
                <w:sz w:val="22"/>
                <w:szCs w:val="22"/>
                <w:lang w:val="es-ES"/>
              </w:rPr>
            </w:pPr>
            <w:r w:rsidRPr="0029384F">
              <w:rPr>
                <w:sz w:val="22"/>
                <w:szCs w:val="22"/>
                <w:lang w:val="es-ES"/>
              </w:rPr>
              <w:t>KTXL(TV)</w:t>
            </w:r>
          </w:p>
        </w:tc>
        <w:tc>
          <w:tcPr>
            <w:tcW w:w="2532" w:type="dxa"/>
            <w:shd w:val="clear" w:color="auto" w:fill="auto"/>
          </w:tcPr>
          <w:p w:rsidR="00401CF4" w:rsidRPr="0029384F" w:rsidP="0029384F">
            <w:pPr>
              <w:spacing w:after="200" w:line="276" w:lineRule="auto"/>
              <w:rPr>
                <w:sz w:val="22"/>
                <w:szCs w:val="22"/>
                <w:lang w:val="es-ES"/>
              </w:rPr>
            </w:pPr>
            <w:r w:rsidRPr="0029384F">
              <w:rPr>
                <w:sz w:val="22"/>
                <w:szCs w:val="22"/>
                <w:lang w:val="es-ES"/>
              </w:rPr>
              <w:t>Sacramento, CA</w:t>
            </w:r>
          </w:p>
        </w:tc>
        <w:tc>
          <w:tcPr>
            <w:tcW w:w="1044" w:type="dxa"/>
            <w:shd w:val="clear" w:color="auto" w:fill="auto"/>
          </w:tcPr>
          <w:p w:rsidR="00401CF4" w:rsidRPr="0029384F" w:rsidP="0029384F">
            <w:pPr>
              <w:spacing w:after="200" w:line="276" w:lineRule="auto"/>
              <w:rPr>
                <w:sz w:val="22"/>
                <w:szCs w:val="22"/>
                <w:lang w:val="es-ES"/>
              </w:rPr>
            </w:pPr>
            <w:r w:rsidRPr="0029384F">
              <w:rPr>
                <w:sz w:val="22"/>
                <w:szCs w:val="22"/>
                <w:lang w:val="es-ES"/>
              </w:rPr>
              <w:t>10205</w:t>
            </w:r>
          </w:p>
        </w:tc>
        <w:tc>
          <w:tcPr>
            <w:tcW w:w="2059" w:type="dxa"/>
            <w:shd w:val="clear" w:color="auto" w:fill="auto"/>
          </w:tcPr>
          <w:p w:rsidR="00401CF4" w:rsidRPr="0029384F" w:rsidP="0029384F">
            <w:pPr>
              <w:spacing w:after="200" w:line="276" w:lineRule="auto"/>
              <w:rPr>
                <w:sz w:val="22"/>
                <w:szCs w:val="22"/>
                <w:lang w:val="es-ES"/>
              </w:rPr>
            </w:pPr>
            <w:r w:rsidRPr="0029384F">
              <w:rPr>
                <w:sz w:val="22"/>
                <w:szCs w:val="22"/>
                <w:lang w:val="es-ES"/>
              </w:rPr>
              <w:t>KTXL, LLC</w:t>
            </w:r>
          </w:p>
        </w:tc>
        <w:tc>
          <w:tcPr>
            <w:tcW w:w="2612" w:type="dxa"/>
            <w:shd w:val="clear" w:color="auto" w:fill="auto"/>
          </w:tcPr>
          <w:p w:rsidR="00401CF4" w:rsidRPr="0029384F" w:rsidP="0029384F">
            <w:pPr>
              <w:spacing w:after="200" w:line="276" w:lineRule="auto"/>
              <w:rPr>
                <w:sz w:val="22"/>
                <w:szCs w:val="22"/>
                <w:lang w:val="es-ES"/>
              </w:rPr>
            </w:pPr>
            <w:r w:rsidRPr="0029384F">
              <w:rPr>
                <w:sz w:val="22"/>
                <w:szCs w:val="22"/>
                <w:lang w:val="es-ES"/>
              </w:rPr>
              <w:t>BALCDT-20180514ABA</w:t>
            </w:r>
          </w:p>
        </w:tc>
      </w:tr>
      <w:tr w:rsidTr="0029384F">
        <w:tblPrEx>
          <w:tblW w:w="0" w:type="auto"/>
          <w:tblCellMar>
            <w:left w:w="115" w:type="dxa"/>
            <w:right w:w="115" w:type="dxa"/>
          </w:tblCellMar>
          <w:tblLook w:val="04A0"/>
        </w:tblPrEx>
        <w:tc>
          <w:tcPr>
            <w:tcW w:w="1343" w:type="dxa"/>
            <w:shd w:val="clear" w:color="auto" w:fill="auto"/>
          </w:tcPr>
          <w:p w:rsidR="00401CF4" w:rsidRPr="0029384F" w:rsidP="0029384F">
            <w:pPr>
              <w:spacing w:after="200" w:line="276" w:lineRule="auto"/>
              <w:rPr>
                <w:sz w:val="22"/>
                <w:szCs w:val="22"/>
                <w:lang w:val="es-ES"/>
              </w:rPr>
            </w:pPr>
            <w:r w:rsidRPr="0029384F">
              <w:rPr>
                <w:sz w:val="22"/>
                <w:szCs w:val="22"/>
                <w:lang w:val="es-ES"/>
              </w:rPr>
              <w:t>KSTU(TV)</w:t>
            </w:r>
          </w:p>
        </w:tc>
        <w:tc>
          <w:tcPr>
            <w:tcW w:w="2532" w:type="dxa"/>
            <w:shd w:val="clear" w:color="auto" w:fill="auto"/>
          </w:tcPr>
          <w:p w:rsidR="00401CF4" w:rsidRPr="0029384F" w:rsidP="0029384F">
            <w:pPr>
              <w:spacing w:after="200" w:line="276" w:lineRule="auto"/>
              <w:rPr>
                <w:sz w:val="22"/>
                <w:szCs w:val="22"/>
                <w:lang w:val="es-ES"/>
              </w:rPr>
            </w:pPr>
            <w:r w:rsidRPr="0029384F">
              <w:rPr>
                <w:sz w:val="22"/>
                <w:szCs w:val="22"/>
                <w:lang w:val="es-ES"/>
              </w:rPr>
              <w:t>Salt Lake City, UT</w:t>
            </w:r>
          </w:p>
        </w:tc>
        <w:tc>
          <w:tcPr>
            <w:tcW w:w="1044" w:type="dxa"/>
            <w:shd w:val="clear" w:color="auto" w:fill="auto"/>
          </w:tcPr>
          <w:p w:rsidR="00401CF4" w:rsidRPr="0029384F" w:rsidP="0029384F">
            <w:pPr>
              <w:spacing w:after="200" w:line="276" w:lineRule="auto"/>
              <w:rPr>
                <w:sz w:val="22"/>
                <w:szCs w:val="22"/>
                <w:lang w:val="es-ES"/>
              </w:rPr>
            </w:pPr>
            <w:r w:rsidRPr="0029384F">
              <w:rPr>
                <w:sz w:val="22"/>
                <w:szCs w:val="22"/>
                <w:lang w:val="es-ES"/>
              </w:rPr>
              <w:t>22215</w:t>
            </w:r>
          </w:p>
        </w:tc>
        <w:tc>
          <w:tcPr>
            <w:tcW w:w="2059" w:type="dxa"/>
            <w:shd w:val="clear" w:color="auto" w:fill="auto"/>
          </w:tcPr>
          <w:p w:rsidR="00401CF4" w:rsidRPr="0029384F" w:rsidP="0029384F">
            <w:pPr>
              <w:spacing w:after="200" w:line="276" w:lineRule="auto"/>
              <w:rPr>
                <w:sz w:val="22"/>
                <w:szCs w:val="22"/>
                <w:lang w:val="es-ES"/>
              </w:rPr>
            </w:pPr>
            <w:r w:rsidRPr="0029384F">
              <w:rPr>
                <w:sz w:val="22"/>
                <w:szCs w:val="22"/>
                <w:lang w:val="es-ES"/>
              </w:rPr>
              <w:t xml:space="preserve">KSTU </w:t>
            </w:r>
            <w:r w:rsidRPr="0029384F">
              <w:rPr>
                <w:sz w:val="22"/>
                <w:szCs w:val="22"/>
                <w:lang w:val="es-ES"/>
              </w:rPr>
              <w:t>License</w:t>
            </w:r>
            <w:r w:rsidRPr="0029384F">
              <w:rPr>
                <w:sz w:val="22"/>
                <w:szCs w:val="22"/>
                <w:lang w:val="es-ES"/>
              </w:rPr>
              <w:t>, LLC</w:t>
            </w:r>
          </w:p>
        </w:tc>
        <w:tc>
          <w:tcPr>
            <w:tcW w:w="2612" w:type="dxa"/>
            <w:shd w:val="clear" w:color="auto" w:fill="auto"/>
          </w:tcPr>
          <w:p w:rsidR="00401CF4" w:rsidRPr="0029384F" w:rsidP="0029384F">
            <w:pPr>
              <w:spacing w:after="200" w:line="276" w:lineRule="auto"/>
              <w:rPr>
                <w:sz w:val="22"/>
                <w:szCs w:val="22"/>
                <w:lang w:val="es-ES"/>
              </w:rPr>
            </w:pPr>
            <w:r w:rsidRPr="0029384F">
              <w:rPr>
                <w:sz w:val="22"/>
                <w:szCs w:val="22"/>
                <w:lang w:val="es-ES"/>
              </w:rPr>
              <w:t>BALCDT-20180514ABF</w:t>
            </w:r>
          </w:p>
        </w:tc>
      </w:tr>
      <w:tr w:rsidTr="0029384F">
        <w:tblPrEx>
          <w:tblW w:w="0" w:type="auto"/>
          <w:tblCellMar>
            <w:left w:w="115" w:type="dxa"/>
            <w:right w:w="115" w:type="dxa"/>
          </w:tblCellMar>
          <w:tblLook w:val="04A0"/>
        </w:tblPrEx>
        <w:tc>
          <w:tcPr>
            <w:tcW w:w="1343" w:type="dxa"/>
            <w:shd w:val="clear" w:color="auto" w:fill="auto"/>
          </w:tcPr>
          <w:p w:rsidR="00401CF4" w:rsidRPr="0029384F" w:rsidP="0029384F">
            <w:pPr>
              <w:spacing w:after="200" w:line="276" w:lineRule="auto"/>
              <w:rPr>
                <w:sz w:val="22"/>
                <w:szCs w:val="22"/>
                <w:lang w:val="es-ES"/>
              </w:rPr>
            </w:pPr>
            <w:r w:rsidRPr="0029384F">
              <w:rPr>
                <w:sz w:val="22"/>
                <w:szCs w:val="22"/>
                <w:lang w:val="es-ES"/>
              </w:rPr>
              <w:t>WSFL-TV</w:t>
            </w:r>
          </w:p>
        </w:tc>
        <w:tc>
          <w:tcPr>
            <w:tcW w:w="2532" w:type="dxa"/>
            <w:shd w:val="clear" w:color="auto" w:fill="auto"/>
          </w:tcPr>
          <w:p w:rsidR="00401CF4" w:rsidRPr="0029384F" w:rsidP="0029384F">
            <w:pPr>
              <w:spacing w:after="200" w:line="276" w:lineRule="auto"/>
              <w:rPr>
                <w:sz w:val="22"/>
                <w:szCs w:val="22"/>
                <w:lang w:val="es-ES"/>
              </w:rPr>
            </w:pPr>
            <w:r w:rsidRPr="0029384F">
              <w:rPr>
                <w:sz w:val="22"/>
                <w:szCs w:val="22"/>
                <w:lang w:val="es-ES"/>
              </w:rPr>
              <w:t>Miami, FL</w:t>
            </w:r>
          </w:p>
        </w:tc>
        <w:tc>
          <w:tcPr>
            <w:tcW w:w="1044" w:type="dxa"/>
            <w:shd w:val="clear" w:color="auto" w:fill="auto"/>
          </w:tcPr>
          <w:p w:rsidR="00401CF4" w:rsidRPr="0029384F" w:rsidP="0029384F">
            <w:pPr>
              <w:spacing w:after="200" w:line="276" w:lineRule="auto"/>
              <w:rPr>
                <w:sz w:val="22"/>
                <w:szCs w:val="22"/>
                <w:lang w:val="es-ES"/>
              </w:rPr>
            </w:pPr>
            <w:r w:rsidRPr="0029384F">
              <w:rPr>
                <w:sz w:val="22"/>
                <w:szCs w:val="22"/>
                <w:lang w:val="es-ES"/>
              </w:rPr>
              <w:t>10203</w:t>
            </w:r>
          </w:p>
        </w:tc>
        <w:tc>
          <w:tcPr>
            <w:tcW w:w="2059" w:type="dxa"/>
            <w:shd w:val="clear" w:color="auto" w:fill="auto"/>
          </w:tcPr>
          <w:p w:rsidR="00401CF4" w:rsidRPr="0029384F" w:rsidP="0029384F">
            <w:pPr>
              <w:spacing w:after="200" w:line="276" w:lineRule="auto"/>
              <w:rPr>
                <w:sz w:val="22"/>
                <w:szCs w:val="22"/>
                <w:lang w:val="es-ES"/>
              </w:rPr>
            </w:pPr>
            <w:r w:rsidRPr="0029384F">
              <w:rPr>
                <w:sz w:val="22"/>
                <w:szCs w:val="22"/>
                <w:lang w:val="es-ES"/>
              </w:rPr>
              <w:t>WSFL, LLC</w:t>
            </w:r>
          </w:p>
        </w:tc>
        <w:tc>
          <w:tcPr>
            <w:tcW w:w="2612" w:type="dxa"/>
            <w:shd w:val="clear" w:color="auto" w:fill="auto"/>
          </w:tcPr>
          <w:p w:rsidR="00401CF4" w:rsidRPr="0029384F" w:rsidP="0029384F">
            <w:pPr>
              <w:spacing w:after="200" w:line="276" w:lineRule="auto"/>
              <w:rPr>
                <w:sz w:val="22"/>
                <w:szCs w:val="22"/>
                <w:lang w:val="es-ES"/>
              </w:rPr>
            </w:pPr>
            <w:r w:rsidRPr="0029384F">
              <w:rPr>
                <w:sz w:val="22"/>
                <w:szCs w:val="22"/>
                <w:lang w:val="es-ES"/>
              </w:rPr>
              <w:t>BALCDT-20180514AAZ</w:t>
            </w:r>
          </w:p>
        </w:tc>
      </w:tr>
      <w:tr w:rsidTr="0029384F">
        <w:tblPrEx>
          <w:tblW w:w="0" w:type="auto"/>
          <w:tblCellMar>
            <w:left w:w="115" w:type="dxa"/>
            <w:right w:w="115" w:type="dxa"/>
          </w:tblCellMar>
          <w:tblLook w:val="04A0"/>
        </w:tblPrEx>
        <w:tc>
          <w:tcPr>
            <w:tcW w:w="1343" w:type="dxa"/>
            <w:shd w:val="clear" w:color="auto" w:fill="auto"/>
          </w:tcPr>
          <w:p w:rsidR="00401CF4" w:rsidRPr="0029384F" w:rsidP="0029384F">
            <w:pPr>
              <w:spacing w:after="200" w:line="276" w:lineRule="auto"/>
              <w:rPr>
                <w:sz w:val="22"/>
                <w:szCs w:val="22"/>
                <w:lang w:val="es-ES"/>
              </w:rPr>
            </w:pPr>
            <w:r w:rsidRPr="0029384F">
              <w:rPr>
                <w:sz w:val="22"/>
                <w:szCs w:val="22"/>
                <w:lang w:val="es-ES"/>
              </w:rPr>
              <w:t>KDVR(TV)</w:t>
            </w:r>
          </w:p>
        </w:tc>
        <w:tc>
          <w:tcPr>
            <w:tcW w:w="2532" w:type="dxa"/>
            <w:shd w:val="clear" w:color="auto" w:fill="auto"/>
          </w:tcPr>
          <w:p w:rsidR="00401CF4" w:rsidRPr="0029384F" w:rsidP="0029384F">
            <w:pPr>
              <w:spacing w:after="200" w:line="276" w:lineRule="auto"/>
              <w:rPr>
                <w:sz w:val="22"/>
                <w:szCs w:val="22"/>
                <w:lang w:val="es-ES"/>
              </w:rPr>
            </w:pPr>
            <w:r w:rsidRPr="0029384F">
              <w:rPr>
                <w:sz w:val="22"/>
                <w:szCs w:val="22"/>
                <w:lang w:val="es-ES"/>
              </w:rPr>
              <w:t>Denver, CO</w:t>
            </w:r>
          </w:p>
        </w:tc>
        <w:tc>
          <w:tcPr>
            <w:tcW w:w="1044" w:type="dxa"/>
            <w:shd w:val="clear" w:color="auto" w:fill="auto"/>
          </w:tcPr>
          <w:p w:rsidR="00401CF4" w:rsidRPr="0029384F" w:rsidP="0029384F">
            <w:pPr>
              <w:spacing w:after="200" w:line="276" w:lineRule="auto"/>
              <w:rPr>
                <w:sz w:val="22"/>
                <w:szCs w:val="22"/>
                <w:lang w:val="es-ES"/>
              </w:rPr>
            </w:pPr>
            <w:r w:rsidRPr="0029384F">
              <w:rPr>
                <w:sz w:val="22"/>
                <w:szCs w:val="22"/>
                <w:lang w:val="es-ES"/>
              </w:rPr>
              <w:t>126</w:t>
            </w:r>
          </w:p>
        </w:tc>
        <w:tc>
          <w:tcPr>
            <w:tcW w:w="2059" w:type="dxa"/>
            <w:shd w:val="clear" w:color="auto" w:fill="auto"/>
          </w:tcPr>
          <w:p w:rsidR="00401CF4" w:rsidRPr="0029384F" w:rsidP="0029384F">
            <w:pPr>
              <w:spacing w:after="200" w:line="276" w:lineRule="auto"/>
              <w:rPr>
                <w:sz w:val="22"/>
                <w:szCs w:val="22"/>
                <w:lang w:val="es-ES"/>
              </w:rPr>
            </w:pPr>
            <w:r w:rsidRPr="0029384F">
              <w:rPr>
                <w:sz w:val="22"/>
                <w:szCs w:val="22"/>
                <w:lang w:val="es-ES"/>
              </w:rPr>
              <w:t>Tribune</w:t>
            </w:r>
            <w:r w:rsidRPr="0029384F">
              <w:rPr>
                <w:sz w:val="22"/>
                <w:szCs w:val="22"/>
                <w:lang w:val="es-ES"/>
              </w:rPr>
              <w:t xml:space="preserve"> </w:t>
            </w:r>
            <w:r w:rsidRPr="0029384F">
              <w:rPr>
                <w:sz w:val="22"/>
                <w:szCs w:val="22"/>
                <w:lang w:val="es-ES"/>
              </w:rPr>
              <w:t>Broadcasting</w:t>
            </w:r>
            <w:r w:rsidRPr="0029384F">
              <w:rPr>
                <w:sz w:val="22"/>
                <w:szCs w:val="22"/>
                <w:lang w:val="es-ES"/>
              </w:rPr>
              <w:t xml:space="preserve"> Denver </w:t>
            </w:r>
            <w:r w:rsidRPr="0029384F">
              <w:rPr>
                <w:sz w:val="22"/>
                <w:szCs w:val="22"/>
                <w:lang w:val="es-ES"/>
              </w:rPr>
              <w:t>License</w:t>
            </w:r>
            <w:r w:rsidRPr="0029384F">
              <w:rPr>
                <w:sz w:val="22"/>
                <w:szCs w:val="22"/>
                <w:lang w:val="es-ES"/>
              </w:rPr>
              <w:t>, LLC</w:t>
            </w:r>
          </w:p>
        </w:tc>
        <w:tc>
          <w:tcPr>
            <w:tcW w:w="2612" w:type="dxa"/>
            <w:shd w:val="clear" w:color="auto" w:fill="auto"/>
          </w:tcPr>
          <w:p w:rsidR="00401CF4" w:rsidRPr="0029384F" w:rsidP="0029384F">
            <w:pPr>
              <w:spacing w:after="200" w:line="276" w:lineRule="auto"/>
              <w:rPr>
                <w:sz w:val="22"/>
                <w:szCs w:val="22"/>
                <w:lang w:val="es-ES"/>
              </w:rPr>
            </w:pPr>
            <w:r w:rsidRPr="0029384F">
              <w:rPr>
                <w:sz w:val="22"/>
                <w:szCs w:val="22"/>
                <w:lang w:val="es-ES"/>
              </w:rPr>
              <w:t>BALCDT-20180514ABD</w:t>
            </w:r>
          </w:p>
        </w:tc>
      </w:tr>
      <w:tr w:rsidTr="004C0406">
        <w:tblPrEx>
          <w:tblW w:w="0" w:type="auto"/>
          <w:tblCellMar>
            <w:left w:w="115" w:type="dxa"/>
            <w:right w:w="115" w:type="dxa"/>
          </w:tblCellMar>
          <w:tblLook w:val="04A0"/>
        </w:tblPrEx>
        <w:tc>
          <w:tcPr>
            <w:tcW w:w="1343" w:type="dxa"/>
            <w:shd w:val="clear" w:color="auto" w:fill="auto"/>
          </w:tcPr>
          <w:p w:rsidR="00CD4B98" w:rsidRPr="0020736B" w:rsidP="0029384F">
            <w:pPr>
              <w:spacing w:after="200" w:line="276" w:lineRule="auto"/>
              <w:rPr>
                <w:b/>
                <w:sz w:val="22"/>
                <w:szCs w:val="22"/>
                <w:lang w:val="es-ES"/>
              </w:rPr>
            </w:pPr>
            <w:r w:rsidRPr="0020736B">
              <w:rPr>
                <w:b/>
                <w:sz w:val="22"/>
                <w:szCs w:val="22"/>
              </w:rPr>
              <w:t>Call Sign</w:t>
            </w:r>
          </w:p>
        </w:tc>
        <w:tc>
          <w:tcPr>
            <w:tcW w:w="2532" w:type="dxa"/>
            <w:shd w:val="clear" w:color="auto" w:fill="auto"/>
          </w:tcPr>
          <w:p w:rsidR="00CD4B98" w:rsidRPr="009D6BD3" w:rsidP="0029384F">
            <w:pPr>
              <w:spacing w:after="200" w:line="276" w:lineRule="auto"/>
              <w:rPr>
                <w:b/>
                <w:sz w:val="22"/>
                <w:szCs w:val="22"/>
                <w:lang w:val="es-ES"/>
              </w:rPr>
            </w:pPr>
            <w:r w:rsidRPr="009D6BD3">
              <w:rPr>
                <w:b/>
                <w:sz w:val="22"/>
                <w:szCs w:val="22"/>
              </w:rPr>
              <w:t>Community of License</w:t>
            </w:r>
          </w:p>
        </w:tc>
        <w:tc>
          <w:tcPr>
            <w:tcW w:w="1044" w:type="dxa"/>
            <w:shd w:val="clear" w:color="auto" w:fill="auto"/>
          </w:tcPr>
          <w:p w:rsidR="00CD4B98" w:rsidRPr="00216E48" w:rsidP="0029384F">
            <w:pPr>
              <w:spacing w:after="200" w:line="276" w:lineRule="auto"/>
              <w:rPr>
                <w:b/>
                <w:sz w:val="22"/>
                <w:szCs w:val="22"/>
                <w:lang w:val="es-ES"/>
              </w:rPr>
            </w:pPr>
            <w:r w:rsidRPr="004137D1">
              <w:rPr>
                <w:b/>
                <w:sz w:val="22"/>
                <w:szCs w:val="22"/>
              </w:rPr>
              <w:t>FA</w:t>
            </w:r>
            <w:r w:rsidRPr="00216E48">
              <w:rPr>
                <w:b/>
                <w:sz w:val="22"/>
                <w:szCs w:val="22"/>
              </w:rPr>
              <w:t>C ID</w:t>
            </w:r>
          </w:p>
        </w:tc>
        <w:tc>
          <w:tcPr>
            <w:tcW w:w="2059" w:type="dxa"/>
            <w:shd w:val="clear" w:color="auto" w:fill="auto"/>
          </w:tcPr>
          <w:p w:rsidR="00CD4B98" w:rsidRPr="00216E48" w:rsidP="0029384F">
            <w:pPr>
              <w:spacing w:after="200" w:line="276" w:lineRule="auto"/>
              <w:rPr>
                <w:b/>
                <w:sz w:val="22"/>
                <w:szCs w:val="22"/>
                <w:lang w:val="es-ES"/>
              </w:rPr>
            </w:pPr>
            <w:r w:rsidRPr="00216E48">
              <w:rPr>
                <w:b/>
                <w:sz w:val="22"/>
                <w:szCs w:val="22"/>
              </w:rPr>
              <w:t>Licensee</w:t>
            </w:r>
          </w:p>
        </w:tc>
        <w:tc>
          <w:tcPr>
            <w:tcW w:w="2612" w:type="dxa"/>
            <w:shd w:val="clear" w:color="auto" w:fill="auto"/>
          </w:tcPr>
          <w:p w:rsidR="00CD4B98" w:rsidRPr="00216E48" w:rsidP="0029384F">
            <w:pPr>
              <w:spacing w:after="200" w:line="276" w:lineRule="auto"/>
              <w:rPr>
                <w:b/>
                <w:sz w:val="22"/>
                <w:szCs w:val="22"/>
                <w:lang w:val="es-ES"/>
              </w:rPr>
            </w:pPr>
            <w:r w:rsidRPr="00216E48">
              <w:rPr>
                <w:b/>
                <w:sz w:val="22"/>
                <w:szCs w:val="22"/>
              </w:rPr>
              <w:t>File Number</w:t>
            </w:r>
          </w:p>
        </w:tc>
      </w:tr>
      <w:tr w:rsidTr="0029384F">
        <w:tblPrEx>
          <w:tblW w:w="0" w:type="auto"/>
          <w:tblCellMar>
            <w:left w:w="115" w:type="dxa"/>
            <w:right w:w="115" w:type="dxa"/>
          </w:tblCellMar>
          <w:tblLook w:val="04A0"/>
        </w:tblPrEx>
        <w:tc>
          <w:tcPr>
            <w:tcW w:w="1343" w:type="dxa"/>
            <w:shd w:val="clear" w:color="auto" w:fill="auto"/>
          </w:tcPr>
          <w:p w:rsidR="00401CF4" w:rsidRPr="0029384F" w:rsidP="0029384F">
            <w:pPr>
              <w:spacing w:after="200" w:line="276" w:lineRule="auto"/>
              <w:rPr>
                <w:sz w:val="22"/>
                <w:szCs w:val="22"/>
                <w:lang w:val="es-ES"/>
              </w:rPr>
            </w:pPr>
            <w:r w:rsidRPr="0029384F">
              <w:rPr>
                <w:sz w:val="22"/>
                <w:szCs w:val="22"/>
                <w:lang w:val="es-ES"/>
              </w:rPr>
              <w:t>KFCT(TV)</w:t>
            </w:r>
          </w:p>
        </w:tc>
        <w:tc>
          <w:tcPr>
            <w:tcW w:w="2532" w:type="dxa"/>
            <w:shd w:val="clear" w:color="auto" w:fill="auto"/>
          </w:tcPr>
          <w:p w:rsidR="00401CF4" w:rsidRPr="0029384F" w:rsidP="0029384F">
            <w:pPr>
              <w:spacing w:after="200" w:line="276" w:lineRule="auto"/>
              <w:rPr>
                <w:sz w:val="22"/>
                <w:szCs w:val="22"/>
                <w:lang w:val="es-ES"/>
              </w:rPr>
            </w:pPr>
            <w:r w:rsidRPr="0029384F">
              <w:rPr>
                <w:sz w:val="22"/>
                <w:szCs w:val="22"/>
                <w:lang w:val="es-ES"/>
              </w:rPr>
              <w:t>Fort Collins, CO</w:t>
            </w:r>
          </w:p>
        </w:tc>
        <w:tc>
          <w:tcPr>
            <w:tcW w:w="1044" w:type="dxa"/>
            <w:shd w:val="clear" w:color="auto" w:fill="auto"/>
          </w:tcPr>
          <w:p w:rsidR="00401CF4" w:rsidRPr="0029384F" w:rsidP="0029384F">
            <w:pPr>
              <w:spacing w:after="200" w:line="276" w:lineRule="auto"/>
              <w:rPr>
                <w:sz w:val="22"/>
                <w:szCs w:val="22"/>
                <w:lang w:val="es-ES"/>
              </w:rPr>
            </w:pPr>
            <w:r w:rsidRPr="0029384F">
              <w:rPr>
                <w:sz w:val="22"/>
                <w:szCs w:val="22"/>
                <w:lang w:val="es-ES"/>
              </w:rPr>
              <w:t>125</w:t>
            </w:r>
          </w:p>
        </w:tc>
        <w:tc>
          <w:tcPr>
            <w:tcW w:w="2059" w:type="dxa"/>
            <w:shd w:val="clear" w:color="auto" w:fill="auto"/>
          </w:tcPr>
          <w:p w:rsidR="00401CF4" w:rsidRPr="0029384F" w:rsidP="0029384F">
            <w:pPr>
              <w:spacing w:after="200" w:line="276" w:lineRule="auto"/>
              <w:rPr>
                <w:sz w:val="22"/>
                <w:szCs w:val="22"/>
                <w:lang w:val="es-ES"/>
              </w:rPr>
            </w:pPr>
            <w:r w:rsidRPr="0029384F">
              <w:rPr>
                <w:sz w:val="22"/>
                <w:szCs w:val="22"/>
                <w:lang w:val="es-ES"/>
              </w:rPr>
              <w:t>Tribune</w:t>
            </w:r>
            <w:r w:rsidRPr="0029384F">
              <w:rPr>
                <w:sz w:val="22"/>
                <w:szCs w:val="22"/>
                <w:lang w:val="es-ES"/>
              </w:rPr>
              <w:t xml:space="preserve"> </w:t>
            </w:r>
            <w:r w:rsidRPr="0029384F">
              <w:rPr>
                <w:sz w:val="22"/>
                <w:szCs w:val="22"/>
                <w:lang w:val="es-ES"/>
              </w:rPr>
              <w:t>Broadcasting</w:t>
            </w:r>
            <w:r w:rsidRPr="0029384F">
              <w:rPr>
                <w:sz w:val="22"/>
                <w:szCs w:val="22"/>
                <w:lang w:val="es-ES"/>
              </w:rPr>
              <w:t xml:space="preserve"> Denver </w:t>
            </w:r>
            <w:r w:rsidRPr="0029384F">
              <w:rPr>
                <w:sz w:val="22"/>
                <w:szCs w:val="22"/>
                <w:lang w:val="es-ES"/>
              </w:rPr>
              <w:t>License</w:t>
            </w:r>
            <w:r w:rsidRPr="0029384F">
              <w:rPr>
                <w:sz w:val="22"/>
                <w:szCs w:val="22"/>
                <w:lang w:val="es-ES"/>
              </w:rPr>
              <w:t>, LLC</w:t>
            </w:r>
          </w:p>
        </w:tc>
        <w:tc>
          <w:tcPr>
            <w:tcW w:w="2612" w:type="dxa"/>
            <w:shd w:val="clear" w:color="auto" w:fill="auto"/>
          </w:tcPr>
          <w:p w:rsidR="00401CF4" w:rsidRPr="0029384F" w:rsidP="0029384F">
            <w:pPr>
              <w:spacing w:after="200" w:line="276" w:lineRule="auto"/>
              <w:rPr>
                <w:sz w:val="22"/>
                <w:szCs w:val="22"/>
                <w:lang w:val="es-ES"/>
              </w:rPr>
            </w:pPr>
            <w:r w:rsidRPr="0029384F">
              <w:rPr>
                <w:sz w:val="22"/>
                <w:szCs w:val="22"/>
                <w:lang w:val="es-ES"/>
              </w:rPr>
              <w:t>BALCDT-20180514ABE</w:t>
            </w:r>
          </w:p>
        </w:tc>
      </w:tr>
      <w:tr w:rsidTr="0029384F">
        <w:tblPrEx>
          <w:tblW w:w="0" w:type="auto"/>
          <w:tblCellMar>
            <w:left w:w="115" w:type="dxa"/>
            <w:right w:w="115" w:type="dxa"/>
          </w:tblCellMar>
          <w:tblLook w:val="04A0"/>
        </w:tblPrEx>
        <w:tc>
          <w:tcPr>
            <w:tcW w:w="1343" w:type="dxa"/>
            <w:shd w:val="clear" w:color="auto" w:fill="auto"/>
          </w:tcPr>
          <w:p w:rsidR="00401CF4" w:rsidRPr="0029384F" w:rsidP="0029384F">
            <w:pPr>
              <w:spacing w:after="200" w:line="276" w:lineRule="auto"/>
              <w:rPr>
                <w:sz w:val="22"/>
                <w:szCs w:val="22"/>
                <w:lang w:val="es-ES"/>
              </w:rPr>
            </w:pPr>
            <w:r w:rsidRPr="0029384F">
              <w:rPr>
                <w:sz w:val="22"/>
                <w:szCs w:val="22"/>
                <w:lang w:val="es-ES"/>
              </w:rPr>
              <w:t>KAUT-TV</w:t>
            </w:r>
          </w:p>
        </w:tc>
        <w:tc>
          <w:tcPr>
            <w:tcW w:w="2532" w:type="dxa"/>
            <w:shd w:val="clear" w:color="auto" w:fill="auto"/>
          </w:tcPr>
          <w:p w:rsidR="00401CF4" w:rsidRPr="0029384F" w:rsidP="0029384F">
            <w:pPr>
              <w:spacing w:after="200" w:line="276" w:lineRule="auto"/>
              <w:rPr>
                <w:sz w:val="22"/>
                <w:szCs w:val="22"/>
                <w:lang w:val="es-ES"/>
              </w:rPr>
            </w:pPr>
            <w:r w:rsidRPr="0029384F">
              <w:rPr>
                <w:sz w:val="22"/>
                <w:szCs w:val="22"/>
                <w:lang w:val="es-ES"/>
              </w:rPr>
              <w:t>Oklahoma City, OK</w:t>
            </w:r>
          </w:p>
        </w:tc>
        <w:tc>
          <w:tcPr>
            <w:tcW w:w="1044" w:type="dxa"/>
            <w:shd w:val="clear" w:color="auto" w:fill="auto"/>
          </w:tcPr>
          <w:p w:rsidR="00401CF4" w:rsidRPr="0029384F" w:rsidP="0029384F">
            <w:pPr>
              <w:spacing w:after="200" w:line="276" w:lineRule="auto"/>
              <w:rPr>
                <w:sz w:val="22"/>
                <w:szCs w:val="22"/>
                <w:lang w:val="es-ES"/>
              </w:rPr>
            </w:pPr>
            <w:r w:rsidRPr="0029384F">
              <w:rPr>
                <w:sz w:val="22"/>
                <w:szCs w:val="22"/>
                <w:lang w:val="es-ES"/>
              </w:rPr>
              <w:t>50182</w:t>
            </w:r>
          </w:p>
        </w:tc>
        <w:tc>
          <w:tcPr>
            <w:tcW w:w="2059" w:type="dxa"/>
            <w:shd w:val="clear" w:color="auto" w:fill="auto"/>
          </w:tcPr>
          <w:p w:rsidR="00401CF4" w:rsidRPr="0029384F" w:rsidP="0029384F">
            <w:pPr>
              <w:spacing w:after="200" w:line="276" w:lineRule="auto"/>
              <w:rPr>
                <w:sz w:val="22"/>
                <w:szCs w:val="22"/>
                <w:lang w:val="es-ES"/>
              </w:rPr>
            </w:pPr>
            <w:r w:rsidRPr="0029384F">
              <w:rPr>
                <w:sz w:val="22"/>
                <w:szCs w:val="22"/>
                <w:lang w:val="es-ES"/>
              </w:rPr>
              <w:t>Tribune</w:t>
            </w:r>
            <w:r w:rsidRPr="0029384F">
              <w:rPr>
                <w:sz w:val="22"/>
                <w:szCs w:val="22"/>
                <w:lang w:val="es-ES"/>
              </w:rPr>
              <w:t xml:space="preserve"> </w:t>
            </w:r>
            <w:r w:rsidRPr="0029384F">
              <w:rPr>
                <w:sz w:val="22"/>
                <w:szCs w:val="22"/>
                <w:lang w:val="es-ES"/>
              </w:rPr>
              <w:t>Broadcasting</w:t>
            </w:r>
            <w:r w:rsidRPr="0029384F">
              <w:rPr>
                <w:sz w:val="22"/>
                <w:szCs w:val="22"/>
                <w:lang w:val="es-ES"/>
              </w:rPr>
              <w:t xml:space="preserve"> Oklahoma City </w:t>
            </w:r>
            <w:r w:rsidRPr="0029384F">
              <w:rPr>
                <w:sz w:val="22"/>
                <w:szCs w:val="22"/>
                <w:lang w:val="es-ES"/>
              </w:rPr>
              <w:t>License</w:t>
            </w:r>
            <w:r w:rsidRPr="0029384F">
              <w:rPr>
                <w:sz w:val="22"/>
                <w:szCs w:val="22"/>
                <w:lang w:val="es-ES"/>
              </w:rPr>
              <w:t>, LLC</w:t>
            </w:r>
          </w:p>
        </w:tc>
        <w:tc>
          <w:tcPr>
            <w:tcW w:w="2612" w:type="dxa"/>
            <w:shd w:val="clear" w:color="auto" w:fill="auto"/>
          </w:tcPr>
          <w:p w:rsidR="00401CF4" w:rsidRPr="0029384F" w:rsidP="0029384F">
            <w:pPr>
              <w:spacing w:after="200" w:line="276" w:lineRule="auto"/>
              <w:rPr>
                <w:sz w:val="22"/>
                <w:szCs w:val="22"/>
                <w:lang w:val="es-ES"/>
              </w:rPr>
            </w:pPr>
            <w:r w:rsidRPr="0029384F">
              <w:rPr>
                <w:sz w:val="22"/>
                <w:szCs w:val="22"/>
                <w:lang w:val="es-ES"/>
              </w:rPr>
              <w:t>BALCDT-20180426ABP</w:t>
            </w:r>
          </w:p>
        </w:tc>
      </w:tr>
      <w:tr w:rsidTr="0029384F">
        <w:tblPrEx>
          <w:tblW w:w="0" w:type="auto"/>
          <w:tblCellMar>
            <w:left w:w="115" w:type="dxa"/>
            <w:right w:w="115" w:type="dxa"/>
          </w:tblCellMar>
          <w:tblLook w:val="04A0"/>
        </w:tblPrEx>
        <w:tc>
          <w:tcPr>
            <w:tcW w:w="1343" w:type="dxa"/>
            <w:shd w:val="clear" w:color="auto" w:fill="auto"/>
          </w:tcPr>
          <w:p w:rsidR="00F63FFE" w:rsidRPr="0029384F" w:rsidP="0029384F">
            <w:pPr>
              <w:spacing w:after="200" w:line="276" w:lineRule="auto"/>
              <w:rPr>
                <w:sz w:val="22"/>
                <w:szCs w:val="22"/>
                <w:lang w:val="es-ES"/>
              </w:rPr>
            </w:pPr>
            <w:r w:rsidRPr="0029384F">
              <w:rPr>
                <w:sz w:val="22"/>
                <w:szCs w:val="22"/>
                <w:lang w:val="es-ES"/>
              </w:rPr>
              <w:t>KDAF(TV)</w:t>
            </w:r>
          </w:p>
        </w:tc>
        <w:tc>
          <w:tcPr>
            <w:tcW w:w="2532" w:type="dxa"/>
            <w:shd w:val="clear" w:color="auto" w:fill="auto"/>
          </w:tcPr>
          <w:p w:rsidR="00F63FFE" w:rsidRPr="0029384F" w:rsidP="0029384F">
            <w:pPr>
              <w:spacing w:after="200" w:line="276" w:lineRule="auto"/>
              <w:rPr>
                <w:sz w:val="22"/>
                <w:szCs w:val="22"/>
                <w:lang w:val="es-ES"/>
              </w:rPr>
            </w:pPr>
            <w:r w:rsidRPr="0029384F">
              <w:rPr>
                <w:sz w:val="22"/>
                <w:szCs w:val="22"/>
                <w:lang w:val="es-ES"/>
              </w:rPr>
              <w:t>Dallas, TX</w:t>
            </w:r>
          </w:p>
        </w:tc>
        <w:tc>
          <w:tcPr>
            <w:tcW w:w="1044" w:type="dxa"/>
            <w:shd w:val="clear" w:color="auto" w:fill="auto"/>
          </w:tcPr>
          <w:p w:rsidR="00F63FFE" w:rsidRPr="0029384F" w:rsidP="0029384F">
            <w:pPr>
              <w:spacing w:after="200" w:line="276" w:lineRule="auto"/>
              <w:rPr>
                <w:sz w:val="22"/>
                <w:szCs w:val="22"/>
                <w:lang w:val="es-ES"/>
              </w:rPr>
            </w:pPr>
            <w:r w:rsidRPr="0029384F">
              <w:rPr>
                <w:sz w:val="22"/>
                <w:szCs w:val="22"/>
                <w:lang w:val="es-ES"/>
              </w:rPr>
              <w:t>22201</w:t>
            </w:r>
          </w:p>
        </w:tc>
        <w:tc>
          <w:tcPr>
            <w:tcW w:w="2059" w:type="dxa"/>
            <w:shd w:val="clear" w:color="auto" w:fill="auto"/>
          </w:tcPr>
          <w:p w:rsidR="00F63FFE" w:rsidRPr="0029384F" w:rsidP="0029384F">
            <w:pPr>
              <w:spacing w:after="200" w:line="276" w:lineRule="auto"/>
              <w:rPr>
                <w:sz w:val="22"/>
                <w:szCs w:val="22"/>
                <w:lang w:val="es-ES"/>
              </w:rPr>
            </w:pPr>
            <w:r w:rsidRPr="0029384F">
              <w:rPr>
                <w:sz w:val="22"/>
                <w:szCs w:val="22"/>
                <w:lang w:val="es-ES"/>
              </w:rPr>
              <w:t>KDAF, LLC</w:t>
            </w:r>
          </w:p>
        </w:tc>
        <w:tc>
          <w:tcPr>
            <w:tcW w:w="2612" w:type="dxa"/>
            <w:shd w:val="clear" w:color="auto" w:fill="auto"/>
          </w:tcPr>
          <w:p w:rsidR="00F63FFE" w:rsidRPr="0029384F" w:rsidP="0029384F">
            <w:pPr>
              <w:spacing w:after="200" w:line="276" w:lineRule="auto"/>
              <w:rPr>
                <w:sz w:val="22"/>
                <w:szCs w:val="22"/>
                <w:lang w:val="es-ES"/>
              </w:rPr>
            </w:pPr>
            <w:r w:rsidRPr="0029384F">
              <w:rPr>
                <w:sz w:val="22"/>
                <w:szCs w:val="22"/>
                <w:lang w:val="es-ES"/>
              </w:rPr>
              <w:t>BALCDT-20180427ABL</w:t>
            </w:r>
          </w:p>
        </w:tc>
      </w:tr>
      <w:tr w:rsidTr="0029384F">
        <w:tblPrEx>
          <w:tblW w:w="0" w:type="auto"/>
          <w:tblCellMar>
            <w:left w:w="115" w:type="dxa"/>
            <w:right w:w="115" w:type="dxa"/>
          </w:tblCellMar>
          <w:tblLook w:val="04A0"/>
        </w:tblPrEx>
        <w:tc>
          <w:tcPr>
            <w:tcW w:w="1343" w:type="dxa"/>
            <w:shd w:val="clear" w:color="auto" w:fill="auto"/>
          </w:tcPr>
          <w:p w:rsidR="00F63FFE" w:rsidRPr="0029384F" w:rsidP="0029384F">
            <w:pPr>
              <w:spacing w:after="200" w:line="276" w:lineRule="auto"/>
              <w:rPr>
                <w:sz w:val="22"/>
                <w:szCs w:val="22"/>
                <w:lang w:val="es-ES"/>
              </w:rPr>
            </w:pPr>
            <w:r w:rsidRPr="0029384F">
              <w:rPr>
                <w:sz w:val="22"/>
                <w:szCs w:val="22"/>
                <w:lang w:val="es-ES"/>
              </w:rPr>
              <w:t>KIAH(TV)</w:t>
            </w:r>
          </w:p>
        </w:tc>
        <w:tc>
          <w:tcPr>
            <w:tcW w:w="2532" w:type="dxa"/>
            <w:shd w:val="clear" w:color="auto" w:fill="auto"/>
          </w:tcPr>
          <w:p w:rsidR="00F63FFE" w:rsidRPr="0029384F" w:rsidP="0029384F">
            <w:pPr>
              <w:spacing w:after="200" w:line="276" w:lineRule="auto"/>
              <w:rPr>
                <w:sz w:val="22"/>
                <w:szCs w:val="22"/>
                <w:lang w:val="es-ES"/>
              </w:rPr>
            </w:pPr>
            <w:r w:rsidRPr="0029384F">
              <w:rPr>
                <w:sz w:val="22"/>
                <w:szCs w:val="22"/>
                <w:lang w:val="es-ES"/>
              </w:rPr>
              <w:t>Houston, TX</w:t>
            </w:r>
          </w:p>
        </w:tc>
        <w:tc>
          <w:tcPr>
            <w:tcW w:w="1044" w:type="dxa"/>
            <w:shd w:val="clear" w:color="auto" w:fill="auto"/>
          </w:tcPr>
          <w:p w:rsidR="00F63FFE" w:rsidRPr="0029384F" w:rsidP="0029384F">
            <w:pPr>
              <w:spacing w:after="200" w:line="276" w:lineRule="auto"/>
              <w:rPr>
                <w:sz w:val="22"/>
                <w:szCs w:val="22"/>
                <w:lang w:val="es-ES"/>
              </w:rPr>
            </w:pPr>
            <w:r w:rsidRPr="0029384F">
              <w:rPr>
                <w:sz w:val="22"/>
                <w:szCs w:val="22"/>
                <w:lang w:val="es-ES"/>
              </w:rPr>
              <w:t>23394</w:t>
            </w:r>
          </w:p>
        </w:tc>
        <w:tc>
          <w:tcPr>
            <w:tcW w:w="2059" w:type="dxa"/>
            <w:shd w:val="clear" w:color="auto" w:fill="auto"/>
          </w:tcPr>
          <w:p w:rsidR="00F63FFE" w:rsidRPr="0029384F" w:rsidP="0029384F">
            <w:pPr>
              <w:spacing w:after="200" w:line="276" w:lineRule="auto"/>
              <w:rPr>
                <w:sz w:val="22"/>
                <w:szCs w:val="22"/>
                <w:lang w:val="es-ES"/>
              </w:rPr>
            </w:pPr>
            <w:r w:rsidRPr="0029384F">
              <w:rPr>
                <w:sz w:val="22"/>
                <w:szCs w:val="22"/>
                <w:lang w:val="es-ES"/>
              </w:rPr>
              <w:t>KIAH, LLC</w:t>
            </w:r>
          </w:p>
        </w:tc>
        <w:tc>
          <w:tcPr>
            <w:tcW w:w="2612" w:type="dxa"/>
            <w:shd w:val="clear" w:color="auto" w:fill="auto"/>
          </w:tcPr>
          <w:p w:rsidR="00F63FFE" w:rsidRPr="0029384F" w:rsidP="0029384F">
            <w:pPr>
              <w:spacing w:after="200" w:line="276" w:lineRule="auto"/>
              <w:rPr>
                <w:sz w:val="22"/>
                <w:szCs w:val="22"/>
                <w:lang w:val="es-ES"/>
              </w:rPr>
            </w:pPr>
            <w:r w:rsidRPr="0029384F">
              <w:rPr>
                <w:sz w:val="22"/>
                <w:szCs w:val="22"/>
                <w:lang w:val="es-ES"/>
              </w:rPr>
              <w:t>BALCDT-20180427ABM</w:t>
            </w:r>
          </w:p>
        </w:tc>
      </w:tr>
      <w:tr w:rsidTr="0029384F">
        <w:tblPrEx>
          <w:tblW w:w="0" w:type="auto"/>
          <w:tblCellMar>
            <w:left w:w="115" w:type="dxa"/>
            <w:right w:w="115" w:type="dxa"/>
          </w:tblCellMar>
          <w:tblLook w:val="04A0"/>
        </w:tblPrEx>
        <w:tc>
          <w:tcPr>
            <w:tcW w:w="1343" w:type="dxa"/>
            <w:shd w:val="clear" w:color="auto" w:fill="auto"/>
          </w:tcPr>
          <w:p w:rsidR="00F63FFE" w:rsidRPr="0029384F" w:rsidP="0029384F">
            <w:pPr>
              <w:spacing w:after="200" w:line="276" w:lineRule="auto"/>
              <w:rPr>
                <w:sz w:val="22"/>
                <w:szCs w:val="22"/>
                <w:lang w:val="es-ES"/>
              </w:rPr>
            </w:pPr>
            <w:r w:rsidRPr="0029384F">
              <w:rPr>
                <w:sz w:val="22"/>
                <w:szCs w:val="22"/>
                <w:lang w:val="es-ES"/>
              </w:rPr>
              <w:t>WXMI(TV)</w:t>
            </w:r>
          </w:p>
        </w:tc>
        <w:tc>
          <w:tcPr>
            <w:tcW w:w="2532" w:type="dxa"/>
            <w:shd w:val="clear" w:color="auto" w:fill="auto"/>
          </w:tcPr>
          <w:p w:rsidR="00F63FFE" w:rsidRPr="0029384F" w:rsidP="0029384F">
            <w:pPr>
              <w:spacing w:after="200" w:line="276" w:lineRule="auto"/>
              <w:rPr>
                <w:sz w:val="22"/>
                <w:szCs w:val="22"/>
                <w:lang w:val="es-ES"/>
              </w:rPr>
            </w:pPr>
            <w:r w:rsidRPr="0029384F">
              <w:rPr>
                <w:sz w:val="22"/>
                <w:szCs w:val="22"/>
                <w:lang w:val="es-ES"/>
              </w:rPr>
              <w:t>Grand Rapids, MI</w:t>
            </w:r>
          </w:p>
        </w:tc>
        <w:tc>
          <w:tcPr>
            <w:tcW w:w="1044" w:type="dxa"/>
            <w:shd w:val="clear" w:color="auto" w:fill="auto"/>
          </w:tcPr>
          <w:p w:rsidR="00F63FFE" w:rsidRPr="0029384F" w:rsidP="0029384F">
            <w:pPr>
              <w:spacing w:after="200" w:line="276" w:lineRule="auto"/>
              <w:rPr>
                <w:sz w:val="22"/>
                <w:szCs w:val="22"/>
                <w:lang w:val="es-ES"/>
              </w:rPr>
            </w:pPr>
            <w:r w:rsidRPr="0029384F">
              <w:rPr>
                <w:sz w:val="22"/>
                <w:szCs w:val="22"/>
                <w:lang w:val="es-ES"/>
              </w:rPr>
              <w:t>68433</w:t>
            </w:r>
          </w:p>
        </w:tc>
        <w:tc>
          <w:tcPr>
            <w:tcW w:w="2059" w:type="dxa"/>
            <w:shd w:val="clear" w:color="auto" w:fill="auto"/>
          </w:tcPr>
          <w:p w:rsidR="00F63FFE" w:rsidRPr="0029384F" w:rsidP="0029384F">
            <w:pPr>
              <w:spacing w:after="200" w:line="276" w:lineRule="auto"/>
              <w:rPr>
                <w:sz w:val="22"/>
                <w:szCs w:val="22"/>
                <w:lang w:val="es-ES"/>
              </w:rPr>
            </w:pPr>
            <w:r w:rsidRPr="0029384F">
              <w:rPr>
                <w:sz w:val="22"/>
                <w:szCs w:val="22"/>
                <w:lang w:val="es-ES"/>
              </w:rPr>
              <w:t>WXMI, LLC</w:t>
            </w:r>
          </w:p>
        </w:tc>
        <w:tc>
          <w:tcPr>
            <w:tcW w:w="2612" w:type="dxa"/>
            <w:shd w:val="clear" w:color="auto" w:fill="auto"/>
          </w:tcPr>
          <w:p w:rsidR="00F63FFE" w:rsidRPr="0029384F" w:rsidP="0029384F">
            <w:pPr>
              <w:spacing w:after="200" w:line="276" w:lineRule="auto"/>
              <w:rPr>
                <w:sz w:val="22"/>
                <w:szCs w:val="22"/>
                <w:lang w:val="es-ES"/>
              </w:rPr>
            </w:pPr>
            <w:r w:rsidRPr="0029384F">
              <w:rPr>
                <w:sz w:val="22"/>
                <w:szCs w:val="22"/>
                <w:lang w:val="es-ES"/>
              </w:rPr>
              <w:t>BALCDT-20180430ADB</w:t>
            </w:r>
          </w:p>
        </w:tc>
      </w:tr>
      <w:tr w:rsidTr="0029384F">
        <w:tblPrEx>
          <w:tblW w:w="0" w:type="auto"/>
          <w:tblCellMar>
            <w:left w:w="115" w:type="dxa"/>
            <w:right w:w="115" w:type="dxa"/>
          </w:tblCellMar>
          <w:tblLook w:val="04A0"/>
        </w:tblPrEx>
        <w:tc>
          <w:tcPr>
            <w:tcW w:w="1343" w:type="dxa"/>
            <w:shd w:val="clear" w:color="auto" w:fill="auto"/>
          </w:tcPr>
          <w:p w:rsidR="00F63FFE" w:rsidRPr="0029384F" w:rsidP="0029384F">
            <w:pPr>
              <w:spacing w:after="200" w:line="276" w:lineRule="auto"/>
              <w:rPr>
                <w:sz w:val="22"/>
                <w:szCs w:val="22"/>
                <w:lang w:val="es-ES"/>
              </w:rPr>
            </w:pPr>
            <w:r w:rsidRPr="0029384F">
              <w:rPr>
                <w:sz w:val="22"/>
                <w:szCs w:val="22"/>
                <w:lang w:val="es-ES"/>
              </w:rPr>
              <w:t>WPMT(TV)</w:t>
            </w:r>
          </w:p>
        </w:tc>
        <w:tc>
          <w:tcPr>
            <w:tcW w:w="2532" w:type="dxa"/>
            <w:shd w:val="clear" w:color="auto" w:fill="auto"/>
          </w:tcPr>
          <w:p w:rsidR="00F63FFE" w:rsidRPr="0029384F" w:rsidP="0029384F">
            <w:pPr>
              <w:spacing w:after="200" w:line="276" w:lineRule="auto"/>
              <w:rPr>
                <w:sz w:val="22"/>
                <w:szCs w:val="22"/>
                <w:lang w:val="es-ES"/>
              </w:rPr>
            </w:pPr>
            <w:r w:rsidRPr="0029384F">
              <w:rPr>
                <w:sz w:val="22"/>
                <w:szCs w:val="22"/>
                <w:lang w:val="es-ES"/>
              </w:rPr>
              <w:t>York, PA</w:t>
            </w:r>
          </w:p>
        </w:tc>
        <w:tc>
          <w:tcPr>
            <w:tcW w:w="1044" w:type="dxa"/>
            <w:shd w:val="clear" w:color="auto" w:fill="auto"/>
          </w:tcPr>
          <w:p w:rsidR="00F63FFE" w:rsidRPr="0029384F" w:rsidP="0029384F">
            <w:pPr>
              <w:spacing w:after="200" w:line="276" w:lineRule="auto"/>
              <w:rPr>
                <w:sz w:val="22"/>
                <w:szCs w:val="22"/>
                <w:lang w:val="es-ES"/>
              </w:rPr>
            </w:pPr>
            <w:r w:rsidRPr="0029384F">
              <w:rPr>
                <w:sz w:val="22"/>
                <w:szCs w:val="22"/>
                <w:lang w:val="es-ES"/>
              </w:rPr>
              <w:t>10213</w:t>
            </w:r>
          </w:p>
        </w:tc>
        <w:tc>
          <w:tcPr>
            <w:tcW w:w="2059" w:type="dxa"/>
            <w:shd w:val="clear" w:color="auto" w:fill="auto"/>
          </w:tcPr>
          <w:p w:rsidR="00F63FFE" w:rsidRPr="0029384F" w:rsidP="0029384F">
            <w:pPr>
              <w:spacing w:after="200" w:line="276" w:lineRule="auto"/>
              <w:rPr>
                <w:sz w:val="22"/>
                <w:szCs w:val="22"/>
                <w:lang w:val="es-ES"/>
              </w:rPr>
            </w:pPr>
            <w:r w:rsidRPr="0029384F">
              <w:rPr>
                <w:sz w:val="22"/>
                <w:szCs w:val="22"/>
                <w:lang w:val="es-ES"/>
              </w:rPr>
              <w:t>WPMT, LLC</w:t>
            </w:r>
          </w:p>
        </w:tc>
        <w:tc>
          <w:tcPr>
            <w:tcW w:w="2612" w:type="dxa"/>
            <w:shd w:val="clear" w:color="auto" w:fill="auto"/>
          </w:tcPr>
          <w:p w:rsidR="00F63FFE" w:rsidRPr="0029384F" w:rsidP="0029384F">
            <w:pPr>
              <w:spacing w:after="200" w:line="276" w:lineRule="auto"/>
              <w:rPr>
                <w:sz w:val="22"/>
                <w:szCs w:val="22"/>
                <w:lang w:val="es-ES"/>
              </w:rPr>
            </w:pPr>
            <w:r w:rsidRPr="0029384F">
              <w:rPr>
                <w:sz w:val="22"/>
                <w:szCs w:val="22"/>
                <w:lang w:val="es-ES"/>
              </w:rPr>
              <w:t>BALCDT-20180430ACX</w:t>
            </w:r>
          </w:p>
        </w:tc>
      </w:tr>
      <w:tr w:rsidTr="0029384F">
        <w:tblPrEx>
          <w:tblW w:w="0" w:type="auto"/>
          <w:tblCellMar>
            <w:left w:w="115" w:type="dxa"/>
            <w:right w:w="115" w:type="dxa"/>
          </w:tblCellMar>
          <w:tblLook w:val="04A0"/>
        </w:tblPrEx>
        <w:tc>
          <w:tcPr>
            <w:tcW w:w="1343" w:type="dxa"/>
            <w:shd w:val="clear" w:color="auto" w:fill="auto"/>
          </w:tcPr>
          <w:p w:rsidR="00F63FFE" w:rsidRPr="0029384F" w:rsidP="0029384F">
            <w:pPr>
              <w:spacing w:after="200" w:line="276" w:lineRule="auto"/>
              <w:rPr>
                <w:sz w:val="22"/>
                <w:szCs w:val="22"/>
                <w:lang w:val="es-ES"/>
              </w:rPr>
            </w:pPr>
            <w:r w:rsidRPr="0029384F">
              <w:rPr>
                <w:sz w:val="22"/>
                <w:szCs w:val="22"/>
                <w:lang w:val="es-ES"/>
              </w:rPr>
              <w:t>WGN-TV</w:t>
            </w:r>
          </w:p>
        </w:tc>
        <w:tc>
          <w:tcPr>
            <w:tcW w:w="2532" w:type="dxa"/>
            <w:shd w:val="clear" w:color="auto" w:fill="auto"/>
          </w:tcPr>
          <w:p w:rsidR="00F63FFE" w:rsidRPr="0029384F" w:rsidP="0029384F">
            <w:pPr>
              <w:spacing w:after="200" w:line="276" w:lineRule="auto"/>
              <w:rPr>
                <w:sz w:val="22"/>
                <w:szCs w:val="22"/>
                <w:lang w:val="es-ES"/>
              </w:rPr>
            </w:pPr>
            <w:r w:rsidRPr="0029384F">
              <w:rPr>
                <w:sz w:val="22"/>
                <w:szCs w:val="22"/>
                <w:lang w:val="es-ES"/>
              </w:rPr>
              <w:t>Chicago, IL</w:t>
            </w:r>
          </w:p>
        </w:tc>
        <w:tc>
          <w:tcPr>
            <w:tcW w:w="1044" w:type="dxa"/>
            <w:shd w:val="clear" w:color="auto" w:fill="auto"/>
          </w:tcPr>
          <w:p w:rsidR="00F63FFE" w:rsidRPr="0029384F" w:rsidP="0029384F">
            <w:pPr>
              <w:spacing w:after="200" w:line="276" w:lineRule="auto"/>
              <w:rPr>
                <w:sz w:val="22"/>
                <w:szCs w:val="22"/>
                <w:lang w:val="es-ES"/>
              </w:rPr>
            </w:pPr>
            <w:r w:rsidRPr="0029384F">
              <w:rPr>
                <w:sz w:val="22"/>
                <w:szCs w:val="22"/>
                <w:lang w:val="es-ES"/>
              </w:rPr>
              <w:t>72115</w:t>
            </w:r>
          </w:p>
        </w:tc>
        <w:tc>
          <w:tcPr>
            <w:tcW w:w="2059" w:type="dxa"/>
            <w:shd w:val="clear" w:color="auto" w:fill="auto"/>
          </w:tcPr>
          <w:p w:rsidR="00F63FFE" w:rsidRPr="0029384F" w:rsidP="0029384F">
            <w:pPr>
              <w:spacing w:after="200" w:line="276" w:lineRule="auto"/>
              <w:rPr>
                <w:sz w:val="22"/>
                <w:szCs w:val="22"/>
                <w:lang w:val="es-ES"/>
              </w:rPr>
            </w:pPr>
            <w:r w:rsidRPr="0029384F">
              <w:rPr>
                <w:sz w:val="22"/>
                <w:szCs w:val="22"/>
                <w:lang w:val="es-ES"/>
              </w:rPr>
              <w:t xml:space="preserve">WGN Continental </w:t>
            </w:r>
            <w:r w:rsidRPr="0029384F">
              <w:rPr>
                <w:sz w:val="22"/>
                <w:szCs w:val="22"/>
                <w:lang w:val="es-ES"/>
              </w:rPr>
              <w:t>Broadcasting</w:t>
            </w:r>
            <w:r w:rsidRPr="0029384F">
              <w:rPr>
                <w:sz w:val="22"/>
                <w:szCs w:val="22"/>
                <w:lang w:val="es-ES"/>
              </w:rPr>
              <w:t xml:space="preserve"> Company, LLC</w:t>
            </w:r>
          </w:p>
        </w:tc>
        <w:tc>
          <w:tcPr>
            <w:tcW w:w="2612" w:type="dxa"/>
            <w:shd w:val="clear" w:color="auto" w:fill="auto"/>
          </w:tcPr>
          <w:p w:rsidR="00F63FFE" w:rsidRPr="0029384F" w:rsidP="0029384F">
            <w:pPr>
              <w:spacing w:after="200" w:line="276" w:lineRule="auto"/>
              <w:rPr>
                <w:sz w:val="22"/>
                <w:szCs w:val="22"/>
                <w:lang w:val="es-ES"/>
              </w:rPr>
            </w:pPr>
            <w:r w:rsidRPr="0029384F">
              <w:rPr>
                <w:sz w:val="22"/>
                <w:szCs w:val="22"/>
                <w:lang w:val="es-ES"/>
              </w:rPr>
              <w:t>BALCDT-20180227ABD</w:t>
            </w:r>
          </w:p>
        </w:tc>
      </w:tr>
      <w:tr w:rsidTr="0029384F">
        <w:tblPrEx>
          <w:tblW w:w="0" w:type="auto"/>
          <w:tblCellMar>
            <w:left w:w="115" w:type="dxa"/>
            <w:right w:w="115" w:type="dxa"/>
          </w:tblCellMar>
          <w:tblLook w:val="04A0"/>
        </w:tblPrEx>
        <w:tc>
          <w:tcPr>
            <w:tcW w:w="1343" w:type="dxa"/>
            <w:shd w:val="clear" w:color="auto" w:fill="auto"/>
          </w:tcPr>
          <w:p w:rsidR="00F63FFE" w:rsidRPr="0029384F" w:rsidP="0029384F">
            <w:pPr>
              <w:spacing w:after="200" w:line="276" w:lineRule="auto"/>
              <w:rPr>
                <w:sz w:val="22"/>
                <w:szCs w:val="22"/>
                <w:lang w:val="es-ES"/>
              </w:rPr>
            </w:pPr>
            <w:r w:rsidRPr="0029384F">
              <w:rPr>
                <w:sz w:val="22"/>
                <w:szCs w:val="22"/>
                <w:lang w:val="es-ES"/>
              </w:rPr>
              <w:t>KPLR-TV</w:t>
            </w:r>
          </w:p>
        </w:tc>
        <w:tc>
          <w:tcPr>
            <w:tcW w:w="2532" w:type="dxa"/>
            <w:shd w:val="clear" w:color="auto" w:fill="auto"/>
          </w:tcPr>
          <w:p w:rsidR="00F63FFE" w:rsidRPr="0029384F" w:rsidP="0029384F">
            <w:pPr>
              <w:spacing w:after="200" w:line="276" w:lineRule="auto"/>
              <w:rPr>
                <w:sz w:val="22"/>
                <w:szCs w:val="22"/>
                <w:lang w:val="es-ES"/>
              </w:rPr>
            </w:pPr>
            <w:r w:rsidRPr="0029384F">
              <w:rPr>
                <w:sz w:val="22"/>
                <w:szCs w:val="22"/>
                <w:lang w:val="es-ES"/>
              </w:rPr>
              <w:t>St. Louis, MO</w:t>
            </w:r>
          </w:p>
        </w:tc>
        <w:tc>
          <w:tcPr>
            <w:tcW w:w="1044" w:type="dxa"/>
            <w:shd w:val="clear" w:color="auto" w:fill="auto"/>
          </w:tcPr>
          <w:p w:rsidR="00F63FFE" w:rsidRPr="0029384F" w:rsidP="0029384F">
            <w:pPr>
              <w:spacing w:after="200" w:line="276" w:lineRule="auto"/>
              <w:rPr>
                <w:sz w:val="22"/>
                <w:szCs w:val="22"/>
                <w:lang w:val="es-ES"/>
              </w:rPr>
            </w:pPr>
            <w:r w:rsidRPr="0029384F">
              <w:rPr>
                <w:sz w:val="22"/>
                <w:szCs w:val="22"/>
                <w:lang w:val="es-ES"/>
              </w:rPr>
              <w:t>35417</w:t>
            </w:r>
          </w:p>
        </w:tc>
        <w:tc>
          <w:tcPr>
            <w:tcW w:w="2059" w:type="dxa"/>
            <w:shd w:val="clear" w:color="auto" w:fill="auto"/>
          </w:tcPr>
          <w:p w:rsidR="00F63FFE" w:rsidRPr="0029384F" w:rsidP="0029384F">
            <w:pPr>
              <w:spacing w:after="200" w:line="276" w:lineRule="auto"/>
              <w:rPr>
                <w:sz w:val="22"/>
                <w:szCs w:val="22"/>
                <w:lang w:val="es-ES"/>
              </w:rPr>
            </w:pPr>
            <w:r w:rsidRPr="0029384F">
              <w:rPr>
                <w:sz w:val="22"/>
                <w:szCs w:val="22"/>
                <w:lang w:val="es-ES"/>
              </w:rPr>
              <w:t>KPLR, Inc.</w:t>
            </w:r>
          </w:p>
        </w:tc>
        <w:tc>
          <w:tcPr>
            <w:tcW w:w="2612" w:type="dxa"/>
            <w:shd w:val="clear" w:color="auto" w:fill="auto"/>
          </w:tcPr>
          <w:p w:rsidR="00F63FFE" w:rsidRPr="0029384F" w:rsidP="0029384F">
            <w:pPr>
              <w:spacing w:after="200" w:line="276" w:lineRule="auto"/>
              <w:rPr>
                <w:sz w:val="22"/>
                <w:szCs w:val="22"/>
                <w:lang w:val="es-ES"/>
              </w:rPr>
            </w:pPr>
            <w:r w:rsidRPr="0029384F">
              <w:rPr>
                <w:sz w:val="22"/>
                <w:szCs w:val="22"/>
                <w:lang w:val="es-ES"/>
              </w:rPr>
              <w:t>BTCCDT-20180514ABV</w:t>
            </w:r>
          </w:p>
        </w:tc>
      </w:tr>
    </w:tbl>
    <w:p w:rsidR="003A41C4" w:rsidP="003A41C4">
      <w:pPr>
        <w:spacing w:after="200" w:line="276" w:lineRule="auto"/>
        <w:jc w:val="center"/>
        <w:rPr>
          <w:b/>
          <w:sz w:val="22"/>
          <w:szCs w:val="22"/>
          <w:lang w:val="es-ES"/>
        </w:rPr>
      </w:pPr>
    </w:p>
    <w:p w:rsidR="003F52B7" w:rsidRPr="00860CA8" w:rsidP="003F52B7">
      <w:pPr>
        <w:spacing w:before="120" w:after="240"/>
        <w:rPr>
          <w:sz w:val="22"/>
          <w:szCs w:val="22"/>
        </w:rPr>
      </w:pPr>
    </w:p>
    <w:p w:rsidR="008D3DE4" w:rsidRPr="00860CA8" w:rsidP="008D3DE4">
      <w:pPr>
        <w:spacing w:before="120" w:after="240"/>
        <w:rPr>
          <w:sz w:val="22"/>
          <w:szCs w:val="22"/>
        </w:rPr>
      </w:pPr>
    </w:p>
    <w:sectPr w:rsidSect="008D3DE4">
      <w:footerReference w:type="even" r:id="rId5"/>
      <w:footerReference w:type="default" r:id="rId6"/>
      <w:headerReference w:type="first" r:id="rId7"/>
      <w:pgSz w:w="12240" w:h="15840"/>
      <w:pgMar w:top="1440" w:right="1440" w:bottom="1080" w:left="1440" w:header="1440" w:footer="108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DE4" w:rsidP="008D3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3DE4" w:rsidP="008D3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DE4" w:rsidP="008D3DE4">
    <w:pPr>
      <w:spacing w:before="140" w:line="100" w:lineRule="exact"/>
      <w:ind w:right="360"/>
      <w:rPr>
        <w:sz w:val="10"/>
      </w:rPr>
    </w:pPr>
  </w:p>
  <w:p w:rsidR="008D3DE4">
    <w:pPr>
      <w:suppressAutoHyphens/>
    </w:pPr>
  </w:p>
  <w:p w:rsidR="008D3DE4">
    <w:r>
      <w:rPr>
        <w:noProof/>
      </w:rPr>
      <w:pict>
        <v:rect id="_x0000_s2049" style="width:468pt;height:12pt;margin-top:12pt;margin-left:1in;mso-position-horizontal-relative:page;position:absolute;z-index:251658240" o:allowincell="f" filled="f" stroked="f">
          <v:textbox inset="0,0,0,0">
            <w:txbxContent>
              <w:p w:rsidR="008D3DE4">
                <w:pPr>
                  <w:tabs>
                    <w:tab w:val="center" w:pos="4680"/>
                    <w:tab w:val="right" w:pos="9360"/>
                  </w:tabs>
                </w:pPr>
                <w:r>
                  <w:tab/>
                </w:r>
                <w:r>
                  <w:fldChar w:fldCharType="begin"/>
                </w:r>
                <w:r>
                  <w:instrText>page \* arabic</w:instrText>
                </w:r>
                <w:r>
                  <w:fldChar w:fldCharType="separate"/>
                </w:r>
                <w:r>
                  <w:t>7</w:t>
                </w:r>
                <w:r>
                  <w:fldChar w:fldCharType="end"/>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34B2">
      <w:r>
        <w:separator/>
      </w:r>
    </w:p>
  </w:footnote>
  <w:footnote w:type="continuationSeparator" w:id="1">
    <w:p w:rsidR="002334B2">
      <w:r>
        <w:continuationSeparator/>
      </w:r>
    </w:p>
  </w:footnote>
  <w:footnote w:id="2">
    <w:p w:rsidR="003F52B7" w:rsidRPr="001E6623" w:rsidP="00591E69">
      <w:pPr>
        <w:pStyle w:val="FootnoteText"/>
        <w:spacing w:after="120"/>
        <w:ind w:firstLine="0"/>
        <w:jc w:val="both"/>
        <w:rPr>
          <w:i/>
        </w:rPr>
      </w:pPr>
      <w:r>
        <w:rPr>
          <w:rStyle w:val="FootnoteReference"/>
        </w:rPr>
        <w:footnoteRef/>
      </w:r>
      <w:r>
        <w:t xml:space="preserve"> The </w:t>
      </w:r>
      <w:r w:rsidR="0094703E">
        <w:t>Original Applications</w:t>
      </w:r>
      <w:r>
        <w:t xml:space="preserve"> in this transfer of control proceeding (the Merger) were put out on public notice on July 6, 2017. </w:t>
      </w:r>
      <w:r w:rsidRPr="002E14E7">
        <w:rPr>
          <w:i/>
        </w:rPr>
        <w:t>Media Bureau Establishes Pleading Cycle for Applications to Transfer Control of Tribune Media Company to Sinclair Broadcast Group, Inc. and Permit-But-Disclose Ex Parte Status for the Proceeding</w:t>
      </w:r>
      <w:r w:rsidRPr="002E14E7">
        <w:t xml:space="preserve">, </w:t>
      </w:r>
      <w:r>
        <w:t xml:space="preserve">MB Docket 17-179, </w:t>
      </w:r>
      <w:r w:rsidRPr="001D69BE">
        <w:t xml:space="preserve">Public Notice, </w:t>
      </w:r>
      <w:r>
        <w:t xml:space="preserve">32 FCC Rcd 5481 (MB </w:t>
      </w:r>
      <w:r w:rsidRPr="002E14E7">
        <w:t>2017</w:t>
      </w:r>
      <w:r w:rsidRPr="00CD6B19">
        <w:t>)</w:t>
      </w:r>
      <w:r w:rsidR="007B3D47">
        <w:t xml:space="preserve"> (</w:t>
      </w:r>
      <w:r w:rsidRPr="00244B8C" w:rsidR="007B3D47">
        <w:rPr>
          <w:i/>
        </w:rPr>
        <w:t>July 2017 Public Notice</w:t>
      </w:r>
      <w:r w:rsidR="007B3D47">
        <w:t>)</w:t>
      </w:r>
      <w:r>
        <w:t>.</w:t>
      </w:r>
      <w:r w:rsidR="001E6623">
        <w:t xml:space="preserve">  </w:t>
      </w:r>
      <w:r w:rsidR="0020736B">
        <w:t xml:space="preserve">Copies of the </w:t>
      </w:r>
      <w:r w:rsidR="003246CA">
        <w:t>Original A</w:t>
      </w:r>
      <w:r w:rsidRPr="0020736B" w:rsidR="0020736B">
        <w:t>pplications</w:t>
      </w:r>
      <w:r w:rsidR="0020736B">
        <w:t>, as amended,</w:t>
      </w:r>
      <w:r w:rsidRPr="0020736B" w:rsidR="0020736B">
        <w:t xml:space="preserve"> are available in the Commission’s Consolidated Database System (CDBS).  </w:t>
      </w:r>
    </w:p>
  </w:footnote>
  <w:footnote w:id="3">
    <w:p w:rsidR="003F52B7" w:rsidRPr="001E6623" w:rsidP="00591E69">
      <w:pPr>
        <w:pStyle w:val="FootnoteText"/>
        <w:spacing w:after="120"/>
        <w:ind w:firstLine="0"/>
      </w:pPr>
      <w:r>
        <w:rPr>
          <w:rStyle w:val="FootnoteReference"/>
        </w:rPr>
        <w:footnoteRef/>
      </w:r>
      <w:r>
        <w:t xml:space="preserve"> </w:t>
      </w:r>
      <w:r w:rsidRPr="0060696C">
        <w:t xml:space="preserve">A list of the </w:t>
      </w:r>
      <w:r>
        <w:t xml:space="preserve">Divestiture Applications can be found </w:t>
      </w:r>
      <w:r w:rsidR="0039589A">
        <w:t>on</w:t>
      </w:r>
      <w:r w:rsidRPr="0060696C">
        <w:t xml:space="preserve"> </w:t>
      </w:r>
      <w:r w:rsidR="0020736B">
        <w:t>the a</w:t>
      </w:r>
      <w:r w:rsidRPr="0060696C">
        <w:t>ttachment</w:t>
      </w:r>
      <w:r>
        <w:t xml:space="preserve"> </w:t>
      </w:r>
      <w:r w:rsidRPr="0060696C">
        <w:t xml:space="preserve">to this Public Notice.  Copies of the applications are available in </w:t>
      </w:r>
      <w:r w:rsidR="00900025">
        <w:t>CDBS</w:t>
      </w:r>
      <w:r w:rsidRPr="0060696C">
        <w:t>.</w:t>
      </w:r>
      <w:r w:rsidR="001E6623">
        <w:t xml:space="preserve">  </w:t>
      </w:r>
      <w:r w:rsidRPr="00C04E41" w:rsidR="00900025">
        <w:t>All</w:t>
      </w:r>
      <w:r w:rsidRPr="00C04E41" w:rsidR="00C04E41">
        <w:t xml:space="preserve"> </w:t>
      </w:r>
      <w:r w:rsidR="0039589A">
        <w:t>of</w:t>
      </w:r>
      <w:r w:rsidR="0039589A">
        <w:t xml:space="preserve"> </w:t>
      </w:r>
      <w:r w:rsidRPr="00C04E41" w:rsidR="00C04E41">
        <w:t xml:space="preserve">the applications listed </w:t>
      </w:r>
      <w:r w:rsidR="0039589A">
        <w:t>on</w:t>
      </w:r>
      <w:r w:rsidRPr="00C04E41" w:rsidR="00C04E41">
        <w:t xml:space="preserve"> the attachment to this Public Notice have been accepted for filing.  </w:t>
      </w:r>
      <w:r w:rsidRPr="003246CA" w:rsidR="003246CA">
        <w:t xml:space="preserve">On February 21, 2018, and March 6, 2018, Sinclair and Tribune, respectively, filed applications to assign the licenses of certain stations to divestiture trusts.  Those applications have been withdrawn.  </w:t>
      </w:r>
      <w:r w:rsidRPr="00216E48" w:rsidR="003246CA">
        <w:rPr>
          <w:i/>
        </w:rPr>
        <w:t>Letter from Miles Mason to Marlene Dortch, Secretary, Federal Communications Commission</w:t>
      </w:r>
      <w:r w:rsidRPr="003246CA" w:rsidR="003246CA">
        <w:t xml:space="preserve">, dated March 6, 2018; </w:t>
      </w:r>
      <w:r w:rsidRPr="00216E48" w:rsidR="003246CA">
        <w:rPr>
          <w:i/>
        </w:rPr>
        <w:t>Letter from Miles Mason to Marlene Dortch, Secretary, Federal Communications Commission</w:t>
      </w:r>
      <w:r w:rsidRPr="003246CA" w:rsidR="003246CA">
        <w:t>, dated April 24, 2018.</w:t>
      </w:r>
      <w:r w:rsidR="003246CA">
        <w:t xml:space="preserve">  </w:t>
      </w:r>
      <w:r w:rsidR="0079395A">
        <w:t>An a</w:t>
      </w:r>
      <w:r w:rsidR="001E6623">
        <w:t xml:space="preserve">pplication </w:t>
      </w:r>
      <w:r w:rsidR="0079395A">
        <w:t>was previously</w:t>
      </w:r>
      <w:r w:rsidR="001E6623">
        <w:t xml:space="preserve"> filed to divest station </w:t>
      </w:r>
      <w:r w:rsidR="0079395A">
        <w:t>WPIX</w:t>
      </w:r>
      <w:r w:rsidR="0039589A">
        <w:t>(</w:t>
      </w:r>
      <w:r w:rsidR="0079395A">
        <w:t>TV</w:t>
      </w:r>
      <w:r w:rsidR="0039589A">
        <w:t>), New York, NY</w:t>
      </w:r>
      <w:r w:rsidR="001E6623">
        <w:t xml:space="preserve">.  </w:t>
      </w:r>
      <w:r w:rsidR="001E6623">
        <w:rPr>
          <w:i/>
        </w:rPr>
        <w:t xml:space="preserve">See </w:t>
      </w:r>
      <w:r w:rsidR="001E6623">
        <w:t xml:space="preserve">File No. </w:t>
      </w:r>
      <w:r w:rsidRPr="0079395A" w:rsidR="0079395A">
        <w:t>BALCDT-</w:t>
      </w:r>
      <w:r w:rsidR="00AF7DFA">
        <w:t xml:space="preserve">20180227ABE.  </w:t>
      </w:r>
      <w:r w:rsidR="0079395A">
        <w:t xml:space="preserve">That </w:t>
      </w:r>
      <w:r w:rsidR="001E6623">
        <w:t>application</w:t>
      </w:r>
      <w:r w:rsidR="0096504E">
        <w:t xml:space="preserve"> </w:t>
      </w:r>
      <w:r w:rsidR="00AF7DFA">
        <w:t>has</w:t>
      </w:r>
      <w:r w:rsidR="001E6623">
        <w:t xml:space="preserve"> now been withdrawn.</w:t>
      </w:r>
      <w:r w:rsidR="007C1752">
        <w:t xml:space="preserve">  </w:t>
      </w:r>
      <w:r w:rsidR="007C1752">
        <w:rPr>
          <w:i/>
        </w:rPr>
        <w:t xml:space="preserve">Letter from Miles Mason to Marlene Dortch, Secretary, Federal Communications Commission, </w:t>
      </w:r>
      <w:r w:rsidR="007C1752">
        <w:t>dated April 23, 2018.</w:t>
      </w:r>
      <w:r w:rsidR="004D4C1A">
        <w:t xml:space="preserve">  In addition, an application was previously filed to divest station KPLR-TV, St. Louis, MO.  </w:t>
      </w:r>
      <w:r w:rsidRPr="00244B8C" w:rsidR="004D4C1A">
        <w:rPr>
          <w:i/>
        </w:rPr>
        <w:t>See</w:t>
      </w:r>
      <w:r w:rsidR="004D4C1A">
        <w:t xml:space="preserve"> File No. BTCCDT-20180424ABB.  That application has also been withdrawn</w:t>
      </w:r>
      <w:r w:rsidR="003C7A45">
        <w:t>.</w:t>
      </w:r>
      <w:r w:rsidR="004D4C1A">
        <w:t xml:space="preserve">  </w:t>
      </w:r>
      <w:r w:rsidRPr="00244B8C" w:rsidR="004D4C1A">
        <w:rPr>
          <w:i/>
        </w:rPr>
        <w:t>Letter from Miles Mason to Marlene Dortch, Secretary, Federal Communications Commission</w:t>
      </w:r>
      <w:r w:rsidR="004D4C1A">
        <w:t>, dated May 14, 2018.</w:t>
      </w:r>
    </w:p>
  </w:footnote>
  <w:footnote w:id="4">
    <w:p w:rsidR="003F52B7" w:rsidRPr="00F47103" w:rsidP="00591E69">
      <w:pPr>
        <w:pStyle w:val="FootnoteText"/>
        <w:spacing w:after="120"/>
        <w:ind w:firstLine="0"/>
      </w:pPr>
      <w:r w:rsidRPr="00F47103">
        <w:rPr>
          <w:rStyle w:val="FootnoteReference"/>
        </w:rPr>
        <w:footnoteRef/>
      </w:r>
      <w:r w:rsidRPr="00F47103">
        <w:t xml:space="preserve"> </w:t>
      </w:r>
      <w:r w:rsidR="00591E69">
        <w:rPr>
          <w:i/>
        </w:rPr>
        <w:t>July 2017 Public Notice</w:t>
      </w:r>
      <w:r w:rsidR="007B3D47">
        <w:t xml:space="preserve"> </w:t>
      </w:r>
      <w:r w:rsidRPr="0086405A">
        <w:t>(</w:t>
      </w:r>
      <w:r w:rsidRPr="00CD6B19">
        <w:t>setting</w:t>
      </w:r>
      <w:r w:rsidRPr="00287232">
        <w:t xml:space="preserve"> a pleading cycle</w:t>
      </w:r>
      <w:r>
        <w:t xml:space="preserve"> that closed on August 29, 2017, and establishing</w:t>
      </w:r>
      <w:r w:rsidRPr="00287232">
        <w:t xml:space="preserve"> permit-but-</w:t>
      </w:r>
      <w:r>
        <w:t xml:space="preserve">disclose </w:t>
      </w:r>
      <w:r w:rsidRPr="0086405A">
        <w:rPr>
          <w:i/>
        </w:rPr>
        <w:t>ex parte</w:t>
      </w:r>
      <w:r>
        <w:t xml:space="preserve"> status for the proceeding)</w:t>
      </w:r>
      <w:r w:rsidRPr="00F47103">
        <w:t>.</w:t>
      </w:r>
    </w:p>
  </w:footnote>
  <w:footnote w:id="5">
    <w:p w:rsidR="003F52B7" w:rsidRPr="00662CAF" w:rsidP="00591E69">
      <w:pPr>
        <w:pStyle w:val="FootnoteText"/>
        <w:spacing w:after="120"/>
        <w:ind w:firstLine="0"/>
      </w:pPr>
      <w:r w:rsidRPr="00662CAF">
        <w:rPr>
          <w:rStyle w:val="FootnoteReference"/>
        </w:rPr>
        <w:footnoteRef/>
      </w:r>
      <w:r>
        <w:t xml:space="preserve"> </w:t>
      </w:r>
      <w:r w:rsidR="00A8537C">
        <w:t>Comprehensive Exhibit at 1.</w:t>
      </w:r>
      <w:r>
        <w:t xml:space="preserve"> </w:t>
      </w:r>
    </w:p>
  </w:footnote>
  <w:footnote w:id="6">
    <w:p w:rsidR="003F52B7" w:rsidRPr="00662CAF" w:rsidP="00591E69">
      <w:pPr>
        <w:pStyle w:val="FootnoteText"/>
        <w:spacing w:after="120"/>
        <w:ind w:firstLine="0"/>
      </w:pPr>
      <w:r w:rsidRPr="00662CAF">
        <w:rPr>
          <w:rStyle w:val="FootnoteReference"/>
        </w:rPr>
        <w:footnoteRef/>
      </w:r>
      <w:r w:rsidRPr="00662CAF">
        <w:t xml:space="preserve"> </w:t>
      </w:r>
      <w:r w:rsidRPr="00C752D2">
        <w:t xml:space="preserve">The national television </w:t>
      </w:r>
      <w:r w:rsidR="009E1242">
        <w:t xml:space="preserve">multiple </w:t>
      </w:r>
      <w:r w:rsidRPr="00C752D2">
        <w:t>ownership rule prohibits a single entity from owning television stations that, in the aggregate, reach more than 39 percent of the total television households in the United States</w:t>
      </w:r>
      <w:r w:rsidR="00A8537C">
        <w:t xml:space="preserve"> as calculated under the Commission’s Rules</w:t>
      </w:r>
      <w:r w:rsidRPr="00C752D2">
        <w:t>.  47 CFR § 73.3555(e)</w:t>
      </w:r>
      <w:r w:rsidR="00A8537C">
        <w:t>.</w:t>
      </w:r>
    </w:p>
  </w:footnote>
  <w:footnote w:id="7">
    <w:p w:rsidR="003F52B7" w:rsidP="00591E69">
      <w:pPr>
        <w:pStyle w:val="FootnoteText"/>
        <w:spacing w:after="120"/>
        <w:ind w:firstLine="0"/>
      </w:pPr>
      <w:r>
        <w:rPr>
          <w:rStyle w:val="FootnoteReference"/>
        </w:rPr>
        <w:footnoteRef/>
      </w:r>
      <w:r>
        <w:t xml:space="preserve"> </w:t>
      </w:r>
      <w:bookmarkStart w:id="2" w:name="_Hlk512938428"/>
      <w:r>
        <w:t xml:space="preserve">Comprehensive Exhibit at </w:t>
      </w:r>
      <w:bookmarkEnd w:id="2"/>
      <w:r>
        <w:t>26.</w:t>
      </w:r>
    </w:p>
  </w:footnote>
  <w:footnote w:id="8">
    <w:p w:rsidR="003F52B7" w:rsidP="00591E69">
      <w:pPr>
        <w:pStyle w:val="FootnoteText"/>
        <w:spacing w:after="120"/>
        <w:ind w:firstLine="0"/>
      </w:pPr>
      <w:r>
        <w:rPr>
          <w:rStyle w:val="FootnoteReference"/>
        </w:rPr>
        <w:footnoteRef/>
      </w:r>
      <w:r>
        <w:t xml:space="preserve"> </w:t>
      </w:r>
      <w:bookmarkStart w:id="3" w:name="_Hlk512520512"/>
      <w:r w:rsidR="006508F5">
        <w:t xml:space="preserve">April 24, 2018 Amendment to </w:t>
      </w:r>
      <w:r>
        <w:t xml:space="preserve">Comprehensive Exhibit at </w:t>
      </w:r>
      <w:r w:rsidR="009E7016">
        <w:t>2, 20</w:t>
      </w:r>
      <w:bookmarkEnd w:id="3"/>
      <w:r>
        <w:t>.</w:t>
      </w:r>
    </w:p>
  </w:footnote>
  <w:footnote w:id="9">
    <w:p w:rsidR="003F52B7" w:rsidP="00591E69">
      <w:pPr>
        <w:pStyle w:val="FootnoteText"/>
        <w:spacing w:after="120"/>
        <w:ind w:firstLine="0"/>
      </w:pPr>
      <w:r>
        <w:rPr>
          <w:rStyle w:val="FootnoteReference"/>
        </w:rPr>
        <w:footnoteRef/>
      </w:r>
      <w:r>
        <w:t xml:space="preserve"> In the Original Applications, the </w:t>
      </w:r>
      <w:r w:rsidR="00E36691">
        <w:t xml:space="preserve">Applicants </w:t>
      </w:r>
      <w:r>
        <w:t xml:space="preserve">stated that there were ten Overlap Markets that </w:t>
      </w:r>
      <w:r w:rsidR="00D0088F">
        <w:t>required divestiture</w:t>
      </w:r>
      <w:r w:rsidR="006508F5">
        <w:t>s</w:t>
      </w:r>
      <w:r w:rsidR="00D0088F">
        <w:t xml:space="preserve"> under </w:t>
      </w:r>
      <w:r>
        <w:t>the</w:t>
      </w:r>
      <w:r w:rsidR="00D0088F">
        <w:t xml:space="preserve"> local</w:t>
      </w:r>
      <w:r>
        <w:t xml:space="preserve"> </w:t>
      </w:r>
      <w:r w:rsidR="00C04A31">
        <w:t xml:space="preserve">television </w:t>
      </w:r>
      <w:r>
        <w:t>multiple ownership rule</w:t>
      </w:r>
      <w:r w:rsidR="00C04A31">
        <w:t>, 47 C.F.R. § 73.3555(b)</w:t>
      </w:r>
      <w:r>
        <w:t xml:space="preserve">.  Comprehensive Exhibit at </w:t>
      </w:r>
      <w:r w:rsidR="00B10805">
        <w:t>12-14</w:t>
      </w:r>
      <w:r>
        <w:t xml:space="preserve">.  However, the Commission’s recent decision in </w:t>
      </w:r>
      <w:r w:rsidRPr="00A63421" w:rsidR="00B10805">
        <w:rPr>
          <w:i/>
        </w:rPr>
        <w:t>2014 Quadrennial Regulatory Review — Review of the Commission</w:t>
      </w:r>
      <w:r w:rsidR="00B10805">
        <w:rPr>
          <w:i/>
        </w:rPr>
        <w:t>’</w:t>
      </w:r>
      <w:r w:rsidRPr="00A63421" w:rsidR="00B10805">
        <w:rPr>
          <w:i/>
        </w:rPr>
        <w:t>s Broadcast Ownership Rules and Other Rules Adopted Pursuant to Section 202 of the Telecommunications Act of 1996</w:t>
      </w:r>
      <w:r w:rsidRPr="00A63421" w:rsidR="00B10805">
        <w:t>, Order on Reconsideration and Notice of Proposed Rulemaking, FCC No. 17-156</w:t>
      </w:r>
      <w:r w:rsidR="00464A66">
        <w:t xml:space="preserve">, </w:t>
      </w:r>
      <w:r w:rsidRPr="0035273A" w:rsidR="00464A66">
        <w:rPr>
          <w:shd w:val="clear" w:color="auto" w:fill="FFFFFF"/>
        </w:rPr>
        <w:t>MB Docket Nos. 14-50, 09-182, 07-294, 04-256, 17-289</w:t>
      </w:r>
      <w:r w:rsidR="00E27FD6">
        <w:rPr>
          <w:shd w:val="clear" w:color="auto" w:fill="FFFFFF"/>
        </w:rPr>
        <w:t xml:space="preserve"> </w:t>
      </w:r>
      <w:r w:rsidRPr="00A63421" w:rsidR="00B10805">
        <w:t>(2017)</w:t>
      </w:r>
      <w:r w:rsidR="00B10805">
        <w:t xml:space="preserve"> (</w:t>
      </w:r>
      <w:r w:rsidRPr="00BD20E9" w:rsidR="00B10805">
        <w:rPr>
          <w:i/>
        </w:rPr>
        <w:t>Reconsideration Order</w:t>
      </w:r>
      <w:r w:rsidR="00B10805">
        <w:t xml:space="preserve">), </w:t>
      </w:r>
      <w:r>
        <w:t xml:space="preserve">has </w:t>
      </w:r>
      <w:r w:rsidR="00D0088F">
        <w:t xml:space="preserve">amended </w:t>
      </w:r>
      <w:r>
        <w:t>the</w:t>
      </w:r>
      <w:r w:rsidR="00D0088F">
        <w:t xml:space="preserve"> local</w:t>
      </w:r>
      <w:r>
        <w:t xml:space="preserve"> </w:t>
      </w:r>
      <w:r w:rsidR="00C04A31">
        <w:t xml:space="preserve">television </w:t>
      </w:r>
      <w:r>
        <w:t>multiple ownership rule</w:t>
      </w:r>
      <w:r w:rsidR="00C04A31">
        <w:t>,</w:t>
      </w:r>
      <w:r>
        <w:t xml:space="preserve"> and </w:t>
      </w:r>
      <w:r w:rsidR="00D0088F">
        <w:t xml:space="preserve">the Applicants </w:t>
      </w:r>
      <w:r w:rsidR="00C04A31">
        <w:t xml:space="preserve">now </w:t>
      </w:r>
      <w:r w:rsidR="00D0088F">
        <w:t xml:space="preserve">contend that </w:t>
      </w:r>
      <w:r w:rsidR="00C04A31">
        <w:t xml:space="preserve">they must divest stations in </w:t>
      </w:r>
      <w:r>
        <w:t xml:space="preserve">only nine markets </w:t>
      </w:r>
      <w:r w:rsidR="00C04A31">
        <w:t xml:space="preserve">to comply with the </w:t>
      </w:r>
      <w:r>
        <w:t>rule.</w:t>
      </w:r>
      <w:r w:rsidR="006508F5">
        <w:t xml:space="preserve">  April 24, 2018, Amendment to Comprehensive Exhibit</w:t>
      </w:r>
      <w:r w:rsidR="00066933">
        <w:t xml:space="preserve"> at 3-5</w:t>
      </w:r>
      <w:r w:rsidR="006508F5">
        <w:t>.</w:t>
      </w:r>
    </w:p>
  </w:footnote>
  <w:footnote w:id="10">
    <w:p w:rsidR="003F52B7" w:rsidRPr="00A278C8" w:rsidP="00591E69">
      <w:pPr>
        <w:pStyle w:val="FootnoteText"/>
        <w:spacing w:after="120"/>
        <w:ind w:firstLine="0"/>
        <w:rPr>
          <w:b/>
        </w:rPr>
      </w:pPr>
      <w:r>
        <w:rPr>
          <w:rStyle w:val="FootnoteReference"/>
        </w:rPr>
        <w:footnoteRef/>
      </w:r>
      <w:r>
        <w:t xml:space="preserve"> </w:t>
      </w:r>
      <w:r>
        <w:rPr>
          <w:i/>
        </w:rPr>
        <w:t xml:space="preserve">See </w:t>
      </w:r>
      <w:r>
        <w:t xml:space="preserve">47 CFR § 73.3555(b).  </w:t>
      </w:r>
    </w:p>
  </w:footnote>
  <w:footnote w:id="11">
    <w:p w:rsidR="003F52B7" w:rsidRPr="00B10805" w:rsidP="00591E69">
      <w:pPr>
        <w:pStyle w:val="FootnoteText"/>
        <w:spacing w:after="120"/>
        <w:ind w:firstLine="0"/>
      </w:pPr>
      <w:r>
        <w:rPr>
          <w:rStyle w:val="FootnoteReference"/>
        </w:rPr>
        <w:footnoteRef/>
      </w:r>
      <w:r>
        <w:t xml:space="preserve"> </w:t>
      </w:r>
      <w:r w:rsidRPr="00244B8C" w:rsidR="00ED71E7">
        <w:rPr>
          <w:i/>
        </w:rPr>
        <w:t>See</w:t>
      </w:r>
      <w:r w:rsidR="00ED71E7">
        <w:t xml:space="preserve"> 47 CFR § 73.3555(b)(1)(</w:t>
      </w:r>
      <w:r w:rsidR="00ED71E7">
        <w:t>i</w:t>
      </w:r>
      <w:r w:rsidR="00ED71E7">
        <w:t xml:space="preserve">); </w:t>
      </w:r>
      <w:r w:rsidR="00B10805">
        <w:rPr>
          <w:i/>
        </w:rPr>
        <w:t xml:space="preserve">Reconsideration Order, </w:t>
      </w:r>
      <w:r w:rsidR="00B10805">
        <w:t xml:space="preserve">32 FCC </w:t>
      </w:r>
      <w:r w:rsidR="00B10805">
        <w:t>Rcd</w:t>
      </w:r>
      <w:r w:rsidR="00B10805">
        <w:t xml:space="preserve"> at </w:t>
      </w:r>
      <w:r w:rsidR="00F65EB1">
        <w:t>¶ 78-82.</w:t>
      </w:r>
    </w:p>
  </w:footnote>
  <w:footnote w:id="12">
    <w:p w:rsidR="00CC704E" w:rsidP="00244B8C">
      <w:pPr>
        <w:pStyle w:val="FootnoteText"/>
        <w:ind w:firstLine="0"/>
      </w:pPr>
      <w:r w:rsidRPr="00216E48">
        <w:rPr>
          <w:rStyle w:val="FootnoteReference"/>
        </w:rPr>
        <w:footnoteRef/>
      </w:r>
      <w:r w:rsidRPr="00216E48">
        <w:t xml:space="preserve"> Concurrently with this Public Notice, we are issuing an Information Request</w:t>
      </w:r>
      <w:r w:rsidR="00A411F3">
        <w:t xml:space="preserve"> to the Applicants seeking the electronic submission of data in support of the request to own two top-four stations in Indianapolis, Indiana, and St. Louis, Missouri, respectively.</w:t>
      </w:r>
    </w:p>
  </w:footnote>
  <w:footnote w:id="13">
    <w:p w:rsidR="003F52B7" w:rsidP="00591E69">
      <w:pPr>
        <w:pStyle w:val="FootnoteText"/>
        <w:spacing w:after="120"/>
        <w:ind w:firstLine="0"/>
      </w:pPr>
      <w:r>
        <w:rPr>
          <w:rStyle w:val="FootnoteReference"/>
        </w:rPr>
        <w:footnoteRef/>
      </w:r>
      <w:r>
        <w:t xml:space="preserve"> </w:t>
      </w:r>
      <w:bookmarkStart w:id="4" w:name="_Hlk512861477"/>
      <w:r w:rsidR="00066933">
        <w:t xml:space="preserve">April 24, 2018, Amendment to </w:t>
      </w:r>
      <w:r w:rsidR="009E7016">
        <w:t xml:space="preserve">Comprehensive Exhibit at </w:t>
      </w:r>
      <w:bookmarkEnd w:id="4"/>
      <w:r w:rsidR="009E7016">
        <w:t>5-1</w:t>
      </w:r>
      <w:r w:rsidR="00066933">
        <w:t>2</w:t>
      </w:r>
      <w:r w:rsidR="009E7016">
        <w:t>.</w:t>
      </w:r>
    </w:p>
  </w:footnote>
  <w:footnote w:id="14">
    <w:p w:rsidR="00EA5248" w:rsidP="00244B8C">
      <w:pPr>
        <w:pStyle w:val="FootnoteText"/>
        <w:ind w:firstLine="0"/>
      </w:pPr>
      <w:r>
        <w:rPr>
          <w:rStyle w:val="FootnoteReference"/>
        </w:rPr>
        <w:footnoteRef/>
      </w:r>
      <w:r>
        <w:t xml:space="preserve"> April 24, 2018 Amendment to Comprehensive Exhi</w:t>
      </w:r>
      <w:r w:rsidR="009D6BD3">
        <w:t>b</w:t>
      </w:r>
      <w:r>
        <w:t xml:space="preserve">it at 12-17; May 14, 2018 Amendment to Comprehensive Exhibit at 2-5.  </w:t>
      </w:r>
      <w:r w:rsidRPr="00244B8C">
        <w:t>As the United States Department of Justice, Antitrust Division</w:t>
      </w:r>
      <w:r>
        <w:t xml:space="preserve"> (DOJ)</w:t>
      </w:r>
      <w:r w:rsidRPr="00244B8C">
        <w:t>, has not yet approved a specific divestiture in the market, it is uncertain exactly which two stations Sinclair would retain.</w:t>
      </w:r>
      <w:r>
        <w:t xml:space="preserve">  Accordingly, the Applicants have filed applications seeking consent to assign or transfer KDNL-TV and KPLR-TV to a divestiture trust, pending the conclusion of the DOJ review.</w:t>
      </w:r>
    </w:p>
  </w:footnote>
  <w:footnote w:id="15">
    <w:p w:rsidR="007C1752" w:rsidRPr="007C1752" w:rsidP="00591E69">
      <w:pPr>
        <w:pStyle w:val="FootnoteText"/>
        <w:spacing w:after="120"/>
        <w:ind w:firstLine="0"/>
      </w:pPr>
      <w:r>
        <w:rPr>
          <w:rStyle w:val="FootnoteReference"/>
        </w:rPr>
        <w:footnoteRef/>
      </w:r>
      <w:r>
        <w:t xml:space="preserve"> Portland, Oregon.  </w:t>
      </w:r>
      <w:r>
        <w:rPr>
          <w:i/>
        </w:rPr>
        <w:t xml:space="preserve">Id. </w:t>
      </w:r>
      <w:r>
        <w:t>at 18.</w:t>
      </w:r>
    </w:p>
  </w:footnote>
  <w:footnote w:id="16">
    <w:p w:rsidR="003F52B7" w:rsidRPr="007C1752" w:rsidP="00591E69">
      <w:pPr>
        <w:pStyle w:val="FootnoteText"/>
        <w:spacing w:after="120"/>
        <w:ind w:firstLine="0"/>
      </w:pPr>
      <w:r>
        <w:rPr>
          <w:rStyle w:val="FootnoteReference"/>
        </w:rPr>
        <w:footnoteRef/>
      </w:r>
      <w:r>
        <w:t xml:space="preserve"> </w:t>
      </w:r>
      <w:r w:rsidR="007C1752">
        <w:t xml:space="preserve">Washington, DC; Milwaukee, Wisconsin; and New Orleans, Louisiana. </w:t>
      </w:r>
      <w:r w:rsidR="007C1752">
        <w:rPr>
          <w:i/>
        </w:rPr>
        <w:t xml:space="preserve">Id. </w:t>
      </w:r>
      <w:r w:rsidR="007C1752">
        <w:t>at 17.</w:t>
      </w:r>
    </w:p>
  </w:footnote>
  <w:footnote w:id="17">
    <w:p w:rsidR="003F52B7" w:rsidRPr="007C1752" w:rsidP="00591E69">
      <w:pPr>
        <w:pStyle w:val="FootnoteText"/>
        <w:spacing w:after="120"/>
        <w:ind w:firstLine="0"/>
      </w:pPr>
      <w:r>
        <w:rPr>
          <w:rStyle w:val="FootnoteReference"/>
        </w:rPr>
        <w:footnoteRef/>
      </w:r>
      <w:r>
        <w:t xml:space="preserve"> </w:t>
      </w:r>
      <w:r w:rsidR="00A57082">
        <w:t>Comprehensive Exhibit at</w:t>
      </w:r>
      <w:r w:rsidR="00F86EDF">
        <w:t xml:space="preserve"> 15-16.</w:t>
      </w:r>
      <w:r w:rsidR="007C1752">
        <w:t xml:space="preserve">  In addition, </w:t>
      </w:r>
      <w:r w:rsidRPr="00D0419B" w:rsidR="007C1752">
        <w:t>Sinclair seeks continuing satellite waivers in two markets and continuing failing station waivers in two markets</w:t>
      </w:r>
      <w:r w:rsidR="007C1752">
        <w:t xml:space="preserve">.  </w:t>
      </w:r>
      <w:r w:rsidR="000668C6">
        <w:t>Comprehensive Exhibit at 16-26.</w:t>
      </w:r>
    </w:p>
  </w:footnote>
  <w:footnote w:id="18">
    <w:p w:rsidR="00A411F3" w:rsidP="00216E48">
      <w:pPr>
        <w:pStyle w:val="FootnoteText"/>
        <w:ind w:firstLine="0"/>
      </w:pPr>
      <w:r>
        <w:rPr>
          <w:rStyle w:val="FootnoteReference"/>
        </w:rPr>
        <w:footnoteRef/>
      </w:r>
      <w:r>
        <w:t xml:space="preserve"> Persons and entities that file petitions to deny become parties to the proceeding.</w:t>
      </w:r>
    </w:p>
  </w:footnote>
  <w:footnote w:id="19">
    <w:p w:rsidR="003F52B7" w:rsidRPr="00F47103" w:rsidP="00591E69">
      <w:pPr>
        <w:pStyle w:val="FootnoteText"/>
        <w:spacing w:after="120"/>
        <w:ind w:firstLine="0"/>
      </w:pPr>
      <w:r w:rsidRPr="00F47103">
        <w:rPr>
          <w:rStyle w:val="FootnoteReference"/>
        </w:rPr>
        <w:footnoteRef/>
      </w:r>
      <w:r w:rsidRPr="00F47103">
        <w:t xml:space="preserve"> </w:t>
      </w:r>
      <w:r>
        <w:t>47 CFR</w:t>
      </w:r>
      <w:r w:rsidRPr="00F47103">
        <w:t xml:space="preserve"> § 1.45(c).</w:t>
      </w:r>
    </w:p>
  </w:footnote>
  <w:footnote w:id="20">
    <w:p w:rsidR="003F52B7" w:rsidRPr="00F47103" w:rsidP="00591E69">
      <w:pPr>
        <w:pStyle w:val="FootnoteText"/>
        <w:spacing w:after="120"/>
        <w:ind w:firstLine="0"/>
      </w:pPr>
      <w:r w:rsidRPr="00F47103">
        <w:rPr>
          <w:rStyle w:val="FootnoteReference"/>
        </w:rPr>
        <w:footnoteRef/>
      </w:r>
      <w:r w:rsidRPr="00F47103">
        <w:t xml:space="preserve"> </w:t>
      </w:r>
      <w:r w:rsidRPr="00F47103">
        <w:rPr>
          <w:i/>
        </w:rPr>
        <w:t>See id</w:t>
      </w:r>
      <w:r w:rsidRPr="00F47103">
        <w:t>. §§ 1.46(a) and 73.3584(e).</w:t>
      </w:r>
    </w:p>
  </w:footnote>
  <w:footnote w:id="21">
    <w:p w:rsidR="00025D67" w:rsidP="00216E48">
      <w:pPr>
        <w:pStyle w:val="FootnoteText"/>
        <w:ind w:firstLine="0"/>
      </w:pPr>
      <w:r>
        <w:rPr>
          <w:rStyle w:val="FootnoteReference"/>
        </w:rPr>
        <w:footnoteRef/>
      </w:r>
      <w:r>
        <w:t xml:space="preserve"> </w:t>
      </w:r>
      <w:r w:rsidRPr="002207A9">
        <w:t>We remind</w:t>
      </w:r>
      <w:r>
        <w:t xml:space="preserve"> interested</w:t>
      </w:r>
      <w:r w:rsidRPr="002207A9">
        <w:t xml:space="preserve"> parties seeking to make </w:t>
      </w:r>
      <w:r w:rsidRPr="002207A9">
        <w:rPr>
          <w:i/>
        </w:rPr>
        <w:t xml:space="preserve">ex </w:t>
      </w:r>
      <w:r w:rsidRPr="002207A9">
        <w:rPr>
          <w:i/>
        </w:rPr>
        <w:t>parte</w:t>
      </w:r>
      <w:r w:rsidRPr="002207A9">
        <w:rPr>
          <w:i/>
        </w:rPr>
        <w:t xml:space="preserve"> </w:t>
      </w:r>
      <w:r w:rsidRPr="002207A9">
        <w:t xml:space="preserve">presentations </w:t>
      </w:r>
      <w:r>
        <w:t>to</w:t>
      </w:r>
      <w:r w:rsidRPr="002207A9">
        <w:t xml:space="preserve"> refer to the </w:t>
      </w:r>
      <w:r w:rsidRPr="00916273">
        <w:rPr>
          <w:i/>
        </w:rPr>
        <w:t xml:space="preserve">July </w:t>
      </w:r>
      <w:r>
        <w:rPr>
          <w:i/>
        </w:rPr>
        <w:t xml:space="preserve">2017 </w:t>
      </w:r>
      <w:r w:rsidRPr="00916273">
        <w:rPr>
          <w:i/>
        </w:rPr>
        <w:t>Public Notice</w:t>
      </w:r>
      <w:r w:rsidRPr="002207A9">
        <w:t xml:space="preserve"> for instructions.</w:t>
      </w:r>
      <w:r>
        <w:t xml:space="preserve">  We further remind interested parties that filings in this proceeding are to subject a protective order.  </w:t>
      </w:r>
      <w:r>
        <w:rPr>
          <w:rFonts w:ascii="Arial" w:hAnsi="Arial" w:cs="Arial"/>
          <w:color w:val="212121"/>
          <w:szCs w:val="24"/>
        </w:rPr>
        <w:t xml:space="preserve"> </w:t>
      </w:r>
      <w:r w:rsidRPr="00610D8C">
        <w:rPr>
          <w:i/>
          <w:iCs/>
          <w:color w:val="212121"/>
        </w:rPr>
        <w:t>In the Matter of Tribune Media Co. (Transferor) &amp; Sinclair Broad. Grp., Inc. (Transferee)</w:t>
      </w:r>
      <w:r w:rsidRPr="00610D8C">
        <w:rPr>
          <w:color w:val="212121"/>
        </w:rPr>
        <w:t>, DA</w:t>
      </w:r>
      <w:r w:rsidR="009C70CA">
        <w:rPr>
          <w:color w:val="212121"/>
        </w:rPr>
        <w:t xml:space="preserve"> </w:t>
      </w:r>
      <w:r w:rsidRPr="00610D8C">
        <w:rPr>
          <w:color w:val="212121"/>
        </w:rPr>
        <w:t>17-730</w:t>
      </w:r>
      <w:r w:rsidRPr="00091160">
        <w:rPr>
          <w:color w:val="212121"/>
        </w:rPr>
        <w:t xml:space="preserve"> (Med. Bur.</w:t>
      </w:r>
      <w:r w:rsidRPr="00610D8C">
        <w:rPr>
          <w:color w:val="212121"/>
        </w:rPr>
        <w:t xml:space="preserve"> Aug. 3,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DE4" w:rsidP="008D3DE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Pr>
        <w:rFonts w:ascii="News Gothic MT" w:hAnsi="News Gothic MT"/>
        <w:b/>
        <w:noProof/>
      </w:rPr>
      <w:pict>
        <v:shapetype id="_x0000_t202" coordsize="21600,21600" o:spt="202" path="m,l,21600r21600,l21600,xe">
          <v:stroke joinstyle="miter"/>
          <v:path gradientshapeok="t" o:connecttype="rect"/>
        </v:shapetype>
        <v:shape id="_x0000_s2051" type="#_x0000_t202" style="width:244.8pt;height:50.4pt;margin-top:57.6pt;margin-left:47.6pt;position:absolute;z-index:251659264" o:allowincell="f" stroked="f">
          <v:textbox>
            <w:txbxContent>
              <w:p w:rsidR="008D3DE4" w:rsidP="008D3DE4">
                <w:pPr>
                  <w:rPr>
                    <w:rFonts w:ascii="Arial" w:hAnsi="Arial"/>
                    <w:b/>
                  </w:rPr>
                </w:pPr>
                <w:r>
                  <w:rPr>
                    <w:rFonts w:ascii="Arial" w:hAnsi="Arial"/>
                    <w:b/>
                  </w:rPr>
                  <w:t>Federal Communications Commission</w:t>
                </w:r>
              </w:p>
              <w:p w:rsidR="008D3DE4" w:rsidP="008D3DE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D3DE4" w:rsidP="008D3DE4">
                <w:pPr>
                  <w:rPr>
                    <w:rFonts w:ascii="Arial" w:hAnsi="Arial"/>
                  </w:rPr>
                </w:pPr>
                <w:r>
                  <w:rPr>
                    <w:rFonts w:ascii="Arial" w:hAnsi="Arial"/>
                    <w:b/>
                  </w:rPr>
                  <w:t>Washington, D.C. 20554</w:t>
                </w:r>
              </w:p>
            </w:txbxContent>
          </v:textbox>
        </v:shape>
      </w:pict>
    </w:r>
    <w:r>
      <w:rPr>
        <w:rFonts w:ascii="News Gothic MT" w:hAnsi="News Gothic MT"/>
        <w:b/>
        <w:kern w:val="28"/>
        <w:sz w:val="96"/>
      </w:rPr>
      <w:t>PUBLIC NOTICE</w:t>
    </w:r>
  </w:p>
  <w:p w:rsidR="008D3DE4" w:rsidP="008D3DE4">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rPr>
      <w:pict>
        <v:shape id="_x0000_s2052" type="#_x0000_t202" style="width:189.95pt;height:43.2pt;margin-top:6pt;margin-left:283.05pt;position:absolute;z-index:251661312" stroked="f">
          <v:textbox inset=",0,,0">
            <w:txbxContent>
              <w:p w:rsidR="008D3DE4" w:rsidP="008D3DE4">
                <w:pPr>
                  <w:spacing w:before="40"/>
                  <w:jc w:val="right"/>
                  <w:rPr>
                    <w:rFonts w:ascii="Arial" w:hAnsi="Arial"/>
                    <w:b/>
                    <w:sz w:val="16"/>
                  </w:rPr>
                </w:pPr>
                <w:r>
                  <w:rPr>
                    <w:rFonts w:ascii="Arial" w:hAnsi="Arial"/>
                    <w:b/>
                    <w:sz w:val="16"/>
                  </w:rPr>
                  <w:t>News Media Information 202 / 418-0500</w:t>
                </w:r>
              </w:p>
              <w:p w:rsidR="008D3DE4" w:rsidP="008D3DE4">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8D3DE4" w:rsidP="008D3DE4">
                <w:pPr>
                  <w:jc w:val="right"/>
                  <w:rPr>
                    <w:rFonts w:ascii="Arial" w:hAnsi="Arial"/>
                    <w:b/>
                    <w:sz w:val="16"/>
                  </w:rPr>
                </w:pPr>
                <w:r>
                  <w:rPr>
                    <w:rFonts w:ascii="Arial" w:hAnsi="Arial"/>
                    <w:b/>
                    <w:sz w:val="16"/>
                  </w:rPr>
                  <w:t>TTY: 1-888-835-5322</w:t>
                </w:r>
              </w:p>
              <w:p w:rsidR="008D3DE4" w:rsidP="008D3DE4">
                <w:pPr>
                  <w:jc w:val="right"/>
                </w:pPr>
              </w:p>
            </w:txbxContent>
          </v:textbox>
        </v:shape>
      </w:pict>
    </w:r>
  </w:p>
  <w:p w:rsidR="008D3DE4" w:rsidP="008D3DE4">
    <w:pPr>
      <w:pStyle w:val="Header"/>
      <w:tabs>
        <w:tab w:val="left" w:pos="1080"/>
        <w:tab w:val="clear" w:pos="4320"/>
        <w:tab w:val="clear" w:pos="8640"/>
      </w:tabs>
      <w:ind w:left="720"/>
      <w:rPr>
        <w:rFonts w:ascii="Arial" w:hAnsi="Arial"/>
        <w:b/>
      </w:rPr>
    </w:pPr>
    <w:r>
      <w:rPr>
        <w:rFonts w:ascii="Arial" w:hAnsi="Arial"/>
        <w:b/>
        <w:noProof/>
      </w:rPr>
      <w:pict>
        <v:line id="_x0000_s2053" style="position:absolute;z-index:251660288" from="-4.95pt,4pt" to="472.05pt,4pt"/>
      </w:pict>
    </w:r>
  </w:p>
  <w:p w:rsidR="008D3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00FE8EF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A8105EF"/>
    <w:multiLevelType w:val="multilevel"/>
    <w:tmpl w:val="ADE82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4DCCE696"/>
    <w:lvl w:ilvl="0">
      <w:start w:val="1"/>
      <w:numFmt w:val="decimal"/>
      <w:pStyle w:val="ParaNum"/>
      <w:lvlText w:val="%1."/>
      <w:lvlJc w:val="left"/>
      <w:pPr>
        <w:tabs>
          <w:tab w:val="num" w:pos="810"/>
        </w:tabs>
        <w:ind w:left="-27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43E0289D"/>
    <w:multiLevelType w:val="hybridMultilevel"/>
    <w:tmpl w:val="E8025A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5543355"/>
    <w:multiLevelType w:val="hybridMultilevel"/>
    <w:tmpl w:val="C6B24A1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5"/>
  </w:num>
  <w:num w:numId="2">
    <w:abstractNumId w:val="6"/>
  </w:num>
  <w:num w:numId="3">
    <w:abstractNumId w:val="1"/>
  </w:num>
  <w:num w:numId="4">
    <w:abstractNumId w:val="7"/>
  </w:num>
  <w:num w:numId="5">
    <w:abstractNumId w:val="8"/>
  </w:num>
  <w:num w:numId="6">
    <w:abstractNumId w:val="9"/>
  </w:num>
  <w:num w:numId="7">
    <w:abstractNumId w:val="4"/>
  </w:num>
  <w:num w:numId="8">
    <w:abstractNumId w:val="3"/>
  </w:num>
  <w:num w:numId="9">
    <w:abstractNumId w:val="2"/>
    <w:lvlOverride w:ilvl="0"/>
    <w:lvlOverride w:ilvl="1"/>
    <w:lvlOverride w:ilvl="2"/>
    <w:lvlOverride w:ilvl="3"/>
    <w:lvlOverride w:ilvl="4"/>
    <w:lvlOverride w:ilvl="5"/>
    <w:lvlOverride w:ilvl="6"/>
    <w:lvlOverride w:ilvl="7"/>
    <w:lvlOverride w:ilv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sz w:val="22"/>
    </w:rPr>
  </w:style>
  <w:style w:type="paragraph" w:styleId="Heading2">
    <w:name w:val="heading 2"/>
    <w:basedOn w:val="Normal"/>
    <w:next w:val="Normal"/>
    <w:qFormat/>
    <w:pPr>
      <w:keepNext/>
      <w:tabs>
        <w:tab w:val="left" w:pos="-720"/>
      </w:tabs>
      <w:suppressAutoHyphens/>
      <w:jc w:val="center"/>
      <w:outlineLvl w:val="1"/>
    </w:pPr>
    <w:rPr>
      <w:b/>
    </w:rPr>
  </w:style>
  <w:style w:type="paragraph" w:styleId="Heading3">
    <w:name w:val="heading 3"/>
    <w:basedOn w:val="Normal"/>
    <w:next w:val="Normal"/>
    <w:qFormat/>
    <w:pPr>
      <w:keepNext/>
      <w:tabs>
        <w:tab w:val="left" w:pos="-2880"/>
      </w:tabs>
      <w:suppressAutoHyphens/>
      <w:spacing w:after="240"/>
      <w:jc w:val="center"/>
      <w:outlineLvl w:val="2"/>
    </w:pPr>
    <w:rPr>
      <w:b/>
      <w:sz w:val="40"/>
    </w:rPr>
  </w:style>
  <w:style w:type="paragraph" w:styleId="Heading4">
    <w:name w:val="heading 4"/>
    <w:basedOn w:val="Normal"/>
    <w:next w:val="Normal"/>
    <w:qFormat/>
    <w:pPr>
      <w:keepNext/>
      <w:tabs>
        <w:tab w:val="left" w:pos="1"/>
        <w:tab w:val="right" w:pos="9360"/>
      </w:tabs>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NECG) Footnote Reference,Appel note de bas de p,FR,Style 12,Style 124,Style 17,Style 3,fr,o"/>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autoRedefine/>
    <w:semiHidden/>
    <w:pPr>
      <w:widowControl w:val="0"/>
      <w:tabs>
        <w:tab w:val="left" w:pos="-2790"/>
      </w:tabs>
      <w:suppressAutoHyphens/>
      <w:spacing w:after="200"/>
      <w:ind w:firstLine="720"/>
    </w:pPr>
    <w:rPr>
      <w:snapToGrid w:val="0"/>
      <w:color w:val="000000"/>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w:hAnsi="Times New"/>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i/>
    </w:rPr>
  </w:style>
  <w:style w:type="paragraph" w:customStyle="1" w:styleId="Normal121">
    <w:name w:val="Normal 121"/>
    <w:basedOn w:val="Normal"/>
    <w:pPr>
      <w:ind w:firstLine="720"/>
    </w:pPr>
  </w:style>
  <w:style w:type="paragraph" w:customStyle="1" w:styleId="Table12">
    <w:name w:val="Table 12"/>
    <w:basedOn w:val="Normal"/>
    <w:pPr>
      <w:tabs>
        <w:tab w:val="left" w:pos="2880"/>
      </w:tabs>
      <w:ind w:left="2880" w:hanging="2160"/>
    </w:pPr>
  </w:style>
  <w:style w:type="paragraph" w:customStyle="1" w:styleId="Normal12">
    <w:name w:val="Normal 12"/>
    <w:basedOn w:val="Normal"/>
    <w:pPr>
      <w:ind w:firstLine="720"/>
    </w:pPr>
  </w:style>
  <w:style w:type="paragraph" w:customStyle="1" w:styleId="Blockquote12">
    <w:name w:val="Blockquote 12"/>
    <w:basedOn w:val="Normal"/>
    <w:autoRedefine/>
    <w:pPr>
      <w:ind w:left="720" w:right="810"/>
    </w:pPr>
  </w:style>
  <w:style w:type="paragraph" w:styleId="EndnoteText">
    <w:name w:val="endnote text"/>
    <w:basedOn w:val="Normal"/>
    <w:semiHidden/>
    <w:pPr>
      <w:widowControl w:val="0"/>
    </w:pPr>
    <w:rPr>
      <w:snapToGrid w:val="0"/>
    </w:rPr>
  </w:style>
  <w:style w:type="character" w:customStyle="1" w:styleId="a">
    <w:name w:val="_"/>
    <w:basedOn w:val="DefaultParagraphFont"/>
  </w:style>
  <w:style w:type="paragraph" w:customStyle="1" w:styleId="Style0">
    <w:name w:val="Style0"/>
    <w:rPr>
      <w:rFonts w:ascii="Arial" w:hAnsi="Arial"/>
      <w:snapToGrid w:val="0"/>
      <w:sz w:val="24"/>
    </w:rPr>
  </w:style>
  <w:style w:type="paragraph" w:styleId="BodyTextIndent">
    <w:name w:val="Body Text Indent"/>
    <w:basedOn w:val="Normal"/>
    <w:pPr>
      <w:tabs>
        <w:tab w:val="left" w:pos="-1440"/>
      </w:tabs>
      <w:ind w:left="720"/>
    </w:pPr>
    <w:rPr>
      <w:snapToGrid w:val="0"/>
    </w:rPr>
  </w:style>
  <w:style w:type="character" w:styleId="PageNumber">
    <w:name w:val="page number"/>
    <w:basedOn w:val="DefaultParagraphFont"/>
  </w:style>
  <w:style w:type="paragraph" w:styleId="BalloonText">
    <w:name w:val="Balloon Text"/>
    <w:basedOn w:val="Normal"/>
    <w:semiHidden/>
    <w:rsid w:val="00BE3089"/>
    <w:rPr>
      <w:rFonts w:ascii="Tahoma" w:hAnsi="Tahoma" w:cs="Tahoma"/>
      <w:sz w:val="16"/>
      <w:szCs w:val="16"/>
    </w:rPr>
  </w:style>
  <w:style w:type="table" w:styleId="TableGrid">
    <w:name w:val="Table Grid"/>
    <w:basedOn w:val="TableNormal"/>
    <w:rsid w:val="00F9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rsid w:val="005F4D66"/>
    <w:pPr>
      <w:widowControl w:val="0"/>
      <w:numPr>
        <w:numId w:val="1"/>
      </w:numPr>
      <w:tabs>
        <w:tab w:val="left" w:pos="1440"/>
      </w:tabs>
      <w:spacing w:after="220"/>
      <w:jc w:val="both"/>
    </w:pPr>
    <w:rPr>
      <w:sz w:val="22"/>
    </w:rPr>
  </w:style>
  <w:style w:type="character" w:styleId="CommentReference">
    <w:name w:val="annotation reference"/>
    <w:rsid w:val="00FB09F9"/>
    <w:rPr>
      <w:sz w:val="16"/>
      <w:szCs w:val="16"/>
    </w:rPr>
  </w:style>
  <w:style w:type="paragraph" w:styleId="CommentText">
    <w:name w:val="annotation text"/>
    <w:basedOn w:val="Normal"/>
    <w:link w:val="CommentTextChar"/>
    <w:rsid w:val="00FB09F9"/>
    <w:rPr>
      <w:sz w:val="20"/>
    </w:rPr>
  </w:style>
  <w:style w:type="character" w:customStyle="1" w:styleId="CommentTextChar">
    <w:name w:val="Comment Text Char"/>
    <w:basedOn w:val="DefaultParagraphFont"/>
    <w:link w:val="CommentText"/>
    <w:rsid w:val="00FB09F9"/>
  </w:style>
  <w:style w:type="paragraph" w:styleId="CommentSubject">
    <w:name w:val="annotation subject"/>
    <w:basedOn w:val="CommentText"/>
    <w:next w:val="CommentText"/>
    <w:link w:val="CommentSubjectChar"/>
    <w:rsid w:val="00FB09F9"/>
    <w:rPr>
      <w:b/>
      <w:bCs/>
    </w:rPr>
  </w:style>
  <w:style w:type="character" w:customStyle="1" w:styleId="CommentSubjectChar">
    <w:name w:val="Comment Subject Char"/>
    <w:link w:val="CommentSubject"/>
    <w:rsid w:val="00FB09F9"/>
    <w:rPr>
      <w:b/>
      <w:bCs/>
    </w:rPr>
  </w:style>
  <w:style w:type="character" w:customStyle="1" w:styleId="FootnoteTextChar1">
    <w:name w:val="Footnote Text Char1"/>
    <w:aliases w:val="ALTS FOOTNOTE Char Char,ALTS FOOTNOTE Char1,Footnote Text Char Char Char Char,Footnote Text Char1 Char Char,Footnote Text Char1 Char1 Char Char Char Char,Footnote Text Char2 Char Char Char Char,f Char,fn Char Char,fn Char1"/>
    <w:link w:val="FootnoteText"/>
    <w:semiHidden/>
    <w:rsid w:val="003F52B7"/>
    <w:rPr>
      <w:snapToGrid w:val="0"/>
      <w:color w:val="000000"/>
    </w:rPr>
  </w:style>
  <w:style w:type="paragraph" w:styleId="MediumGrid1Accent2">
    <w:name w:val="Medium Grid 1 Accent 2"/>
    <w:basedOn w:val="Normal"/>
    <w:uiPriority w:val="34"/>
    <w:qFormat/>
    <w:rsid w:val="003F52B7"/>
    <w:pPr>
      <w:ind w:left="720"/>
    </w:pPr>
  </w:style>
  <w:style w:type="paragraph" w:customStyle="1" w:styleId="xmsonormal">
    <w:name w:val="x_msonormal"/>
    <w:basedOn w:val="Normal"/>
    <w:rsid w:val="000F5576"/>
    <w:rPr>
      <w:rFonts w:ascii="Calibri" w:eastAsia="Calibri" w:hAnsi="Calibri" w:cs="Calibri"/>
      <w:sz w:val="22"/>
      <w:szCs w:val="22"/>
    </w:rPr>
  </w:style>
  <w:style w:type="character" w:customStyle="1" w:styleId="UnresolvedMention">
    <w:name w:val="Unresolved Mention"/>
    <w:uiPriority w:val="99"/>
    <w:semiHidden/>
    <w:unhideWhenUsed/>
    <w:rsid w:val="00BD2E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