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554B9">
      <w:pPr>
        <w:widowControl/>
        <w:jc w:val="center"/>
        <w:rPr>
          <w:b/>
        </w:rPr>
      </w:pPr>
      <w:r>
        <w:rPr>
          <w:b/>
        </w:rPr>
        <w:t>Before the</w:t>
      </w:r>
    </w:p>
    <w:p w:rsidR="006554B9">
      <w:pPr>
        <w:widowControl/>
        <w:jc w:val="center"/>
        <w:rPr>
          <w:b/>
        </w:rPr>
      </w:pPr>
      <w:r>
        <w:rPr>
          <w:b/>
        </w:rPr>
        <w:t>Federal Communications Commission</w:t>
      </w:r>
    </w:p>
    <w:p w:rsidR="006554B9">
      <w:pPr>
        <w:widowControl/>
        <w:jc w:val="center"/>
        <w:rPr>
          <w:b/>
        </w:rPr>
      </w:pPr>
      <w:r>
        <w:rPr>
          <w:b/>
        </w:rPr>
        <w:t>Washington, D.C. 20554</w:t>
      </w:r>
    </w:p>
    <w:p w:rsidR="006554B9">
      <w:pPr>
        <w:widowControl/>
      </w:pPr>
    </w:p>
    <w:tbl>
      <w:tblPr>
        <w:tblW w:w="0" w:type="auto"/>
        <w:tblInd w:w="-162" w:type="dxa"/>
        <w:tblLayout w:type="fixed"/>
        <w:tblCellMar>
          <w:top w:w="0" w:type="dxa"/>
          <w:bottom w:w="0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-162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4698" w:type="dxa"/>
          </w:tcPr>
          <w:p w:rsidR="006554B9">
            <w:pPr>
              <w:widowControl/>
              <w:ind w:right="-18"/>
            </w:pPr>
            <w:r>
              <w:t>In the Matter of</w:t>
            </w:r>
          </w:p>
          <w:p w:rsidR="006554B9">
            <w:pPr>
              <w:widowControl/>
              <w:ind w:right="-18"/>
            </w:pPr>
          </w:p>
          <w:p w:rsidR="006554B9">
            <w:pPr>
              <w:widowControl/>
            </w:pPr>
            <w:r>
              <w:t>ZAYNE G. STITES</w:t>
            </w:r>
          </w:p>
          <w:p w:rsidR="006554B9">
            <w:pPr>
              <w:widowControl/>
            </w:pPr>
          </w:p>
          <w:p w:rsidR="006554B9">
            <w:pPr>
              <w:widowControl/>
            </w:pPr>
            <w:r>
              <w:t xml:space="preserve">Licensee of Amateur Service Station </w:t>
            </w:r>
            <w:bookmarkStart w:id="0" w:name="_Hlk514675099"/>
            <w:r>
              <w:t>KI</w:t>
            </w:r>
            <w:r w:rsidR="00C127F1">
              <w:t>7JFD</w:t>
            </w:r>
            <w:bookmarkEnd w:id="0"/>
          </w:p>
        </w:tc>
        <w:tc>
          <w:tcPr>
            <w:tcW w:w="720" w:type="dxa"/>
          </w:tcPr>
          <w:p w:rsidR="006554B9">
            <w:pPr>
              <w:widowControl/>
              <w:rPr>
                <w:b/>
              </w:rPr>
            </w:pPr>
            <w:r>
              <w:rPr>
                <w:b/>
              </w:rPr>
              <w:t>)</w:t>
            </w:r>
          </w:p>
          <w:p w:rsidR="006554B9">
            <w:pPr>
              <w:widowControl/>
              <w:rPr>
                <w:b/>
              </w:rPr>
            </w:pPr>
            <w:r>
              <w:rPr>
                <w:b/>
              </w:rPr>
              <w:t>)</w:t>
            </w:r>
          </w:p>
          <w:p w:rsidR="006554B9">
            <w:pPr>
              <w:widowControl/>
              <w:rPr>
                <w:b/>
              </w:rPr>
            </w:pPr>
            <w:r>
              <w:rPr>
                <w:b/>
              </w:rPr>
              <w:t>)</w:t>
            </w:r>
          </w:p>
          <w:p w:rsidR="006554B9">
            <w:pPr>
              <w:widowControl/>
              <w:rPr>
                <w:b/>
              </w:rPr>
            </w:pPr>
            <w:r>
              <w:rPr>
                <w:b/>
              </w:rPr>
              <w:t>)</w:t>
            </w:r>
          </w:p>
          <w:p w:rsidR="006554B9">
            <w:pPr>
              <w:widowControl/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6554B9">
            <w:pPr>
              <w:widowControl/>
            </w:pPr>
          </w:p>
          <w:p w:rsidR="006554B9">
            <w:pPr>
              <w:widowControl/>
            </w:pPr>
          </w:p>
          <w:p w:rsidR="006554B9">
            <w:pPr>
              <w:widowControl/>
            </w:pPr>
          </w:p>
          <w:p w:rsidR="006554B9">
            <w:pPr>
              <w:widowControl/>
            </w:pPr>
          </w:p>
        </w:tc>
      </w:tr>
    </w:tbl>
    <w:p w:rsidR="006554B9">
      <w:pPr>
        <w:widowControl/>
        <w:jc w:val="center"/>
        <w:rPr>
          <w:b/>
        </w:rPr>
      </w:pPr>
    </w:p>
    <w:p w:rsidR="006554B9">
      <w:pPr>
        <w:widowControl/>
        <w:jc w:val="center"/>
        <w:rPr>
          <w:b/>
        </w:rPr>
      </w:pPr>
      <w:r>
        <w:rPr>
          <w:b/>
        </w:rPr>
        <w:t>ORDER OF MODIFICATION</w:t>
      </w:r>
    </w:p>
    <w:p w:rsidR="006554B9">
      <w:pPr>
        <w:widowControl/>
        <w:jc w:val="center"/>
      </w:pPr>
    </w:p>
    <w:p w:rsidR="006554B9">
      <w:pPr>
        <w:widowControl/>
        <w:tabs>
          <w:tab w:val="left" w:pos="5760"/>
        </w:tabs>
        <w:rPr>
          <w:b/>
        </w:rPr>
      </w:pPr>
      <w:r>
        <w:rPr>
          <w:b/>
        </w:rPr>
        <w:t xml:space="preserve">   Adopted:  </w:t>
      </w:r>
      <w:r w:rsidR="005D7121">
        <w:rPr>
          <w:b/>
        </w:rPr>
        <w:t>May 21</w:t>
      </w:r>
      <w:r>
        <w:rPr>
          <w:b/>
        </w:rPr>
        <w:t>, 201</w:t>
      </w:r>
      <w:r w:rsidR="00C127F1">
        <w:rPr>
          <w:b/>
        </w:rPr>
        <w:t>8</w:t>
      </w:r>
      <w:r>
        <w:rPr>
          <w:b/>
        </w:rPr>
        <w:tab/>
      </w:r>
      <w:r>
        <w:rPr>
          <w:b/>
        </w:rPr>
        <w:tab/>
        <w:t xml:space="preserve">Released:  </w:t>
      </w:r>
      <w:r w:rsidR="005D7121">
        <w:rPr>
          <w:b/>
        </w:rPr>
        <w:t>May 22</w:t>
      </w:r>
      <w:r w:rsidR="00C127F1">
        <w:rPr>
          <w:b/>
        </w:rPr>
        <w:t>, 2018</w:t>
      </w:r>
    </w:p>
    <w:p w:rsidR="006554B9">
      <w:pPr>
        <w:widowControl/>
        <w:tabs>
          <w:tab w:val="left" w:pos="5760"/>
        </w:tabs>
      </w:pPr>
    </w:p>
    <w:p w:rsidR="006554B9">
      <w:pPr>
        <w:widowControl/>
        <w:tabs>
          <w:tab w:val="left" w:pos="5760"/>
        </w:tabs>
        <w:jc w:val="left"/>
      </w:pPr>
      <w:r>
        <w:t>By the Deputy Chief, Mobility Division, Wireless Telecommunications Bureau:</w:t>
      </w:r>
    </w:p>
    <w:p w:rsidR="006554B9">
      <w:pPr>
        <w:widowControl/>
        <w:jc w:val="left"/>
        <w:rPr>
          <w:b/>
        </w:rPr>
      </w:pPr>
    </w:p>
    <w:p w:rsidR="006554B9">
      <w:pPr>
        <w:widowControl/>
        <w:numPr>
          <w:ilvl w:val="0"/>
          <w:numId w:val="33"/>
        </w:numPr>
        <w:jc w:val="left"/>
      </w:pPr>
      <w:r>
        <w:rPr>
          <w:i/>
        </w:rPr>
        <w:t xml:space="preserve">Introduction.  </w:t>
      </w:r>
      <w:r>
        <w:t xml:space="preserve">In this </w:t>
      </w:r>
      <w:r>
        <w:rPr>
          <w:i/>
        </w:rPr>
        <w:t>Order of Modification</w:t>
      </w:r>
      <w:r>
        <w:t xml:space="preserve">, we modify the operator privileges of </w:t>
      </w:r>
      <w:r w:rsidR="00C127F1">
        <w:t>Zayne G. Stites (Stites</w:t>
      </w:r>
      <w:r>
        <w:t xml:space="preserve">), licensee of Amateur Radio Service Station </w:t>
      </w:r>
      <w:r w:rsidR="00C127F1">
        <w:t>KI7JFD</w:t>
      </w:r>
      <w:r>
        <w:t xml:space="preserve">, by replacing </w:t>
      </w:r>
      <w:r w:rsidR="00C127F1">
        <w:t>General</w:t>
      </w:r>
      <w:r>
        <w:t xml:space="preserve"> Class operator privileges with </w:t>
      </w:r>
      <w:r w:rsidR="00C127F1">
        <w:t>Technician</w:t>
      </w:r>
      <w:r>
        <w:t xml:space="preserve"> Class operator privileges.  </w:t>
      </w:r>
      <w:r>
        <w:rPr>
          <w:snapToGrid/>
          <w:kern w:val="0"/>
        </w:rPr>
        <w:t>As explained below, we take this action pursuant to an earlier order proposing to modify St</w:t>
      </w:r>
      <w:r w:rsidR="00C127F1">
        <w:rPr>
          <w:snapToGrid/>
          <w:kern w:val="0"/>
        </w:rPr>
        <w:t>it</w:t>
      </w:r>
      <w:r>
        <w:rPr>
          <w:snapToGrid/>
          <w:kern w:val="0"/>
        </w:rPr>
        <w:t>e</w:t>
      </w:r>
      <w:r w:rsidR="00C127F1">
        <w:rPr>
          <w:snapToGrid/>
          <w:kern w:val="0"/>
        </w:rPr>
        <w:t>s</w:t>
      </w:r>
      <w:r>
        <w:rPr>
          <w:snapToGrid/>
          <w:kern w:val="0"/>
        </w:rPr>
        <w:t>’s license.</w:t>
      </w:r>
      <w:r>
        <w:rPr>
          <w:snapToGrid/>
          <w:kern w:val="0"/>
          <w:vertAlign w:val="superscript"/>
        </w:rPr>
        <w:footnoteReference w:id="3"/>
      </w:r>
    </w:p>
    <w:p w:rsidR="006554B9">
      <w:pPr>
        <w:widowControl/>
        <w:jc w:val="left"/>
      </w:pPr>
    </w:p>
    <w:p w:rsidR="006554B9">
      <w:pPr>
        <w:widowControl/>
        <w:numPr>
          <w:ilvl w:val="0"/>
          <w:numId w:val="33"/>
        </w:numPr>
        <w:jc w:val="left"/>
      </w:pPr>
      <w:r>
        <w:rPr>
          <w:i/>
        </w:rPr>
        <w:t xml:space="preserve">Background.  </w:t>
      </w:r>
      <w:r>
        <w:t xml:space="preserve">On </w:t>
      </w:r>
      <w:r w:rsidR="00C127F1">
        <w:t>March 7</w:t>
      </w:r>
      <w:r>
        <w:t xml:space="preserve">, 2017, the </w:t>
      </w:r>
      <w:r w:rsidR="00C127F1">
        <w:t>American Radio Relay League</w:t>
      </w:r>
      <w:r>
        <w:t xml:space="preserve"> Volunteer-Examiner Coordinator (</w:t>
      </w:r>
      <w:r w:rsidR="00C127F1">
        <w:t>ARRL</w:t>
      </w:r>
      <w:r>
        <w:t xml:space="preserve"> VEC) sent an electronic data file to the Commission requesting that St</w:t>
      </w:r>
      <w:r w:rsidR="00C127F1">
        <w:t>it</w:t>
      </w:r>
      <w:r>
        <w:t>e</w:t>
      </w:r>
      <w:r w:rsidR="00C127F1">
        <w:t>s</w:t>
      </w:r>
      <w:r>
        <w:t xml:space="preserve">’s operator license for amateur Station </w:t>
      </w:r>
      <w:r w:rsidR="00C127F1">
        <w:t xml:space="preserve">KI7JFD </w:t>
      </w:r>
      <w:r>
        <w:t xml:space="preserve">be modified to upgrade from </w:t>
      </w:r>
      <w:r w:rsidR="00C127F1">
        <w:t xml:space="preserve">Technician Class to </w:t>
      </w:r>
      <w:r>
        <w:t>General Class amateur radio operator privileges.</w:t>
      </w:r>
      <w:r>
        <w:rPr>
          <w:rStyle w:val="FootnoteReference"/>
        </w:rPr>
        <w:footnoteReference w:id="4"/>
      </w:r>
      <w:r>
        <w:t xml:space="preserve">  Based on this application, the Commission granted St</w:t>
      </w:r>
      <w:r w:rsidR="00C127F1">
        <w:t>it</w:t>
      </w:r>
      <w:r>
        <w:t>e</w:t>
      </w:r>
      <w:r w:rsidR="00C127F1">
        <w:t>s</w:t>
      </w:r>
      <w:r>
        <w:t xml:space="preserve"> a</w:t>
      </w:r>
      <w:r w:rsidR="00C127F1">
        <w:t xml:space="preserve"> General </w:t>
      </w:r>
      <w:r>
        <w:t xml:space="preserve">n Class amateur service operator license on </w:t>
      </w:r>
      <w:r w:rsidR="00C127F1">
        <w:t>March 7</w:t>
      </w:r>
      <w:r>
        <w:t>, 2017.  This license authorizes St</w:t>
      </w:r>
      <w:r w:rsidR="00C127F1">
        <w:t>ites</w:t>
      </w:r>
      <w:r>
        <w:t xml:space="preserve"> to be the control operator of an amateur station transmitting on frequency bands authorized b</w:t>
      </w:r>
      <w:r w:rsidR="00C127F1">
        <w:t>y section 97.301(d</w:t>
      </w:r>
      <w:r>
        <w:t>) of our rules.</w:t>
      </w:r>
      <w:r>
        <w:rPr>
          <w:rStyle w:val="FootnoteReference"/>
        </w:rPr>
        <w:footnoteReference w:id="5"/>
      </w:r>
      <w:r>
        <w:t xml:space="preserve">  </w:t>
      </w:r>
    </w:p>
    <w:p w:rsidR="006554B9">
      <w:pPr>
        <w:widowControl/>
        <w:jc w:val="left"/>
      </w:pPr>
    </w:p>
    <w:p w:rsidR="006554B9">
      <w:pPr>
        <w:widowControl/>
        <w:numPr>
          <w:ilvl w:val="0"/>
          <w:numId w:val="33"/>
        </w:numPr>
        <w:tabs>
          <w:tab w:val="left" w:pos="1440"/>
        </w:tabs>
        <w:jc w:val="left"/>
      </w:pPr>
      <w:r>
        <w:t>By correspondence dated April 11, 2018, ARRL VEC</w:t>
      </w:r>
      <w:r>
        <w:t xml:space="preserve"> notified the Commission that it had made an error in the </w:t>
      </w:r>
      <w:r>
        <w:t>March 7</w:t>
      </w:r>
      <w:r>
        <w:t>, 2017, data file and that St</w:t>
      </w:r>
      <w:r>
        <w:t>ites</w:t>
      </w:r>
      <w:r>
        <w:t xml:space="preserve"> had not qualified for a</w:t>
      </w:r>
      <w:r>
        <w:t xml:space="preserve"> General</w:t>
      </w:r>
      <w:r>
        <w:t xml:space="preserve"> Class operator license.</w:t>
      </w:r>
      <w:r>
        <w:rPr>
          <w:rStyle w:val="FootnoteReference"/>
        </w:rPr>
        <w:footnoteReference w:id="6"/>
      </w:r>
      <w:r>
        <w:t xml:space="preserve">  Therefore, </w:t>
      </w:r>
      <w:r>
        <w:t>ARRL</w:t>
      </w:r>
      <w:r>
        <w:t xml:space="preserve"> VEC urged us to modify Studer’s license to correct the operator privileges authorized.  </w:t>
      </w:r>
      <w:r>
        <w:rPr>
          <w:snapToGrid/>
          <w:kern w:val="0"/>
        </w:rPr>
        <w:t xml:space="preserve">Consequently, we proposed to modify the license for Station </w:t>
      </w:r>
      <w:r>
        <w:t>KI7JFD</w:t>
      </w:r>
      <w:r>
        <w:t xml:space="preserve"> </w:t>
      </w:r>
      <w:r>
        <w:rPr>
          <w:snapToGrid/>
          <w:kern w:val="0"/>
        </w:rPr>
        <w:t xml:space="preserve">to show </w:t>
      </w:r>
      <w:r>
        <w:rPr>
          <w:snapToGrid/>
          <w:kern w:val="0"/>
        </w:rPr>
        <w:t>Technician</w:t>
      </w:r>
      <w:r>
        <w:rPr>
          <w:snapToGrid/>
          <w:kern w:val="0"/>
        </w:rPr>
        <w:t xml:space="preserve"> Class operator privileges.</w:t>
      </w:r>
      <w:r>
        <w:rPr>
          <w:snapToGrid/>
          <w:kern w:val="0"/>
          <w:vertAlign w:val="superscript"/>
        </w:rPr>
        <w:footnoteReference w:id="7"/>
      </w:r>
    </w:p>
    <w:p w:rsidR="006554B9">
      <w:pPr>
        <w:widowControl/>
        <w:tabs>
          <w:tab w:val="left" w:pos="1440"/>
        </w:tabs>
        <w:jc w:val="left"/>
      </w:pPr>
      <w:r>
        <w:tab/>
      </w:r>
    </w:p>
    <w:p w:rsidR="006554B9">
      <w:pPr>
        <w:widowControl/>
        <w:numPr>
          <w:ilvl w:val="0"/>
          <w:numId w:val="33"/>
        </w:numPr>
        <w:jc w:val="left"/>
      </w:pPr>
      <w:r>
        <w:rPr>
          <w:i/>
          <w:spacing w:val="-2"/>
        </w:rPr>
        <w:t>Discussion.</w:t>
      </w:r>
      <w:r>
        <w:rPr>
          <w:spacing w:val="-2"/>
        </w:rPr>
        <w:t xml:space="preserve">  </w:t>
      </w:r>
      <w:r>
        <w:rPr>
          <w:snapToGrid/>
          <w:kern w:val="0"/>
        </w:rPr>
        <w:t xml:space="preserve">The </w:t>
      </w:r>
      <w:r>
        <w:rPr>
          <w:i/>
          <w:snapToGrid/>
          <w:kern w:val="0"/>
        </w:rPr>
        <w:t>Order Proposing Modification</w:t>
      </w:r>
      <w:r>
        <w:rPr>
          <w:snapToGrid/>
          <w:kern w:val="0"/>
        </w:rPr>
        <w:t xml:space="preserve"> was released on </w:t>
      </w:r>
      <w:r w:rsidR="00C127F1">
        <w:rPr>
          <w:snapToGrid/>
          <w:kern w:val="0"/>
        </w:rPr>
        <w:t>April 12, 2018</w:t>
      </w:r>
      <w:r>
        <w:rPr>
          <w:snapToGrid/>
          <w:kern w:val="0"/>
        </w:rPr>
        <w:t xml:space="preserve">.  </w:t>
      </w:r>
      <w:r>
        <w:t>St</w:t>
      </w:r>
      <w:r w:rsidR="00C127F1">
        <w:t>ites</w:t>
      </w:r>
      <w:r>
        <w:t xml:space="preserve"> </w:t>
      </w:r>
      <w:r>
        <w:rPr>
          <w:snapToGrid/>
          <w:kern w:val="0"/>
        </w:rPr>
        <w:t>did not protest the proposed modification of his license within the requisite thi</w:t>
      </w:r>
      <w:bookmarkStart w:id="1" w:name="_GoBack"/>
      <w:bookmarkEnd w:id="1"/>
      <w:r>
        <w:rPr>
          <w:snapToGrid/>
          <w:kern w:val="0"/>
        </w:rPr>
        <w:t>rty-day time frame.</w:t>
      </w:r>
      <w:r>
        <w:rPr>
          <w:snapToGrid/>
          <w:kern w:val="0"/>
          <w:vertAlign w:val="superscript"/>
        </w:rPr>
        <w:footnoteReference w:id="8"/>
      </w:r>
      <w:r>
        <w:rPr>
          <w:snapToGrid/>
          <w:kern w:val="0"/>
        </w:rPr>
        <w:t xml:space="preserve">  Accordingly, </w:t>
      </w:r>
      <w:r>
        <w:t>St</w:t>
      </w:r>
      <w:r w:rsidR="00C127F1">
        <w:t>ites</w:t>
      </w:r>
      <w:r>
        <w:t xml:space="preserve"> </w:t>
      </w:r>
      <w:r>
        <w:rPr>
          <w:snapToGrid/>
          <w:kern w:val="0"/>
        </w:rPr>
        <w:t>is deemed to have consented to the proposed modification.</w:t>
      </w:r>
      <w:r>
        <w:rPr>
          <w:snapToGrid/>
          <w:kern w:val="0"/>
          <w:vertAlign w:val="superscript"/>
        </w:rPr>
        <w:footnoteReference w:id="9"/>
      </w:r>
      <w:r>
        <w:rPr>
          <w:snapToGrid/>
          <w:kern w:val="0"/>
        </w:rPr>
        <w:t xml:space="preserve">  Based on the record before us, we conclude that it is in the public interest to modify </w:t>
      </w:r>
      <w:r>
        <w:t>St</w:t>
      </w:r>
      <w:r w:rsidR="00C127F1">
        <w:t>ites</w:t>
      </w:r>
      <w:r>
        <w:t xml:space="preserve">’s </w:t>
      </w:r>
      <w:r>
        <w:rPr>
          <w:snapToGrid/>
          <w:kern w:val="0"/>
        </w:rPr>
        <w:t xml:space="preserve">license for Station </w:t>
      </w:r>
      <w:r w:rsidR="00C127F1">
        <w:t>KI7JFD</w:t>
      </w:r>
      <w:r w:rsidR="00C127F1">
        <w:rPr>
          <w:snapToGrid/>
          <w:kern w:val="0"/>
        </w:rPr>
        <w:t xml:space="preserve"> </w:t>
      </w:r>
      <w:r>
        <w:rPr>
          <w:snapToGrid/>
          <w:kern w:val="0"/>
        </w:rPr>
        <w:t xml:space="preserve">by replacing </w:t>
      </w:r>
      <w:r w:rsidR="00C127F1">
        <w:rPr>
          <w:snapToGrid/>
          <w:kern w:val="0"/>
        </w:rPr>
        <w:t>General</w:t>
      </w:r>
      <w:r>
        <w:rPr>
          <w:snapToGrid/>
          <w:kern w:val="0"/>
        </w:rPr>
        <w:t xml:space="preserve"> Class operator privileges with </w:t>
      </w:r>
      <w:r w:rsidR="00C127F1">
        <w:rPr>
          <w:snapToGrid/>
          <w:kern w:val="0"/>
        </w:rPr>
        <w:t xml:space="preserve">Technician </w:t>
      </w:r>
      <w:r>
        <w:rPr>
          <w:snapToGrid/>
          <w:kern w:val="0"/>
        </w:rPr>
        <w:t>Class operator privileges.</w:t>
      </w:r>
    </w:p>
    <w:p w:rsidR="006554B9">
      <w:pPr>
        <w:pStyle w:val="ListParagraph"/>
        <w:rPr>
          <w:spacing w:val="-2"/>
        </w:rPr>
      </w:pPr>
    </w:p>
    <w:p w:rsidR="006554B9">
      <w:pPr>
        <w:pStyle w:val="ParaNum"/>
        <w:widowControl/>
        <w:numPr>
          <w:ilvl w:val="0"/>
          <w:numId w:val="33"/>
        </w:numPr>
        <w:spacing w:after="0"/>
        <w:jc w:val="left"/>
      </w:pPr>
      <w:r>
        <w:rPr>
          <w:i/>
        </w:rPr>
        <w:t>Conclusion and Ordering Clauses</w:t>
      </w:r>
      <w:r>
        <w:t xml:space="preserve">.  Accordingly, IT IS ORDERED that, pursuant to sections 4(i) and 316(a) of the Communications Act of 1934, as amended, 47 U.S.C. §§ 154(i), 316(a), and section 1.87 of Commission’s rules, 47 CFR § 1.87, the license for Amateur Radio Service Station </w:t>
      </w:r>
      <w:r w:rsidR="00C127F1">
        <w:t xml:space="preserve">KI7JFD </w:t>
      </w:r>
      <w:r>
        <w:t xml:space="preserve">BE MODIFIED by replacing </w:t>
      </w:r>
      <w:r w:rsidR="00C127F1">
        <w:t>General</w:t>
      </w:r>
      <w:r>
        <w:t xml:space="preserve"> Class operator privileges with </w:t>
      </w:r>
      <w:r w:rsidR="00C127F1">
        <w:t>Technician</w:t>
      </w:r>
      <w:r>
        <w:t xml:space="preserve"> Class operator privileges.</w:t>
      </w:r>
    </w:p>
    <w:p w:rsidR="006554B9">
      <w:pPr>
        <w:widowControl/>
        <w:jc w:val="left"/>
      </w:pPr>
    </w:p>
    <w:p w:rsidR="006554B9">
      <w:pPr>
        <w:widowControl/>
        <w:numPr>
          <w:ilvl w:val="0"/>
          <w:numId w:val="33"/>
        </w:numPr>
        <w:jc w:val="left"/>
      </w:pPr>
      <w:r>
        <w:t xml:space="preserve">IT IS FURTHER ORDERED that this </w:t>
      </w:r>
      <w:r>
        <w:rPr>
          <w:i/>
        </w:rPr>
        <w:t xml:space="preserve">Order of Modification </w:t>
      </w:r>
      <w:r>
        <w:t xml:space="preserve">shall be sent by certified mail, return receipt requested, to </w:t>
      </w:r>
      <w:r w:rsidR="00C127F1">
        <w:t>Zayne G. Stites, 14678 SW Peak Ct., Portland, OR  97224</w:t>
      </w:r>
      <w:r>
        <w:t xml:space="preserve">. </w:t>
      </w:r>
    </w:p>
    <w:p w:rsidR="006554B9">
      <w:pPr>
        <w:widowControl/>
        <w:jc w:val="left"/>
      </w:pPr>
    </w:p>
    <w:p w:rsidR="006554B9">
      <w:pPr>
        <w:widowControl/>
        <w:numPr>
          <w:ilvl w:val="0"/>
          <w:numId w:val="33"/>
        </w:numPr>
        <w:jc w:val="left"/>
      </w:pPr>
      <w:r>
        <w:t>This action is taken under delegated authority pursuant to sections 0.131 and 0.331 of the Commission’s Rules, 47 CFR §§ 0.131, 0.331.</w:t>
      </w:r>
    </w:p>
    <w:p w:rsidR="006554B9">
      <w:pPr>
        <w:widowControl/>
        <w:ind w:left="1440" w:firstLine="720"/>
        <w:jc w:val="left"/>
      </w:pPr>
    </w:p>
    <w:p w:rsidR="006554B9">
      <w:pPr>
        <w:widowControl/>
        <w:ind w:left="1440" w:firstLine="720"/>
        <w:jc w:val="left"/>
      </w:pPr>
      <w:r>
        <w:tab/>
      </w:r>
      <w:r>
        <w:tab/>
      </w:r>
      <w:r>
        <w:tab/>
        <w:t>FEDERAL COMMUNICATIONS COMMISSION</w:t>
      </w:r>
    </w:p>
    <w:p w:rsidR="006554B9">
      <w:pPr>
        <w:widowControl/>
        <w:jc w:val="left"/>
      </w:pPr>
    </w:p>
    <w:p w:rsidR="006554B9">
      <w:pPr>
        <w:widowControl/>
        <w:jc w:val="left"/>
      </w:pPr>
    </w:p>
    <w:p w:rsidR="006554B9">
      <w:pPr>
        <w:widowControl/>
        <w:jc w:val="left"/>
      </w:pPr>
    </w:p>
    <w:p w:rsidR="006554B9">
      <w:pPr>
        <w:widowControl/>
        <w:jc w:val="left"/>
      </w:pPr>
    </w:p>
    <w:p w:rsidR="006554B9">
      <w:pPr>
        <w:widowControl/>
        <w:ind w:left="720" w:firstLine="720"/>
        <w:jc w:val="left"/>
      </w:pPr>
      <w:r>
        <w:tab/>
      </w:r>
      <w:r>
        <w:tab/>
      </w:r>
      <w:r>
        <w:tab/>
      </w:r>
      <w:r>
        <w:tab/>
        <w:t>Scot Stone</w:t>
      </w:r>
    </w:p>
    <w:p w:rsidR="006554B9">
      <w:pPr>
        <w:widowControl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  <w:t>Deputy Chief, Mobility Division</w:t>
      </w:r>
    </w:p>
    <w:p w:rsidR="006554B9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Wireless Telecommunications Bureau</w:t>
      </w:r>
    </w:p>
    <w:sectPr>
      <w:headerReference w:type="default" r:id="rId5"/>
      <w:footerReference w:type="even" r:id="rId6"/>
      <w:footerReference w:type="default" r:id="rId7"/>
      <w:headerReference w:type="first" r:id="rId8"/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4B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55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4B9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6554B9">
    <w:pPr>
      <w:spacing w:before="140" w:line="100" w:lineRule="exac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D01B3">
      <w:r>
        <w:separator/>
      </w:r>
    </w:p>
  </w:footnote>
  <w:footnote w:type="continuationSeparator" w:id="1">
    <w:p w:rsidR="008D01B3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8D01B3">
      <w:pPr>
        <w:rPr>
          <w:sz w:val="20"/>
        </w:rPr>
      </w:pPr>
      <w:r>
        <w:rPr>
          <w:sz w:val="20"/>
        </w:rPr>
        <w:t>(continued….)</w:t>
      </w:r>
    </w:p>
  </w:footnote>
  <w:footnote w:id="3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C127F1">
        <w:rPr>
          <w:i/>
        </w:rPr>
        <w:t>Zayne G. Stites</w:t>
      </w:r>
      <w:r>
        <w:t xml:space="preserve">, Order Proposing Modification, </w:t>
      </w:r>
      <w:r w:rsidR="00C127F1">
        <w:t>DA 18-362</w:t>
      </w:r>
      <w:r>
        <w:t xml:space="preserve"> (WTB MD </w:t>
      </w:r>
      <w:r w:rsidR="00C127F1">
        <w:t xml:space="preserve">rel. Apr. 12, </w:t>
      </w:r>
      <w:r>
        <w:t>201</w:t>
      </w:r>
      <w:r w:rsidR="00C127F1">
        <w:t>8</w:t>
      </w:r>
      <w:r>
        <w:t>) (</w:t>
      </w:r>
      <w:r>
        <w:rPr>
          <w:i/>
        </w:rPr>
        <w:t>Order Proposing Modification</w:t>
      </w:r>
      <w:r>
        <w:t>).</w:t>
      </w:r>
    </w:p>
  </w:footnote>
  <w:footnote w:id="4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File No. 0007</w:t>
      </w:r>
      <w:r w:rsidR="00C127F1">
        <w:t>688828</w:t>
      </w:r>
      <w:r>
        <w:t xml:space="preserve"> (filed </w:t>
      </w:r>
      <w:r w:rsidR="00C127F1">
        <w:t>Ma</w:t>
      </w:r>
      <w:r>
        <w:t xml:space="preserve">r. </w:t>
      </w:r>
      <w:r w:rsidR="00C127F1">
        <w:t>7</w:t>
      </w:r>
      <w:r>
        <w:t xml:space="preserve">, 2017). </w:t>
      </w:r>
    </w:p>
  </w:footnote>
  <w:footnote w:id="5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47 CFR § 97.301(b).</w:t>
      </w:r>
    </w:p>
  </w:footnote>
  <w:footnote w:id="6">
    <w:p w:rsidR="00C127F1">
      <w:pPr>
        <w:pStyle w:val="FootnoteText"/>
      </w:pPr>
      <w:r>
        <w:rPr>
          <w:rStyle w:val="FootnoteReference"/>
        </w:rPr>
        <w:footnoteRef/>
      </w:r>
      <w:r>
        <w:t xml:space="preserve"> E-mail from Amanda Grimaldi, VEC Assistant Manager, ARRL VEC, to Rebecca Williams et al. (Apr. 11, 2018 12:12 p.m.).</w:t>
      </w:r>
    </w:p>
  </w:footnote>
  <w:footnote w:id="7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</w:t>
      </w:r>
      <w:r>
        <w:rPr>
          <w:i/>
        </w:rPr>
        <w:t>Order Proposing Modification</w:t>
      </w:r>
      <w:r>
        <w:t xml:space="preserve">, </w:t>
      </w:r>
      <w:r w:rsidR="00C127F1">
        <w:t>DA 18-362</w:t>
      </w:r>
      <w:r>
        <w:t xml:space="preserve">, para. 8.  </w:t>
      </w:r>
    </w:p>
  </w:footnote>
  <w:footnote w:id="8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CFR § 1.87(g)(1).</w:t>
      </w:r>
    </w:p>
  </w:footnote>
  <w:footnote w:id="9">
    <w:p w:rsidR="006554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CFR § 1.87(h).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4B9">
    <w:pPr>
      <w:tabs>
        <w:tab w:val="center" w:pos="4680"/>
        <w:tab w:val="right" w:pos="9360"/>
      </w:tabs>
      <w:suppressAutoHyphens/>
      <w:spacing w:line="227" w:lineRule="auto"/>
      <w:rPr>
        <w:spacing w:val="-2"/>
      </w:rPr>
    </w:pPr>
    <w:r>
      <w:rPr>
        <w:b/>
        <w:spacing w:val="-2"/>
      </w:rPr>
      <w:tab/>
      <w:t>Federal Communications Commission</w:t>
    </w:r>
    <w:r>
      <w:rPr>
        <w:spacing w:val="-2"/>
      </w:rPr>
      <w:tab/>
    </w:r>
    <w:r w:rsidR="0007148C">
      <w:rPr>
        <w:b/>
        <w:spacing w:val="-2"/>
      </w:rPr>
      <w:t>DA 18</w:t>
    </w:r>
    <w:r>
      <w:rPr>
        <w:b/>
        <w:spacing w:val="-2"/>
      </w:rPr>
      <w:t>-</w:t>
    </w:r>
    <w:r w:rsidR="00C72F9E">
      <w:rPr>
        <w:b/>
        <w:spacing w:val="-2"/>
      </w:rPr>
      <w:t>534</w:t>
    </w:r>
  </w:p>
  <w:p w:rsidR="006554B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554B9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v:textbox>
                <w:txbxContent>
                  <w:p w:rsidR="006554B9"/>
                </w:txbxContent>
              </v:textbox>
              <w10:wrap anchorx="margin"/>
            </v:rect>
          </w:pict>
        </mc:Fallback>
      </mc:AlternateContent>
    </w:r>
  </w:p>
  <w:p w:rsidR="006554B9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54B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DA 1</w:t>
    </w:r>
    <w:r w:rsidR="0007148C">
      <w:t>8</w:t>
    </w:r>
    <w:r>
      <w:t>-</w:t>
    </w:r>
    <w:r w:rsidR="00C72F9E">
      <w:t>534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CDCE0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B8C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25A783C"/>
    <w:multiLevelType w:val="singleLevel"/>
    <w:tmpl w:val="48BCB83E"/>
    <w:lvl w:ilvl="0">
      <w:start w:val="3"/>
      <w:numFmt w:val="decimal"/>
      <w:pStyle w:val="BodyText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3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0C3E61A1"/>
    <w:multiLevelType w:val="singleLevel"/>
    <w:tmpl w:val="0DDC1D58"/>
    <w:lvl w:ilvl="0">
      <w:start w:val="13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5">
    <w:nsid w:val="0CE14327"/>
    <w:multiLevelType w:val="singleLevel"/>
    <w:tmpl w:val="D5EC65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167E2138"/>
    <w:multiLevelType w:val="singleLevel"/>
    <w:tmpl w:val="BAF49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7">
    <w:nsid w:val="17554E7B"/>
    <w:multiLevelType w:val="singleLevel"/>
    <w:tmpl w:val="E5301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8">
    <w:nsid w:val="21E507CA"/>
    <w:multiLevelType w:val="singleLevel"/>
    <w:tmpl w:val="ECC02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27314EA4"/>
    <w:multiLevelType w:val="singleLevel"/>
    <w:tmpl w:val="DCAC5B10"/>
    <w:lvl w:ilvl="0">
      <w:start w:val="1"/>
      <w:numFmt w:val="upperRoman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2">
    <w:nsid w:val="27E06CBB"/>
    <w:multiLevelType w:val="multilevel"/>
    <w:tmpl w:val="A468971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2DD21C44"/>
    <w:multiLevelType w:val="singleLevel"/>
    <w:tmpl w:val="BC8009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305E3024"/>
    <w:multiLevelType w:val="singleLevel"/>
    <w:tmpl w:val="EA9E5D9A"/>
    <w:lvl w:ilvl="0">
      <w:start w:val="2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>
    <w:nsid w:val="31567AA9"/>
    <w:multiLevelType w:val="singleLevel"/>
    <w:tmpl w:val="8612C2A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16">
    <w:nsid w:val="3A5D2F3A"/>
    <w:multiLevelType w:val="singleLevel"/>
    <w:tmpl w:val="EF60BA5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7">
    <w:nsid w:val="3E7C4DA9"/>
    <w:multiLevelType w:val="singleLevel"/>
    <w:tmpl w:val="C170592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8">
    <w:nsid w:val="43D27EFD"/>
    <w:multiLevelType w:val="singleLevel"/>
    <w:tmpl w:val="42701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>
    <w:nsid w:val="4A880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1A31E2"/>
    <w:multiLevelType w:val="singleLevel"/>
    <w:tmpl w:val="63E8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21">
    <w:nsid w:val="5A105ECF"/>
    <w:multiLevelType w:val="singleLevel"/>
    <w:tmpl w:val="D1A68880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FFF125B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>
    <w:nsid w:val="62A47DDF"/>
    <w:multiLevelType w:val="multilevel"/>
    <w:tmpl w:val="9D8A217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66E65EE5"/>
    <w:multiLevelType w:val="multilevel"/>
    <w:tmpl w:val="1E32DC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03621C9"/>
    <w:multiLevelType w:val="singleLevel"/>
    <w:tmpl w:val="373411A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6">
    <w:nsid w:val="75993104"/>
    <w:multiLevelType w:val="singleLevel"/>
    <w:tmpl w:val="8612C2A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b w:val="0"/>
        <w:i w:val="0"/>
      </w:rPr>
    </w:lvl>
  </w:abstractNum>
  <w:abstractNum w:abstractNumId="27">
    <w:nsid w:val="76E57613"/>
    <w:multiLevelType w:val="singleLevel"/>
    <w:tmpl w:val="7F1CD63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28">
    <w:nsid w:val="7F856F29"/>
    <w:multiLevelType w:val="singleLevel"/>
    <w:tmpl w:val="75C44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22"/>
  </w:num>
  <w:num w:numId="5">
    <w:abstractNumId w:val="25"/>
  </w:num>
  <w:num w:numId="6">
    <w:abstractNumId w:val="14"/>
  </w:num>
  <w:num w:numId="7">
    <w:abstractNumId w:val="16"/>
  </w:num>
  <w:num w:numId="8">
    <w:abstractNumId w:val="18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20"/>
  </w:num>
  <w:num w:numId="15">
    <w:abstractNumId w:val="6"/>
  </w:num>
  <w:num w:numId="16">
    <w:abstractNumId w:val="17"/>
  </w:num>
  <w:num w:numId="17">
    <w:abstractNumId w:val="7"/>
  </w:num>
  <w:num w:numId="18">
    <w:abstractNumId w:val="27"/>
  </w:num>
  <w:num w:numId="19">
    <w:abstractNumId w:val="2"/>
  </w:num>
  <w:num w:numId="20">
    <w:abstractNumId w:val="23"/>
  </w:num>
  <w:num w:numId="21">
    <w:abstractNumId w:val="12"/>
  </w:num>
  <w:num w:numId="22">
    <w:abstractNumId w:val="2"/>
  </w:num>
  <w:num w:numId="23">
    <w:abstractNumId w:val="23"/>
  </w:num>
  <w:num w:numId="24">
    <w:abstractNumId w:val="23"/>
  </w:num>
  <w:num w:numId="25">
    <w:abstractNumId w:val="23"/>
  </w:num>
  <w:num w:numId="26">
    <w:abstractNumId w:val="28"/>
  </w:num>
  <w:num w:numId="27">
    <w:abstractNumId w:val="9"/>
  </w:num>
  <w:num w:numId="28">
    <w:abstractNumId w:val="12"/>
  </w:num>
  <w:num w:numId="29">
    <w:abstractNumId w:val="19"/>
  </w:num>
  <w:num w:numId="30">
    <w:abstractNumId w:val="4"/>
  </w:num>
  <w:num w:numId="31">
    <w:abstractNumId w:val="11"/>
  </w:num>
  <w:num w:numId="32">
    <w:abstractNumId w:val="15"/>
  </w:num>
  <w:num w:numId="33">
    <w:abstractNumId w:val="26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28"/>
      </w:numPr>
      <w:suppressAutoHyphens/>
      <w:spacing w:after="220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numPr>
        <w:ilvl w:val="1"/>
        <w:numId w:val="28"/>
      </w:numPr>
      <w:spacing w:after="2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28"/>
      </w:numPr>
      <w:spacing w:after="2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28"/>
      </w:numPr>
      <w:spacing w:after="2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28"/>
      </w:numPr>
      <w:tabs>
        <w:tab w:val="left" w:pos="2880"/>
      </w:tabs>
      <w:suppressAutoHyphens/>
      <w:spacing w:after="220"/>
      <w:outlineLvl w:val="4"/>
    </w:pPr>
    <w:rPr>
      <w:b/>
      <w:sz w:val="24"/>
    </w:rPr>
  </w:style>
  <w:style w:type="paragraph" w:styleId="Heading6">
    <w:name w:val="heading 6"/>
    <w:basedOn w:val="Normal"/>
    <w:next w:val="ParaNum"/>
    <w:qFormat/>
    <w:pPr>
      <w:numPr>
        <w:ilvl w:val="5"/>
        <w:numId w:val="28"/>
      </w:numPr>
      <w:tabs>
        <w:tab w:val="left" w:pos="2880"/>
      </w:tabs>
      <w:spacing w:after="2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28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28"/>
      </w:numPr>
      <w:tabs>
        <w:tab w:val="left" w:pos="5040"/>
      </w:tabs>
      <w:spacing w:after="24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28"/>
      </w:numPr>
      <w:tabs>
        <w:tab w:val="left" w:pos="5040"/>
      </w:tabs>
      <w:spacing w:after="24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pPr>
      <w:numPr>
        <w:numId w:val="22"/>
      </w:numPr>
      <w:tabs>
        <w:tab w:val="clear" w:pos="1080"/>
      </w:tabs>
      <w:spacing w:after="2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tabs>
        <w:tab w:val="left" w:pos="720"/>
        <w:tab w:val="left" w:pos="1440"/>
      </w:tabs>
      <w:spacing w:after="200"/>
      <w:ind w:right="144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22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suppressAutoHyphens/>
      <w:spacing w:before="220"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pos="2160"/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suppressAutoHyphens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Bullet">
    <w:name w:val="Bullet"/>
    <w:basedOn w:val="Normal"/>
    <w:pPr>
      <w:numPr>
        <w:numId w:val="27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styleId="BodyText">
    <w:name w:val="Body Text"/>
    <w:basedOn w:val="Normal"/>
    <w:pPr>
      <w:widowControl/>
      <w:numPr>
        <w:numId w:val="22"/>
      </w:numPr>
    </w:pPr>
    <w:rPr>
      <w:snapToGrid/>
      <w:kern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