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rsidP="00FC70D0">
      <w:pPr>
        <w:widowControl/>
        <w:jc w:val="center"/>
        <w:rPr>
          <w:b/>
        </w:rPr>
      </w:pPr>
      <w:r w:rsidRPr="0070224F">
        <w:rPr>
          <w:rFonts w:ascii="Times New Roman Bold" w:hAnsi="Times New Roman Bold"/>
          <w:b/>
          <w:kern w:val="0"/>
          <w:szCs w:val="22"/>
        </w:rPr>
        <w:t>Before</w:t>
      </w:r>
      <w:r>
        <w:rPr>
          <w:b/>
        </w:rPr>
        <w:t xml:space="preserve"> the</w:t>
      </w:r>
    </w:p>
    <w:p w:rsidR="00921803" w:rsidP="00FC70D0">
      <w:pPr>
        <w:pStyle w:val="StyleBoldCentered"/>
        <w:widowControl/>
      </w:pPr>
      <w:r>
        <w:t>F</w:t>
      </w:r>
      <w:r>
        <w:rPr>
          <w:caps w:val="0"/>
        </w:rPr>
        <w:t>ederal Communications Commission</w:t>
      </w:r>
    </w:p>
    <w:p w:rsidR="004C2EE3" w:rsidP="00FC70D0">
      <w:pPr>
        <w:pStyle w:val="StyleBoldCentered"/>
        <w:widowControl/>
      </w:pPr>
      <w:r>
        <w:rPr>
          <w:caps w:val="0"/>
        </w:rPr>
        <w:t>Washington, D.C. 20554</w:t>
      </w:r>
    </w:p>
    <w:p w:rsidR="004C2EE3" w:rsidP="00FC70D0">
      <w:pPr>
        <w:widowControl/>
      </w:pPr>
    </w:p>
    <w:p w:rsidR="004C2EE3" w:rsidP="00FC70D0">
      <w:pPr>
        <w:widowControl/>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9F2404" w:rsidP="00FC70D0">
            <w:pPr>
              <w:widowControl/>
              <w:tabs>
                <w:tab w:val="center" w:pos="4680"/>
              </w:tabs>
              <w:suppressAutoHyphens/>
              <w:rPr>
                <w:spacing w:val="-2"/>
              </w:rPr>
            </w:pPr>
          </w:p>
          <w:p w:rsidR="004C2EE3" w:rsidP="00FC70D0">
            <w:pPr>
              <w:widowControl/>
              <w:tabs>
                <w:tab w:val="center" w:pos="4680"/>
              </w:tabs>
              <w:suppressAutoHyphens/>
              <w:rPr>
                <w:spacing w:val="-2"/>
              </w:rPr>
            </w:pPr>
            <w:r>
              <w:rPr>
                <w:spacing w:val="-2"/>
              </w:rPr>
              <w:t>In the Matter of</w:t>
            </w:r>
          </w:p>
          <w:p w:rsidR="004C2EE3" w:rsidP="00FC70D0">
            <w:pPr>
              <w:widowControl/>
              <w:tabs>
                <w:tab w:val="center" w:pos="4680"/>
              </w:tabs>
              <w:suppressAutoHyphens/>
              <w:rPr>
                <w:spacing w:val="-2"/>
              </w:rPr>
            </w:pPr>
          </w:p>
          <w:p w:rsidR="00F17822" w:rsidRPr="005118CB" w:rsidP="00FC70D0">
            <w:pPr>
              <w:widowControl/>
              <w:tabs>
                <w:tab w:val="center" w:pos="4680"/>
              </w:tabs>
              <w:suppressAutoHyphens/>
              <w:rPr>
                <w:spacing w:val="-2"/>
              </w:rPr>
            </w:pPr>
            <w:r w:rsidRPr="005118CB">
              <w:rPr>
                <w:spacing w:val="-2"/>
              </w:rPr>
              <w:t>Bell Atlantic Mobile of Rochester, L.P.</w:t>
            </w:r>
          </w:p>
          <w:p w:rsidR="00B45166" w:rsidRPr="005118CB" w:rsidP="00FC70D0">
            <w:pPr>
              <w:widowControl/>
              <w:tabs>
                <w:tab w:val="center" w:pos="4680"/>
              </w:tabs>
              <w:suppressAutoHyphens/>
              <w:rPr>
                <w:spacing w:val="-2"/>
              </w:rPr>
            </w:pPr>
          </w:p>
          <w:p w:rsidR="00F17822" w:rsidP="00FC70D0">
            <w:pPr>
              <w:widowControl/>
              <w:tabs>
                <w:tab w:val="center" w:pos="4680"/>
              </w:tabs>
              <w:suppressAutoHyphens/>
              <w:rPr>
                <w:spacing w:val="-2"/>
              </w:rPr>
            </w:pPr>
            <w:r>
              <w:rPr>
                <w:spacing w:val="-2"/>
              </w:rPr>
              <w:t xml:space="preserve">Communications Tower Constructed on Route </w:t>
            </w:r>
          </w:p>
          <w:p w:rsidR="00F17822" w:rsidRPr="00F17822" w:rsidP="00FC70D0">
            <w:pPr>
              <w:widowControl/>
              <w:tabs>
                <w:tab w:val="center" w:pos="4680"/>
              </w:tabs>
              <w:suppressAutoHyphens/>
              <w:rPr>
                <w:spacing w:val="-2"/>
              </w:rPr>
            </w:pPr>
            <w:r>
              <w:rPr>
                <w:spacing w:val="-2"/>
              </w:rPr>
              <w:t>488 in Hopewell, Ontario County, New York</w:t>
            </w:r>
          </w:p>
          <w:p w:rsidR="00F17822" w:rsidP="00FC70D0">
            <w:pPr>
              <w:widowControl/>
            </w:pPr>
          </w:p>
          <w:p w:rsidR="004C2EE3" w:rsidRPr="00F17822" w:rsidP="00FC70D0">
            <w:pPr>
              <w:widowControl/>
              <w:tabs>
                <w:tab w:val="left" w:pos="3144"/>
              </w:tabs>
            </w:pPr>
          </w:p>
        </w:tc>
        <w:tc>
          <w:tcPr>
            <w:tcW w:w="630" w:type="dxa"/>
          </w:tcPr>
          <w:p w:rsidR="009F2404" w:rsidP="00FC70D0">
            <w:pPr>
              <w:widowControl/>
              <w:tabs>
                <w:tab w:val="center" w:pos="4680"/>
              </w:tabs>
              <w:suppressAutoHyphens/>
              <w:rPr>
                <w:b/>
                <w:spacing w:val="-2"/>
              </w:rPr>
            </w:pPr>
            <w:r>
              <w:rPr>
                <w:b/>
                <w:spacing w:val="-2"/>
              </w:rPr>
              <w:t>)</w:t>
            </w:r>
          </w:p>
          <w:p w:rsidR="004C2EE3" w:rsidP="00FC70D0">
            <w:pPr>
              <w:widowControl/>
              <w:tabs>
                <w:tab w:val="center" w:pos="4680"/>
              </w:tabs>
              <w:suppressAutoHyphens/>
              <w:rPr>
                <w:b/>
                <w:spacing w:val="-2"/>
              </w:rPr>
            </w:pPr>
            <w:r>
              <w:rPr>
                <w:b/>
                <w:spacing w:val="-2"/>
              </w:rPr>
              <w:t>)</w:t>
            </w:r>
          </w:p>
          <w:p w:rsidR="004C2EE3" w:rsidP="00FC70D0">
            <w:pPr>
              <w:widowControl/>
              <w:tabs>
                <w:tab w:val="center" w:pos="4680"/>
              </w:tabs>
              <w:suppressAutoHyphens/>
              <w:rPr>
                <w:b/>
                <w:spacing w:val="-2"/>
              </w:rPr>
            </w:pPr>
            <w:r>
              <w:rPr>
                <w:b/>
                <w:spacing w:val="-2"/>
              </w:rPr>
              <w:t>)</w:t>
            </w:r>
          </w:p>
          <w:p w:rsidR="004C2EE3" w:rsidP="00FC70D0">
            <w:pPr>
              <w:widowControl/>
              <w:tabs>
                <w:tab w:val="center" w:pos="4680"/>
              </w:tabs>
              <w:suppressAutoHyphens/>
              <w:rPr>
                <w:b/>
                <w:spacing w:val="-2"/>
              </w:rPr>
            </w:pPr>
            <w:r>
              <w:rPr>
                <w:b/>
                <w:spacing w:val="-2"/>
              </w:rPr>
              <w:t>)</w:t>
            </w:r>
          </w:p>
          <w:p w:rsidR="004C2EE3" w:rsidP="00FC70D0">
            <w:pPr>
              <w:widowControl/>
              <w:tabs>
                <w:tab w:val="center" w:pos="4680"/>
              </w:tabs>
              <w:suppressAutoHyphens/>
              <w:rPr>
                <w:b/>
                <w:spacing w:val="-2"/>
              </w:rPr>
            </w:pPr>
            <w:r>
              <w:rPr>
                <w:b/>
                <w:spacing w:val="-2"/>
              </w:rPr>
              <w:t>)</w:t>
            </w:r>
          </w:p>
          <w:p w:rsidR="004C2EE3" w:rsidP="00FC70D0">
            <w:pPr>
              <w:widowControl/>
              <w:tabs>
                <w:tab w:val="center" w:pos="4680"/>
              </w:tabs>
              <w:suppressAutoHyphens/>
              <w:rPr>
                <w:b/>
                <w:spacing w:val="-2"/>
              </w:rPr>
            </w:pPr>
            <w:r>
              <w:rPr>
                <w:b/>
                <w:spacing w:val="-2"/>
              </w:rPr>
              <w:t>)</w:t>
            </w:r>
          </w:p>
          <w:p w:rsidR="009813B6" w:rsidP="00FC70D0">
            <w:pPr>
              <w:widowControl/>
              <w:tabs>
                <w:tab w:val="center" w:pos="4680"/>
              </w:tabs>
              <w:suppressAutoHyphens/>
              <w:rPr>
                <w:b/>
                <w:spacing w:val="-2"/>
              </w:rPr>
            </w:pPr>
            <w:r>
              <w:rPr>
                <w:b/>
                <w:spacing w:val="-2"/>
              </w:rPr>
              <w:t>)</w:t>
            </w:r>
          </w:p>
          <w:p w:rsidR="004C2EE3" w:rsidP="00FC70D0">
            <w:pPr>
              <w:widowControl/>
              <w:tabs>
                <w:tab w:val="center" w:pos="4680"/>
              </w:tabs>
              <w:suppressAutoHyphens/>
              <w:rPr>
                <w:spacing w:val="-2"/>
              </w:rPr>
            </w:pPr>
            <w:r>
              <w:rPr>
                <w:b/>
                <w:spacing w:val="-2"/>
              </w:rPr>
              <w:t>)</w:t>
            </w:r>
          </w:p>
        </w:tc>
        <w:tc>
          <w:tcPr>
            <w:tcW w:w="4248" w:type="dxa"/>
          </w:tcPr>
          <w:p w:rsidR="004C2EE3" w:rsidP="00FC70D0">
            <w:pPr>
              <w:widowControl/>
              <w:tabs>
                <w:tab w:val="center" w:pos="4680"/>
              </w:tabs>
              <w:suppressAutoHyphens/>
              <w:rPr>
                <w:spacing w:val="-2"/>
              </w:rPr>
            </w:pPr>
          </w:p>
          <w:p w:rsidR="004C2EE3" w:rsidP="00FC70D0">
            <w:pPr>
              <w:pStyle w:val="TOAHeading"/>
              <w:widowControl/>
              <w:tabs>
                <w:tab w:val="center" w:pos="4680"/>
                <w:tab w:val="clear" w:pos="9360"/>
              </w:tabs>
              <w:rPr>
                <w:spacing w:val="-2"/>
              </w:rPr>
            </w:pPr>
          </w:p>
          <w:p w:rsidR="009F2404" w:rsidP="00FC70D0">
            <w:pPr>
              <w:widowControl/>
              <w:tabs>
                <w:tab w:val="center" w:pos="4680"/>
              </w:tabs>
              <w:suppressAutoHyphens/>
              <w:rPr>
                <w:b/>
                <w:szCs w:val="22"/>
              </w:rPr>
            </w:pPr>
          </w:p>
          <w:p w:rsidR="00F17822" w:rsidP="00FC70D0">
            <w:pPr>
              <w:widowControl/>
              <w:tabs>
                <w:tab w:val="center" w:pos="4680"/>
              </w:tabs>
              <w:suppressAutoHyphens/>
              <w:rPr>
                <w:spacing w:val="-2"/>
              </w:rPr>
            </w:pPr>
            <w:r>
              <w:rPr>
                <w:b/>
                <w:szCs w:val="22"/>
              </w:rPr>
              <w:t>ULS Application No. 0001414628</w:t>
            </w:r>
          </w:p>
          <w:p w:rsidR="004C2EE3" w:rsidRPr="00F17822" w:rsidP="00FC70D0">
            <w:pPr>
              <w:widowControl/>
            </w:pPr>
          </w:p>
        </w:tc>
      </w:tr>
    </w:tbl>
    <w:p w:rsidR="004C2EE3" w:rsidP="00FC70D0">
      <w:pPr>
        <w:widowControl/>
      </w:pPr>
    </w:p>
    <w:p w:rsidR="00841AB1" w:rsidP="00FC70D0">
      <w:pPr>
        <w:pStyle w:val="StyleBoldCentered"/>
        <w:widowControl/>
      </w:pPr>
      <w:r>
        <w:t>MEMORANDUM OPINION AND ORDER</w:t>
      </w:r>
    </w:p>
    <w:p w:rsidR="004C2EE3" w:rsidP="00FC70D0">
      <w:pPr>
        <w:widowControl/>
        <w:tabs>
          <w:tab w:val="left" w:pos="-720"/>
        </w:tabs>
        <w:suppressAutoHyphens/>
        <w:spacing w:line="227" w:lineRule="auto"/>
        <w:rPr>
          <w:spacing w:val="-2"/>
        </w:rPr>
      </w:pPr>
    </w:p>
    <w:p w:rsidR="004C2EE3" w:rsidP="00FC70D0">
      <w:pPr>
        <w:widowControl/>
        <w:tabs>
          <w:tab w:val="left" w:pos="720"/>
          <w:tab w:val="right" w:pos="9360"/>
        </w:tabs>
        <w:suppressAutoHyphens/>
        <w:spacing w:line="227" w:lineRule="auto"/>
        <w:rPr>
          <w:spacing w:val="-2"/>
        </w:rPr>
      </w:pPr>
      <w:r>
        <w:rPr>
          <w:b/>
          <w:spacing w:val="-2"/>
        </w:rPr>
        <w:t xml:space="preserve">Adopted:  </w:t>
      </w:r>
      <w:r w:rsidR="00F04F0C">
        <w:rPr>
          <w:b/>
          <w:spacing w:val="-2"/>
        </w:rPr>
        <w:t>May 22,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04F0C">
        <w:rPr>
          <w:b/>
          <w:spacing w:val="-2"/>
        </w:rPr>
        <w:t>May 22, 2018</w:t>
      </w:r>
    </w:p>
    <w:p w:rsidR="00822CE0" w:rsidP="00FC70D0">
      <w:pPr>
        <w:widowControl/>
      </w:pPr>
    </w:p>
    <w:p w:rsidR="004C2EE3" w:rsidP="00FC70D0">
      <w:pPr>
        <w:widowControl/>
        <w:rPr>
          <w:spacing w:val="-2"/>
        </w:rPr>
      </w:pPr>
      <w:r>
        <w:t xml:space="preserve">By </w:t>
      </w:r>
      <w:r w:rsidR="004E4A22">
        <w:t>the</w:t>
      </w:r>
      <w:r w:rsidR="00A53209">
        <w:t xml:space="preserve"> </w:t>
      </w:r>
      <w:r w:rsidR="00F04F0C">
        <w:t xml:space="preserve">Acting </w:t>
      </w:r>
      <w:r w:rsidR="00A53209">
        <w:t xml:space="preserve">Deputy Chief, </w:t>
      </w:r>
      <w:r w:rsidR="00F427F8">
        <w:t>C</w:t>
      </w:r>
      <w:r w:rsidR="00A53209">
        <w:t xml:space="preserve">ompetition and Infrastructure Policy Division, </w:t>
      </w:r>
      <w:r w:rsidR="005118CB">
        <w:t>W</w:t>
      </w:r>
      <w:r w:rsidR="00A53209">
        <w:t>ireless Telecommunications Bureau</w:t>
      </w:r>
      <w:r>
        <w:rPr>
          <w:spacing w:val="-2"/>
        </w:rPr>
        <w:t>:</w:t>
      </w:r>
    </w:p>
    <w:p w:rsidR="006E4C34" w:rsidP="00FC70D0">
      <w:pPr>
        <w:widowControl/>
        <w:rPr>
          <w:rStyle w:val="st"/>
          <w:szCs w:val="22"/>
        </w:rPr>
      </w:pPr>
    </w:p>
    <w:p w:rsidR="00F427F8" w:rsidRPr="00F427F8" w:rsidP="00FC70D0">
      <w:pPr>
        <w:pStyle w:val="Heading1"/>
        <w:widowControl/>
        <w:rPr>
          <w:rStyle w:val="st"/>
          <w:b w:val="0"/>
          <w:szCs w:val="22"/>
        </w:rPr>
      </w:pPr>
      <w:r>
        <w:rPr>
          <w:rStyle w:val="st"/>
          <w:szCs w:val="22"/>
        </w:rPr>
        <w:t>INTRODUCTION</w:t>
      </w:r>
    </w:p>
    <w:p w:rsidR="006E4C34" w:rsidP="00FC70D0">
      <w:pPr>
        <w:pStyle w:val="ParaNum"/>
        <w:widowControl/>
      </w:pPr>
      <w:r w:rsidRPr="00113D16">
        <w:t>The Competition and Infrastructure Policy Division (Division) has before it</w:t>
      </w:r>
      <w:r w:rsidRPr="00113D16">
        <w:t xml:space="preserve"> </w:t>
      </w:r>
      <w:r w:rsidR="00A20CD6">
        <w:t>objections</w:t>
      </w:r>
      <w:r w:rsidRPr="00113D16">
        <w:t xml:space="preserve"> to </w:t>
      </w:r>
      <w:r w:rsidR="00FC70D0">
        <w:t>a</w:t>
      </w:r>
      <w:r w:rsidRPr="00113D16">
        <w:t xml:space="preserve"> letter</w:t>
      </w:r>
      <w:r w:rsidR="00FC70D0">
        <w:t xml:space="preserve"> from the New York S</w:t>
      </w:r>
      <w:r w:rsidR="00A51D68">
        <w:t>ta</w:t>
      </w:r>
      <w:r w:rsidR="00FC70D0">
        <w:t>te Historic Preservation Officer (NYSHPO)</w:t>
      </w:r>
      <w:r w:rsidR="005118CB">
        <w:t>,</w:t>
      </w:r>
      <w:r w:rsidRPr="00113D16">
        <w:t xml:space="preserve"> dated June 5, 2017, which </w:t>
      </w:r>
      <w:r w:rsidR="00FC70D0">
        <w:t>foun</w:t>
      </w:r>
      <w:r w:rsidR="005118CB">
        <w:t>d</w:t>
      </w:r>
      <w:r w:rsidRPr="00113D16">
        <w:t xml:space="preserve"> that the communications tower referenced above does not adverse</w:t>
      </w:r>
      <w:r w:rsidR="00A20CD6">
        <w:t>ly</w:t>
      </w:r>
      <w:r w:rsidRPr="00113D16">
        <w:t xml:space="preserve"> </w:t>
      </w:r>
      <w:r w:rsidR="00A20CD6">
        <w:t>a</w:t>
      </w:r>
      <w:r w:rsidRPr="00113D16">
        <w:t>ffect the Oliver Warner Farmstead (Farm), which is listed on the National Register of Historic Places (National Register).</w:t>
      </w:r>
      <w:r>
        <w:rPr>
          <w:rStyle w:val="FootnoteReference"/>
          <w:szCs w:val="22"/>
        </w:rPr>
        <w:footnoteReference w:id="3"/>
      </w:r>
      <w:r w:rsidRPr="00113D16">
        <w:t xml:space="preserve">  </w:t>
      </w:r>
      <w:r w:rsidRPr="00113D16">
        <w:t>These</w:t>
      </w:r>
      <w:r w:rsidR="00853ED1">
        <w:t xml:space="preserve"> letters</w:t>
      </w:r>
      <w:r w:rsidR="005118CB">
        <w:t xml:space="preserve"> </w:t>
      </w:r>
      <w:r w:rsidR="00A20CD6">
        <w:t xml:space="preserve">of objection </w:t>
      </w:r>
      <w:r w:rsidRPr="00113D16">
        <w:t>request that the NYSHPO reconsider its finding of “no adverse effect” and issue a finding that the tower has an adverse effect on the Farm.</w:t>
      </w:r>
      <w:r>
        <w:rPr>
          <w:rStyle w:val="FootnoteReference"/>
          <w:szCs w:val="22"/>
        </w:rPr>
        <w:footnoteReference w:id="4"/>
      </w:r>
      <w:r w:rsidRPr="00113D16">
        <w:t xml:space="preserve">  </w:t>
      </w:r>
      <w:r w:rsidRPr="00113D16">
        <w:t>In addition, we have before us</w:t>
      </w:r>
      <w:r w:rsidRPr="00113D16" w:rsidR="00B45166">
        <w:t xml:space="preserve"> complaint</w:t>
      </w:r>
      <w:r w:rsidRPr="00113D16" w:rsidR="00B83DA7">
        <w:t>s</w:t>
      </w:r>
      <w:r w:rsidRPr="00113D16" w:rsidR="00B45166">
        <w:t xml:space="preserve"> </w:t>
      </w:r>
      <w:r w:rsidR="00A20CD6">
        <w:t xml:space="preserve">previously </w:t>
      </w:r>
      <w:r w:rsidRPr="00113D16" w:rsidR="00B45166">
        <w:t>filed by the NYSHPO and Joanne Cunningham</w:t>
      </w:r>
      <w:r w:rsidR="00A20CD6">
        <w:t xml:space="preserve"> </w:t>
      </w:r>
      <w:r w:rsidRPr="00113D16" w:rsidR="00B45166">
        <w:t>regarding the above-referenced tower</w:t>
      </w:r>
      <w:r>
        <w:rPr>
          <w:rStyle w:val="FootnoteReference"/>
          <w:szCs w:val="22"/>
        </w:rPr>
        <w:footnoteReference w:id="5"/>
      </w:r>
      <w:r w:rsidR="00B8738E">
        <w:t xml:space="preserve"> and a petition filed by Verizon Wireless seeking reconsideration of the Division’s December 2016 decision in this matter.</w:t>
      </w:r>
      <w:r>
        <w:rPr>
          <w:rStyle w:val="FootnoteReference"/>
        </w:rPr>
        <w:footnoteReference w:id="6"/>
      </w:r>
      <w:r w:rsidRPr="00113D16" w:rsidR="00B45166">
        <w:t xml:space="preserve"> </w:t>
      </w:r>
      <w:r w:rsidRPr="00113D16">
        <w:t xml:space="preserve"> </w:t>
      </w:r>
      <w:r w:rsidRPr="00113D16">
        <w:t>Based on the entire record before us, the Di</w:t>
      </w:r>
      <w:r w:rsidRPr="00113D16" w:rsidR="00B83DA7">
        <w:t>vision</w:t>
      </w:r>
      <w:r w:rsidR="00853ED1">
        <w:t xml:space="preserve"> </w:t>
      </w:r>
      <w:r w:rsidRPr="00113D16">
        <w:t xml:space="preserve">formally affirms the NYSHPO’s </w:t>
      </w:r>
      <w:r w:rsidR="00A20CD6">
        <w:t xml:space="preserve">2017 </w:t>
      </w:r>
      <w:r w:rsidR="005118CB">
        <w:t>recommendat</w:t>
      </w:r>
      <w:r w:rsidRPr="00113D16">
        <w:t xml:space="preserve">ion that the tower does not adversely affect the Farm, and denies </w:t>
      </w:r>
      <w:r w:rsidR="005118CB">
        <w:t>the</w:t>
      </w:r>
      <w:r w:rsidRPr="00113D16">
        <w:t xml:space="preserve"> requests to overturn the NYSHPO’s </w:t>
      </w:r>
      <w:r w:rsidR="005118CB">
        <w:t>recommendat</w:t>
      </w:r>
      <w:r w:rsidRPr="00113D16">
        <w:t xml:space="preserve">ion.  </w:t>
      </w:r>
      <w:r w:rsidR="005118CB">
        <w:t>The Division further denies the complaints filed by the NYSHPO and Joanne Cunningham</w:t>
      </w:r>
      <w:r w:rsidR="00B8738E">
        <w:t xml:space="preserve"> and dismisses the Verizon Wireless Petition for Reconsideration as moot</w:t>
      </w:r>
      <w:r w:rsidR="005118CB">
        <w:t>.</w:t>
      </w:r>
    </w:p>
    <w:p w:rsidR="00365F53" w:rsidRPr="00113D16" w:rsidP="00365F53">
      <w:pPr>
        <w:pStyle w:val="ParaNum"/>
        <w:widowControl/>
        <w:numPr>
          <w:ilvl w:val="0"/>
          <w:numId w:val="0"/>
        </w:numPr>
      </w:pPr>
    </w:p>
    <w:p w:rsidR="006E4C34" w:rsidRPr="00F427F8" w:rsidP="00FC70D0">
      <w:pPr>
        <w:pStyle w:val="Heading1"/>
        <w:widowControl/>
      </w:pPr>
      <w:r>
        <w:t>BACKGROUND</w:t>
      </w:r>
      <w:r w:rsidRPr="00F427F8">
        <w:t xml:space="preserve"> </w:t>
      </w:r>
    </w:p>
    <w:p w:rsidR="006E4C34" w:rsidRPr="00853ED1" w:rsidP="00FC70D0">
      <w:pPr>
        <w:pStyle w:val="ParaNum"/>
        <w:widowControl/>
      </w:pPr>
      <w:r w:rsidRPr="00D33237">
        <w:t xml:space="preserve">In 1987, Rochester Mobile Telephone Communications (RMTC) constructed the above-referenced tower.  </w:t>
      </w:r>
      <w:r w:rsidRPr="00D33237" w:rsidR="00B8738E">
        <w:t>The tower is located diagonally across Route 488, a two-lane state highway, from the Farm, which dates to the mid-19</w:t>
      </w:r>
      <w:r w:rsidRPr="00D33237" w:rsidR="00B8738E">
        <w:rPr>
          <w:vertAlign w:val="superscript"/>
        </w:rPr>
        <w:t>th</w:t>
      </w:r>
      <w:r w:rsidRPr="00D33237" w:rsidR="00B8738E">
        <w:t xml:space="preserve"> century and has been owned and operated as a dairy farm by the Cunningham family since 1974.</w:t>
      </w:r>
      <w:r>
        <w:rPr>
          <w:rStyle w:val="FootnoteReference"/>
          <w:sz w:val="22"/>
          <w:szCs w:val="22"/>
        </w:rPr>
        <w:footnoteReference w:id="7"/>
      </w:r>
      <w:r w:rsidRPr="00D33237" w:rsidR="00B8738E">
        <w:t xml:space="preserve">  </w:t>
      </w:r>
      <w:r w:rsidRPr="00D33237">
        <w:t>RMTC</w:t>
      </w:r>
      <w:r w:rsidR="00E12E48">
        <w:t xml:space="preserve"> changed the antennas on the tower in 1999</w:t>
      </w:r>
      <w:r w:rsidRPr="00D33237">
        <w:t>.</w:t>
      </w:r>
    </w:p>
    <w:p w:rsidR="006E4C34" w:rsidRPr="00D33237" w:rsidP="00FC70D0">
      <w:pPr>
        <w:pStyle w:val="ParaNum"/>
        <w:widowControl/>
      </w:pPr>
      <w:r w:rsidRPr="00D33237">
        <w:t>On A</w:t>
      </w:r>
      <w:r w:rsidR="00E96FAA">
        <w:t xml:space="preserve">ugust 12, 2003, </w:t>
      </w:r>
      <w:r w:rsidR="00E12E48">
        <w:t>RMTC’s successor, Verizon Wireless,</w:t>
      </w:r>
      <w:r w:rsidR="00E96FAA">
        <w:t xml:space="preserve"> submitted</w:t>
      </w:r>
      <w:r w:rsidRPr="00D33237">
        <w:t xml:space="preserve"> Universal Licensing System (ULS) Application No. 0001414628 and attached an environmental assessment (EA)</w:t>
      </w:r>
      <w:r w:rsidR="003B46D7">
        <w:t>,</w:t>
      </w:r>
      <w:r w:rsidRPr="00D33237">
        <w:t xml:space="preserve"> </w:t>
      </w:r>
      <w:r w:rsidR="003B46D7">
        <w:t>seeking a finding that the</w:t>
      </w:r>
      <w:r w:rsidRPr="00D33237">
        <w:t xml:space="preserve"> 1999</w:t>
      </w:r>
      <w:r w:rsidR="003B46D7">
        <w:t xml:space="preserve"> antenna change did not have a significant impact on the environment</w:t>
      </w:r>
      <w:r w:rsidRPr="00D33237">
        <w:t>.</w:t>
      </w:r>
      <w:r>
        <w:rPr>
          <w:rStyle w:val="FootnoteReference"/>
          <w:sz w:val="22"/>
          <w:szCs w:val="22"/>
        </w:rPr>
        <w:footnoteReference w:id="8"/>
      </w:r>
      <w:r w:rsidRPr="00D33237" w:rsidR="00FF3B87">
        <w:t xml:space="preserve">  </w:t>
      </w:r>
      <w:r w:rsidR="00CE1597">
        <w:t>Objections to</w:t>
      </w:r>
      <w:r w:rsidRPr="00D33237">
        <w:t xml:space="preserve"> the EA were filed by the </w:t>
      </w:r>
      <w:r w:rsidR="00E96FAA">
        <w:t xml:space="preserve">NYSHPO </w:t>
      </w:r>
      <w:r w:rsidRPr="00D33237">
        <w:t>and by Joanne Cunningham, then owner of the Farm.</w:t>
      </w:r>
      <w:r>
        <w:rPr>
          <w:rStyle w:val="FootnoteReference"/>
          <w:sz w:val="22"/>
          <w:szCs w:val="22"/>
        </w:rPr>
        <w:footnoteReference w:id="9"/>
      </w:r>
      <w:r w:rsidRPr="00D33237">
        <w:t xml:space="preserve">  Both </w:t>
      </w:r>
      <w:r w:rsidR="00CE1597">
        <w:t>parties</w:t>
      </w:r>
      <w:r w:rsidRPr="00D33237">
        <w:t xml:space="preserve"> objected to the EA on the grounds that the tower had never been reviewed for potential effects on historic properties as required by</w:t>
      </w:r>
      <w:r w:rsidR="00CE1597">
        <w:t xml:space="preserve"> Section 106 of</w:t>
      </w:r>
      <w:r w:rsidRPr="00D33237">
        <w:t xml:space="preserve"> the National Historic Preservation Act (NHPA),</w:t>
      </w:r>
      <w:r>
        <w:rPr>
          <w:rStyle w:val="FootnoteReference"/>
          <w:sz w:val="22"/>
          <w:szCs w:val="22"/>
        </w:rPr>
        <w:footnoteReference w:id="10"/>
      </w:r>
      <w:r w:rsidRPr="00D33237">
        <w:t xml:space="preserve"> and </w:t>
      </w:r>
      <w:r w:rsidR="00DD7A01">
        <w:t xml:space="preserve">alleged </w:t>
      </w:r>
      <w:r w:rsidRPr="00D33237">
        <w:t xml:space="preserve">that the tower </w:t>
      </w:r>
      <w:r w:rsidR="00CE1597">
        <w:t>has</w:t>
      </w:r>
      <w:r w:rsidRPr="00D33237">
        <w:t xml:space="preserve"> an adverse effect on the historic Farm.</w:t>
      </w:r>
      <w:r w:rsidR="00F01AA3">
        <w:t xml:space="preserve">  In response, Verizon Wireless argued that the tower did not require review under Section 106 and, in any event, neither the underlying tower nor the new antennas adversely affect historic properties.</w:t>
      </w:r>
    </w:p>
    <w:p w:rsidR="00F01AA3" w:rsidP="00F01AA3">
      <w:pPr>
        <w:pStyle w:val="ParaNum"/>
        <w:widowControl/>
      </w:pPr>
      <w:r w:rsidRPr="007A3064">
        <w:t>On December 8</w:t>
      </w:r>
      <w:r>
        <w:t>,</w:t>
      </w:r>
      <w:r w:rsidRPr="007A3064">
        <w:t xml:space="preserve"> 2016, the Division issued a letter to Verizon Wireless addressing the two </w:t>
      </w:r>
      <w:r>
        <w:t>objections</w:t>
      </w:r>
      <w:r w:rsidRPr="007A3064">
        <w:t xml:space="preserve"> to the EA.</w:t>
      </w:r>
      <w:r>
        <w:rPr>
          <w:rStyle w:val="FootnoteReference"/>
          <w:szCs w:val="22"/>
        </w:rPr>
        <w:footnoteReference w:id="11"/>
      </w:r>
      <w:r>
        <w:t xml:space="preserve">  The Division first rejected Verizon Wireless’s argument that it was not required to complete Section 106 review before constructing the tower.</w:t>
      </w:r>
      <w:r w:rsidRPr="007A3064">
        <w:t xml:space="preserve">  The Division </w:t>
      </w:r>
      <w:r>
        <w:t>then stated</w:t>
      </w:r>
      <w:r w:rsidRPr="007A3064">
        <w:t xml:space="preserve"> that while</w:t>
      </w:r>
      <w:r>
        <w:t xml:space="preserve"> the objections had raised</w:t>
      </w:r>
      <w:r w:rsidRPr="007A3064">
        <w:t xml:space="preserve"> significant issues regarding the</w:t>
      </w:r>
      <w:r>
        <w:t xml:space="preserve"> tower’s</w:t>
      </w:r>
      <w:r w:rsidRPr="007A3064">
        <w:t xml:space="preserve"> potential effect on the Farm, it was unable to make a finding </w:t>
      </w:r>
      <w:r>
        <w:t>regarding such effects</w:t>
      </w:r>
      <w:r w:rsidRPr="007A3064">
        <w:t xml:space="preserve"> because a full Section 106 review had never been conducted for the tower.</w:t>
      </w:r>
      <w:r>
        <w:rPr>
          <w:rStyle w:val="FootnoteReference"/>
          <w:szCs w:val="22"/>
        </w:rPr>
        <w:footnoteReference w:id="12"/>
      </w:r>
      <w:r w:rsidRPr="007A3064">
        <w:t xml:space="preserve"> In order </w:t>
      </w:r>
      <w:r>
        <w:t>to complete</w:t>
      </w:r>
      <w:r w:rsidRPr="007A3064">
        <w:t xml:space="preserve"> the record, the Division </w:t>
      </w:r>
      <w:r>
        <w:t>found that</w:t>
      </w:r>
      <w:r w:rsidRPr="007A3064">
        <w:t xml:space="preserve"> Verizon Wireless </w:t>
      </w:r>
      <w:r>
        <w:t>must</w:t>
      </w:r>
      <w:r w:rsidRPr="007A3064">
        <w:t xml:space="preserve"> complete the Section 106 review process pursuant to the Commission’s current rules.</w:t>
      </w:r>
      <w:r>
        <w:rPr>
          <w:rStyle w:val="FootnoteReference"/>
          <w:szCs w:val="22"/>
        </w:rPr>
        <w:footnoteReference w:id="13"/>
      </w:r>
      <w:r w:rsidRPr="007A3064">
        <w:t xml:space="preserve">  Accordingly, the Division granted</w:t>
      </w:r>
      <w:r>
        <w:t xml:space="preserve"> the objections</w:t>
      </w:r>
      <w:r w:rsidRPr="007A3064">
        <w:t xml:space="preserve"> in part</w:t>
      </w:r>
      <w:r w:rsidR="00DD7A01">
        <w:t>,</w:t>
      </w:r>
      <w:r w:rsidRPr="007A3064">
        <w:t xml:space="preserve"> to the extent that they requested that the Section 106 review process be completed for the tower</w:t>
      </w:r>
      <w:r w:rsidR="00DD7A01">
        <w:t>,</w:t>
      </w:r>
      <w:r w:rsidRPr="007A3064">
        <w:t xml:space="preserve"> and otherwise dismissed the </w:t>
      </w:r>
      <w:r>
        <w:t>objections</w:t>
      </w:r>
      <w:r w:rsidRPr="007A3064">
        <w:t xml:space="preserve"> as moot.</w:t>
      </w:r>
      <w:r>
        <w:rPr>
          <w:rStyle w:val="FootnoteReference"/>
          <w:szCs w:val="22"/>
        </w:rPr>
        <w:footnoteReference w:id="14"/>
      </w:r>
      <w:r w:rsidRPr="007A3064">
        <w:t xml:space="preserve">  </w:t>
      </w:r>
    </w:p>
    <w:p w:rsidR="006E4C34" w:rsidRPr="007A3064" w:rsidP="00F01AA3">
      <w:pPr>
        <w:pStyle w:val="ParaNum"/>
        <w:widowControl/>
      </w:pPr>
      <w:r w:rsidRPr="007A3064">
        <w:t>On January 6, 2017, Verizon Wireless filed a petition for reconsideration of the Division’s December 8, 2016 letter ruling,</w:t>
      </w:r>
      <w:r w:rsidR="00F01AA3">
        <w:t xml:space="preserve"> </w:t>
      </w:r>
      <w:r w:rsidR="0071796C">
        <w:t xml:space="preserve">arguing that the Division </w:t>
      </w:r>
      <w:r w:rsidR="0099676A">
        <w:t>improperly</w:t>
      </w:r>
      <w:r w:rsidR="0071796C">
        <w:t xml:space="preserve"> found that Section 106 review was required for the tower.</w:t>
      </w:r>
      <w:r>
        <w:rPr>
          <w:rStyle w:val="FootnoteReference"/>
        </w:rPr>
        <w:footnoteReference w:id="15"/>
      </w:r>
      <w:r w:rsidR="0099676A">
        <w:t xml:space="preserve"> </w:t>
      </w:r>
      <w:r w:rsidRPr="007A3064">
        <w:t xml:space="preserve"> </w:t>
      </w:r>
      <w:r w:rsidR="0071796C">
        <w:t>T</w:t>
      </w:r>
      <w:r w:rsidRPr="007A3064">
        <w:t>he Cunningham family</w:t>
      </w:r>
      <w:r w:rsidR="0071796C">
        <w:t>, through their</w:t>
      </w:r>
      <w:r w:rsidRPr="007A3064">
        <w:t xml:space="preserve"> </w:t>
      </w:r>
      <w:r w:rsidR="0071796C">
        <w:t>c</w:t>
      </w:r>
      <w:r w:rsidRPr="007A3064">
        <w:t>ounsel, submitted an Opposition.</w:t>
      </w:r>
      <w:r>
        <w:rPr>
          <w:rStyle w:val="FootnoteReference"/>
          <w:szCs w:val="22"/>
        </w:rPr>
        <w:footnoteReference w:id="16"/>
      </w:r>
    </w:p>
    <w:p w:rsidR="006E4C34" w:rsidRPr="007A3064" w:rsidP="00FC70D0">
      <w:pPr>
        <w:pStyle w:val="ParaNum"/>
        <w:widowControl/>
      </w:pPr>
      <w:r w:rsidRPr="007A3064">
        <w:t xml:space="preserve">On March 27, 2017, Verizon </w:t>
      </w:r>
      <w:r w:rsidR="00074718">
        <w:t xml:space="preserve">Wireless </w:t>
      </w:r>
      <w:r w:rsidRPr="007A3064">
        <w:t>submitted to the Division a</w:t>
      </w:r>
      <w:r w:rsidR="0071796C">
        <w:t>n</w:t>
      </w:r>
      <w:r w:rsidRPr="007A3064">
        <w:t xml:space="preserve"> FCC Form 620 </w:t>
      </w:r>
      <w:r w:rsidR="0071796C">
        <w:t>and accompanying Submission Packet analyzing the tower’s effects on historic properties</w:t>
      </w:r>
      <w:r w:rsidRPr="007A3064">
        <w:t xml:space="preserve">.  The Division then forwarded the </w:t>
      </w:r>
      <w:r w:rsidR="0071796C">
        <w:t>Submission Packet</w:t>
      </w:r>
      <w:r w:rsidRPr="007A3064">
        <w:t xml:space="preserve"> to the NYSHPO.  On June 5, 2017, the NYSHPO, after reviewing </w:t>
      </w:r>
      <w:r w:rsidR="009C5903">
        <w:t>the S</w:t>
      </w:r>
      <w:r w:rsidRPr="007A3064">
        <w:t>ection 106 submission, concurred with the applicant that the constructed tower does not adversely affect the characteristics of the Farm that qualif</w:t>
      </w:r>
      <w:r w:rsidR="0071796C">
        <w:t>y</w:t>
      </w:r>
      <w:r w:rsidRPr="007A3064">
        <w:t xml:space="preserve"> it for inclusion in the National Register.</w:t>
      </w:r>
      <w:r>
        <w:rPr>
          <w:rStyle w:val="FootnoteReference"/>
          <w:szCs w:val="22"/>
        </w:rPr>
        <w:footnoteReference w:id="17"/>
      </w:r>
      <w:r w:rsidRPr="007A3064">
        <w:t xml:space="preserve">  The NYSHPO provided two bases for its determination:  (1) that the tower was already constructed at the time the Farm was first determined eligible and subsequently listed in the National Register; and (2)</w:t>
      </w:r>
      <w:r w:rsidR="0071796C">
        <w:t xml:space="preserve"> that</w:t>
      </w:r>
      <w:r w:rsidRPr="007A3064">
        <w:t xml:space="preserve"> because the primary significance of the Farm property is the remarkable architectural importance of the farmhouse, the</w:t>
      </w:r>
      <w:r w:rsidR="0071796C">
        <w:t xml:space="preserve"> tower’s</w:t>
      </w:r>
      <w:r w:rsidRPr="007A3064">
        <w:t xml:space="preserve"> intrusion on the viewshed does not diminish the ability for the house to be fully understood and interpreted as a historic resource.</w:t>
      </w:r>
      <w:r>
        <w:rPr>
          <w:rStyle w:val="FootnoteReference"/>
          <w:szCs w:val="22"/>
        </w:rPr>
        <w:footnoteReference w:id="18"/>
      </w:r>
    </w:p>
    <w:p w:rsidR="006E4C34" w:rsidRPr="007A3064" w:rsidP="00FC70D0">
      <w:pPr>
        <w:pStyle w:val="ParaNum"/>
        <w:widowControl/>
      </w:pPr>
      <w:r w:rsidRPr="007A3064">
        <w:t xml:space="preserve">On June 23, 2017, </w:t>
      </w:r>
      <w:r w:rsidR="0071796C">
        <w:t>Mr. Cunningham and Landmark Farms, Inc., through their c</w:t>
      </w:r>
      <w:r w:rsidRPr="007A3064">
        <w:t>ounsel</w:t>
      </w:r>
      <w:r w:rsidR="0071796C">
        <w:t>,</w:t>
      </w:r>
      <w:r w:rsidRPr="007A3064">
        <w:t xml:space="preserve"> sent a letter to the NYSHPO asking it to reconsider </w:t>
      </w:r>
      <w:r w:rsidR="0071796C">
        <w:t>its June 5, 2017</w:t>
      </w:r>
      <w:r w:rsidRPr="007A3064">
        <w:t xml:space="preserve"> determination of “no adverse effect” and </w:t>
      </w:r>
      <w:r w:rsidR="0071796C">
        <w:t>instead to</w:t>
      </w:r>
      <w:r w:rsidRPr="007A3064">
        <w:t xml:space="preserve"> find that the tower will have and has had an adverse effect on the Farm.</w:t>
      </w:r>
      <w:r>
        <w:rPr>
          <w:rStyle w:val="FootnoteReference"/>
          <w:szCs w:val="22"/>
        </w:rPr>
        <w:footnoteReference w:id="19"/>
      </w:r>
      <w:r w:rsidRPr="007A3064">
        <w:t xml:space="preserve">  On July 2, 2017, Mr. Cunningham sent a </w:t>
      </w:r>
      <w:r w:rsidR="0071796C">
        <w:t xml:space="preserve">separate </w:t>
      </w:r>
      <w:r w:rsidRPr="007A3064">
        <w:t>letter to the NYSHPO also objecting to the NYSHPO’s no adverse effect determination.</w:t>
      </w:r>
      <w:r>
        <w:rPr>
          <w:rStyle w:val="FootnoteReference"/>
          <w:szCs w:val="22"/>
        </w:rPr>
        <w:footnoteReference w:id="20"/>
      </w:r>
      <w:r w:rsidR="0071796C">
        <w:t xml:space="preserve">  The Division was copied on both letters.</w:t>
      </w:r>
      <w:r w:rsidRPr="007A3064">
        <w:t xml:space="preserve">  The NYSHPO has not informed us that it has revised or is revising its concurrence </w:t>
      </w:r>
      <w:r w:rsidR="00FC70D0">
        <w:t>in response to</w:t>
      </w:r>
      <w:r w:rsidRPr="007A3064">
        <w:t xml:space="preserve"> these letters.</w:t>
      </w:r>
    </w:p>
    <w:p w:rsidR="006E4C34" w:rsidRPr="00D33237" w:rsidP="00FC70D0">
      <w:pPr>
        <w:widowControl/>
        <w:rPr>
          <w:szCs w:val="22"/>
        </w:rPr>
      </w:pPr>
    </w:p>
    <w:p w:rsidR="006E4C34" w:rsidRPr="00F427F8" w:rsidP="00FC70D0">
      <w:pPr>
        <w:pStyle w:val="Heading1"/>
        <w:widowControl/>
      </w:pPr>
      <w:r>
        <w:t>DISCUSSION</w:t>
      </w:r>
    </w:p>
    <w:p w:rsidR="006E4C34" w:rsidRPr="007A3064" w:rsidP="00FC70D0">
      <w:pPr>
        <w:pStyle w:val="ParaNum"/>
        <w:widowControl/>
      </w:pPr>
      <w:r w:rsidRPr="007A3064">
        <w:t xml:space="preserve">Section 1.1307 of the Commission’s rules sets forth circumstances under which </w:t>
      </w:r>
      <w:r w:rsidR="00DD7A01">
        <w:t xml:space="preserve">the construction of </w:t>
      </w:r>
      <w:r w:rsidRPr="007A3064">
        <w:t>facilities</w:t>
      </w:r>
      <w:r w:rsidR="00DD7A01">
        <w:t>, as the Commission’s major federal action and federal undertaking,</w:t>
      </w:r>
      <w:r w:rsidRPr="007A3064">
        <w:t xml:space="preserve"> </w:t>
      </w:r>
      <w:r w:rsidR="00DD7A01">
        <w:t xml:space="preserve">may </w:t>
      </w:r>
      <w:r w:rsidRPr="007A3064" w:rsidR="00DD7A01">
        <w:t xml:space="preserve">require </w:t>
      </w:r>
      <w:r w:rsidR="00DD7A01">
        <w:t xml:space="preserve">the </w:t>
      </w:r>
      <w:r w:rsidRPr="007A3064" w:rsidR="00DD7A01">
        <w:t>preparation of an Environmental Assessment</w:t>
      </w:r>
      <w:r w:rsidR="00DD7A01">
        <w:t xml:space="preserve"> due to potentially</w:t>
      </w:r>
      <w:r w:rsidRPr="007A3064">
        <w:t xml:space="preserve"> significant environmental impacts</w:t>
      </w:r>
      <w:r w:rsidR="00881AAB">
        <w:t>, including impacts on historic properties</w:t>
      </w:r>
      <w:r w:rsidRPr="007A3064">
        <w:t>.</w:t>
      </w:r>
      <w:r>
        <w:rPr>
          <w:rStyle w:val="FootnoteReference"/>
          <w:szCs w:val="22"/>
        </w:rPr>
        <w:footnoteReference w:id="21"/>
      </w:r>
      <w:r w:rsidRPr="007A3064">
        <w:t xml:space="preserve">  In</w:t>
      </w:r>
      <w:r w:rsidR="00881AAB">
        <w:t xml:space="preserve"> order to determine whether a tower will adversely affect historic properties under Section 106 of the NHPA, the rules require the applicant to follow procedures set forth in the Nationwide Programmatic Agreement for Review of Effects on Historic Properties for Certain Undertakings Approved by the Federal Communications Commission</w:t>
      </w:r>
      <w:r w:rsidRPr="007A3064">
        <w:t xml:space="preserve"> (NPA).</w:t>
      </w:r>
      <w:r>
        <w:rPr>
          <w:rStyle w:val="FootnoteReference"/>
          <w:szCs w:val="22"/>
        </w:rPr>
        <w:footnoteReference w:id="22"/>
      </w:r>
      <w:r w:rsidRPr="007A3064">
        <w:t xml:space="preserve">  The environmental and historic preservation review is to be completed prior to the initiation of construction.</w:t>
      </w:r>
      <w:r>
        <w:rPr>
          <w:rStyle w:val="FootnoteReference"/>
          <w:szCs w:val="22"/>
        </w:rPr>
        <w:footnoteReference w:id="23"/>
      </w:r>
    </w:p>
    <w:p w:rsidR="006E4C34" w:rsidRPr="007A3064" w:rsidP="00FC70D0">
      <w:pPr>
        <w:pStyle w:val="ParaNum"/>
        <w:widowControl/>
      </w:pPr>
      <w:r w:rsidRPr="007A3064">
        <w:t>Collectively, Mr. Cunningham</w:t>
      </w:r>
      <w:r w:rsidR="00296988">
        <w:t xml:space="preserve"> and Landmark Farms</w:t>
      </w:r>
      <w:r w:rsidRPr="007A3064">
        <w:t xml:space="preserve"> challenge four </w:t>
      </w:r>
      <w:r w:rsidR="00296988">
        <w:t>aspects of the review and</w:t>
      </w:r>
      <w:r w:rsidRPr="007A3064">
        <w:t xml:space="preserve"> the </w:t>
      </w:r>
      <w:r w:rsidR="00296988">
        <w:t>NY</w:t>
      </w:r>
      <w:r w:rsidRPr="007A3064">
        <w:t>SHPO’s decision</w:t>
      </w:r>
      <w:r w:rsidRPr="007A3064">
        <w:t>:  (</w:t>
      </w:r>
      <w:r w:rsidRPr="007A3064">
        <w:t>1)</w:t>
      </w:r>
      <w:r w:rsidR="00296988">
        <w:t xml:space="preserve"> the Division’s directive to perform Section 106 review after the tower was constructed; (2) the NYSHPO’s conclusion that</w:t>
      </w:r>
      <w:r w:rsidRPr="007A3064">
        <w:t xml:space="preserve"> the tower existed at the time the </w:t>
      </w:r>
      <w:r w:rsidR="00296988">
        <w:t>F</w:t>
      </w:r>
      <w:r w:rsidRPr="007A3064">
        <w:t>arm was first determined eligible</w:t>
      </w:r>
      <w:r w:rsidR="00296988">
        <w:t xml:space="preserve"> for</w:t>
      </w:r>
      <w:r w:rsidRPr="007A3064">
        <w:t xml:space="preserve"> and subsequently listed in the National Register; (</w:t>
      </w:r>
      <w:r w:rsidR="00296988">
        <w:t>3</w:t>
      </w:r>
      <w:r w:rsidRPr="007A3064">
        <w:t xml:space="preserve">) </w:t>
      </w:r>
      <w:r w:rsidR="00296988">
        <w:t>its finding</w:t>
      </w:r>
      <w:r w:rsidRPr="007A3064">
        <w:t xml:space="preserve"> that the tower has</w:t>
      </w:r>
      <w:r w:rsidR="00296988">
        <w:t xml:space="preserve"> no adverse effect</w:t>
      </w:r>
      <w:r w:rsidRPr="007A3064">
        <w:t xml:space="preserve"> on the Farm; and (4) the NYSHPO’s change of position between 2003 and 2017.  We address these challenges below</w:t>
      </w:r>
      <w:r w:rsidR="00A51D68">
        <w:t xml:space="preserve">, and then </w:t>
      </w:r>
      <w:r w:rsidR="00365F53">
        <w:t>address</w:t>
      </w:r>
      <w:r w:rsidR="00A51D68">
        <w:t xml:space="preserve"> the </w:t>
      </w:r>
      <w:r w:rsidR="00DD7A01">
        <w:t xml:space="preserve">earlier </w:t>
      </w:r>
      <w:r w:rsidR="00A51D68">
        <w:t xml:space="preserve">complaints </w:t>
      </w:r>
      <w:r w:rsidR="00296988">
        <w:t>of</w:t>
      </w:r>
      <w:r w:rsidR="00A51D68">
        <w:t xml:space="preserve"> the NYSHPO and Joanne Cunningham</w:t>
      </w:r>
      <w:r w:rsidR="00296988">
        <w:t xml:space="preserve"> as well as the Petition for Reconsideration</w:t>
      </w:r>
      <w:r w:rsidRPr="007A3064">
        <w:t>.</w:t>
      </w:r>
    </w:p>
    <w:p w:rsidR="00A47301" w:rsidRPr="00D33237" w:rsidP="00A47301">
      <w:pPr>
        <w:pStyle w:val="Heading2"/>
        <w:widowControl/>
      </w:pPr>
      <w:r w:rsidRPr="00D33237">
        <w:t>Post-Construction Review of the Tower</w:t>
      </w:r>
    </w:p>
    <w:p w:rsidR="00A47301" w:rsidRPr="007A3064" w:rsidP="00A47301">
      <w:pPr>
        <w:pStyle w:val="ParaNum"/>
        <w:widowControl/>
      </w:pPr>
      <w:r w:rsidRPr="007A3064">
        <w:t>The Division Letter directed Verizon</w:t>
      </w:r>
      <w:r>
        <w:t xml:space="preserve"> Wireless</w:t>
      </w:r>
      <w:r w:rsidRPr="007A3064">
        <w:t xml:space="preserve"> to complete the Section 106 process for the existing tower.</w:t>
      </w:r>
      <w:r>
        <w:rPr>
          <w:rStyle w:val="FootnoteReference"/>
          <w:szCs w:val="22"/>
        </w:rPr>
        <w:footnoteReference w:id="24"/>
      </w:r>
      <w:r w:rsidRPr="007A3064">
        <w:t xml:space="preserve">  Pursuant to the Commission’s rules, however, an applicant’s environmental and historic preservation review is to be completed prior to the initiation of construction.</w:t>
      </w:r>
      <w:r>
        <w:rPr>
          <w:rStyle w:val="FootnoteReference"/>
          <w:szCs w:val="22"/>
        </w:rPr>
        <w:footnoteReference w:id="25"/>
      </w:r>
      <w:r w:rsidRPr="007A3064">
        <w:t xml:space="preserve">  In his letter, Mr. Cunningham questions how, given that the tower was constructed without going through the Section 106 process, a Section 106 review can now be conducted.</w:t>
      </w:r>
      <w:r>
        <w:rPr>
          <w:rStyle w:val="FootnoteReference"/>
          <w:szCs w:val="22"/>
        </w:rPr>
        <w:footnoteReference w:id="26"/>
      </w:r>
    </w:p>
    <w:p w:rsidR="00A47301" w:rsidRPr="007A3064" w:rsidP="00A47301">
      <w:pPr>
        <w:pStyle w:val="ParaNum"/>
        <w:widowControl/>
      </w:pPr>
      <w:r w:rsidRPr="007A3064">
        <w:t>We note that although</w:t>
      </w:r>
      <w:r>
        <w:t xml:space="preserve"> the</w:t>
      </w:r>
      <w:r w:rsidRPr="007A3064">
        <w:t xml:space="preserve"> NHPA and the Commission’s rules require evaluation before construction, the Commission has in fact </w:t>
      </w:r>
      <w:r>
        <w:t>accepted</w:t>
      </w:r>
      <w:r w:rsidRPr="007A3064">
        <w:t xml:space="preserve"> post-construction review when an applicant failed to evaluate the undertaking before it was built.</w:t>
      </w:r>
      <w:r>
        <w:rPr>
          <w:rStyle w:val="FootnoteReference"/>
          <w:szCs w:val="22"/>
        </w:rPr>
        <w:footnoteReference w:id="27"/>
      </w:r>
      <w:r w:rsidRPr="007A3064">
        <w:t xml:space="preserve">  In so doing, the Commission inherently recognizes that, while post-construction review is </w:t>
      </w:r>
      <w:r>
        <w:t>inferior</w:t>
      </w:r>
      <w:r w:rsidRPr="007A3064">
        <w:t xml:space="preserve"> to review </w:t>
      </w:r>
      <w:r w:rsidR="00A26FED">
        <w:t>prior to</w:t>
      </w:r>
      <w:r w:rsidRPr="007A3064" w:rsidR="00A26FED">
        <w:t xml:space="preserve"> </w:t>
      </w:r>
      <w:r w:rsidRPr="007A3064">
        <w:t xml:space="preserve">construction given that some effects may no longer be observable or able to be mitigated, post-construction review can identify some effects that may be addressable, such that it is a better alternative than no review whatsoever. </w:t>
      </w:r>
    </w:p>
    <w:p w:rsidR="00A47301" w:rsidRPr="007A3064" w:rsidP="00A47301">
      <w:pPr>
        <w:pStyle w:val="ParaNum"/>
        <w:widowControl/>
      </w:pPr>
      <w:r>
        <w:t>In any event</w:t>
      </w:r>
      <w:r w:rsidRPr="007A3064">
        <w:t xml:space="preserve">, we find that Mr. Cunningham had an opportunity </w:t>
      </w:r>
      <w:r>
        <w:t>when</w:t>
      </w:r>
      <w:r w:rsidRPr="007A3064">
        <w:t xml:space="preserve"> the Division Letter</w:t>
      </w:r>
      <w:r>
        <w:t xml:space="preserve"> was issued to dispute the</w:t>
      </w:r>
      <w:r w:rsidRPr="007A3064">
        <w:t xml:space="preserve"> requirement that Verizon</w:t>
      </w:r>
      <w:r>
        <w:t xml:space="preserve"> Wireless</w:t>
      </w:r>
      <w:r w:rsidRPr="007A3064">
        <w:t xml:space="preserve"> complete the Section 106 process after construction</w:t>
      </w:r>
      <w:r>
        <w:t>, but he failed to do so</w:t>
      </w:r>
      <w:r w:rsidRPr="007A3064">
        <w:t>.</w:t>
      </w:r>
      <w:r>
        <w:rPr>
          <w:rStyle w:val="FootnoteReference"/>
          <w:szCs w:val="22"/>
        </w:rPr>
        <w:footnoteReference w:id="28"/>
      </w:r>
      <w:r w:rsidRPr="007A3064">
        <w:t xml:space="preserve">  Accordingly, this argument is dismissed as being outside of the scope of this proceeding.</w:t>
      </w:r>
    </w:p>
    <w:p w:rsidR="006E4C34" w:rsidRPr="00D33237" w:rsidP="00FC70D0">
      <w:pPr>
        <w:pStyle w:val="Heading2"/>
        <w:widowControl/>
      </w:pPr>
      <w:r w:rsidRPr="00D33237">
        <w:t>Date of Tower Construction versus Date of National Register Listing</w:t>
      </w:r>
    </w:p>
    <w:p w:rsidR="006E4C34" w:rsidRPr="007A3064" w:rsidP="00FC70D0">
      <w:pPr>
        <w:pStyle w:val="ParaNum"/>
        <w:widowControl/>
      </w:pPr>
      <w:r w:rsidRPr="007A3064">
        <w:t>In its letter, the NYSHPO states that it determined the Farm</w:t>
      </w:r>
      <w:r w:rsidR="00296988">
        <w:t xml:space="preserve"> to be</w:t>
      </w:r>
      <w:r w:rsidRPr="007A3064">
        <w:t xml:space="preserve"> eligible for listing in the National Register on October 28, 1987, and that the FCC</w:t>
      </w:r>
      <w:r w:rsidR="00296988">
        <w:t xml:space="preserve"> informed it</w:t>
      </w:r>
      <w:r w:rsidRPr="007A3064">
        <w:t xml:space="preserve"> that construction of the tower was completed in January 1987.  The NYSHPO states that “[g]</w:t>
      </w:r>
      <w:r w:rsidRPr="007A3064">
        <w:t>iven</w:t>
      </w:r>
      <w:r w:rsidRPr="007A3064">
        <w:t xml:space="preserve"> the existence of the tower at the time the Farm was first determined eligible and subsequently listed in the National Register, the tower was part of the setting and could not have had an adverse effect on the farm.”</w:t>
      </w:r>
      <w:r>
        <w:rPr>
          <w:rStyle w:val="FootnoteReference"/>
          <w:szCs w:val="22"/>
        </w:rPr>
        <w:footnoteReference w:id="29"/>
      </w:r>
      <w:r w:rsidRPr="007A3064">
        <w:t xml:space="preserve">  </w:t>
      </w:r>
    </w:p>
    <w:p w:rsidR="006E4C34" w:rsidRPr="007A3064" w:rsidP="00FC70D0">
      <w:pPr>
        <w:pStyle w:val="ParaNum"/>
        <w:widowControl/>
      </w:pPr>
      <w:r w:rsidRPr="007A3064">
        <w:t>In his letter, Mr. Cunningham disputes the October 28, 1987 date that the NYSHPO indicated that the Farm was determined eligible for listing in the National Register.  In this regard, he cites to a January 23, 1987 letter that characterizes the Farm as eligible for listing in the National Registry as of that date.</w:t>
      </w:r>
      <w:r>
        <w:rPr>
          <w:rStyle w:val="FootnoteReference"/>
          <w:szCs w:val="22"/>
        </w:rPr>
        <w:footnoteReference w:id="30"/>
      </w:r>
      <w:r w:rsidRPr="007A3064">
        <w:t xml:space="preserve">  Mr. Cunningham also disputes the January 1987 date that the NYSHPO indicated that the tower was constructed.  In support, he refers to a letter from the attorney for RMTC to the FCC indicating that RMTC filed its application to construct and operate</w:t>
      </w:r>
      <w:r w:rsidR="00296988">
        <w:t xml:space="preserve"> from</w:t>
      </w:r>
      <w:r w:rsidRPr="007A3064">
        <w:t xml:space="preserve"> the tower on June 9, 1987.</w:t>
      </w:r>
      <w:r>
        <w:rPr>
          <w:rStyle w:val="FootnoteReference"/>
          <w:szCs w:val="22"/>
        </w:rPr>
        <w:footnoteReference w:id="31"/>
      </w:r>
      <w:r w:rsidRPr="007A3064">
        <w:t xml:space="preserve"> </w:t>
      </w:r>
    </w:p>
    <w:p w:rsidR="006E4C34" w:rsidRPr="00365F53" w:rsidP="00FC70D0">
      <w:pPr>
        <w:pStyle w:val="ParaNum"/>
        <w:widowControl/>
      </w:pPr>
      <w:r w:rsidRPr="007A3064">
        <w:t xml:space="preserve">We have reviewed the record associated with the ULS application, and find conflicting information about when the tower was constructed, and whether it was constructed prior to the </w:t>
      </w:r>
      <w:r w:rsidR="00296988">
        <w:t>NY</w:t>
      </w:r>
      <w:r w:rsidRPr="007A3064">
        <w:t>SHPO</w:t>
      </w:r>
      <w:r w:rsidR="00296988">
        <w:t>’s</w:t>
      </w:r>
      <w:r w:rsidRPr="007A3064">
        <w:t xml:space="preserve"> determination of the Farm’s eligibility for the National Register.</w:t>
      </w:r>
      <w:r>
        <w:rPr>
          <w:rStyle w:val="FootnoteReference"/>
          <w:szCs w:val="22"/>
        </w:rPr>
        <w:footnoteReference w:id="32"/>
      </w:r>
      <w:r w:rsidRPr="007A3064">
        <w:t xml:space="preserve">  Given that we required applicant to conduct the Section 106 review out of concern that it may have an adverse effect on the historic farmstead,</w:t>
      </w:r>
      <w:r>
        <w:rPr>
          <w:rStyle w:val="FootnoteReference"/>
          <w:szCs w:val="22"/>
        </w:rPr>
        <w:footnoteReference w:id="33"/>
      </w:r>
      <w:r w:rsidRPr="007A3064">
        <w:t xml:space="preserve"> and given that the </w:t>
      </w:r>
      <w:r w:rsidR="00224E20">
        <w:t>NY</w:t>
      </w:r>
      <w:r w:rsidRPr="007A3064">
        <w:t>SHPO has conducted the necessary substantive review, we need not reach a finding on the timing issue</w:t>
      </w:r>
      <w:r w:rsidR="00224E20">
        <w:t>.  We therefore do not rely on the NYSHPO’s first basis for its determination of no adverse effect</w:t>
      </w:r>
      <w:r w:rsidRPr="007A3064">
        <w:t xml:space="preserve">, and instead consider </w:t>
      </w:r>
      <w:r w:rsidR="00224E20">
        <w:t>its finding that</w:t>
      </w:r>
      <w:r w:rsidRPr="007A3064">
        <w:t xml:space="preserve"> the tower </w:t>
      </w:r>
      <w:r w:rsidR="00224E20">
        <w:t xml:space="preserve">does not diminish the integrity of </w:t>
      </w:r>
      <w:r w:rsidR="00A26FED">
        <w:t xml:space="preserve">characteristics that qualify </w:t>
      </w:r>
      <w:r w:rsidR="00224E20">
        <w:t>the Farm</w:t>
      </w:r>
      <w:r w:rsidR="00C819DD">
        <w:t xml:space="preserve"> </w:t>
      </w:r>
      <w:r w:rsidR="00A26FED">
        <w:t>for listing in the National Register</w:t>
      </w:r>
      <w:r w:rsidRPr="007A3064">
        <w:t xml:space="preserve">. </w:t>
      </w:r>
    </w:p>
    <w:p w:rsidR="006E4C34" w:rsidRPr="00D33237" w:rsidP="00FC70D0">
      <w:pPr>
        <w:pStyle w:val="Heading2"/>
        <w:widowControl/>
      </w:pPr>
      <w:r w:rsidRPr="00D33237">
        <w:t>Effect of the Tower on the Farm</w:t>
      </w:r>
    </w:p>
    <w:p w:rsidR="006E4C34" w:rsidRPr="007A3064" w:rsidP="00FC70D0">
      <w:pPr>
        <w:pStyle w:val="ParaNum"/>
        <w:widowControl/>
      </w:pPr>
      <w:r w:rsidRPr="007A3064">
        <w:t xml:space="preserve">The “Section 106 Cultural Resources Report” that Verizon Wireless </w:t>
      </w:r>
      <w:r w:rsidR="00224E20">
        <w:t>included in its Form 620 Submission Packet</w:t>
      </w:r>
      <w:r w:rsidRPr="007A3064">
        <w:t xml:space="preserve"> concluded that the tower has no adverse effect on historic </w:t>
      </w:r>
      <w:r w:rsidR="00A26FED">
        <w:t>properties</w:t>
      </w:r>
      <w:r w:rsidRPr="007A3064" w:rsidR="00A26FED">
        <w:t xml:space="preserve"> </w:t>
      </w:r>
      <w:r w:rsidRPr="007A3064">
        <w:t xml:space="preserve">in the </w:t>
      </w:r>
      <w:r w:rsidR="00503575">
        <w:t>Area of</w:t>
      </w:r>
      <w:r w:rsidR="00503575">
        <w:t xml:space="preserve"> Potential Effects</w:t>
      </w:r>
      <w:r w:rsidRPr="007A3064">
        <w:t xml:space="preserve"> </w:t>
      </w:r>
      <w:r w:rsidR="00503575">
        <w:t>(</w:t>
      </w:r>
      <w:r w:rsidRPr="007A3064">
        <w:t>APE</w:t>
      </w:r>
      <w:r w:rsidR="00503575">
        <w:t>) for visual effects because</w:t>
      </w:r>
      <w:r w:rsidRPr="007A3064">
        <w:t xml:space="preserve"> the Oliver Warner Farmstead</w:t>
      </w:r>
      <w:r w:rsidR="00503575">
        <w:t xml:space="preserve"> is not adversely affected</w:t>
      </w:r>
      <w:r w:rsidRPr="007A3064">
        <w:t xml:space="preserve"> and no other historic properties were identified in the APE.</w:t>
      </w:r>
      <w:r w:rsidR="00FC70D0">
        <w:t xml:space="preserve">  In reviewing this submission, t</w:t>
      </w:r>
      <w:r w:rsidRPr="007A3064">
        <w:t>he NYSHPO Letter state</w:t>
      </w:r>
      <w:r w:rsidR="00503575">
        <w:t>s,</w:t>
      </w:r>
      <w:r w:rsidRPr="007A3064">
        <w:t xml:space="preserve"> the question that </w:t>
      </w:r>
      <w:r w:rsidR="00503575">
        <w:t>the NYSHPO</w:t>
      </w:r>
      <w:r w:rsidRPr="007A3064">
        <w:t xml:space="preserve"> specifically considered was whether “the industrial communication tower directly or indirectly impact[s] the salient elements of the Farm that made it eligible for inclusion in the National Register.”</w:t>
      </w:r>
      <w:r>
        <w:rPr>
          <w:rStyle w:val="FootnoteReference"/>
          <w:szCs w:val="22"/>
        </w:rPr>
        <w:footnoteReference w:id="34"/>
      </w:r>
      <w:r w:rsidRPr="007A3064">
        <w:t xml:space="preserve">  The NYSHPO state</w:t>
      </w:r>
      <w:r w:rsidR="00503575">
        <w:t>s</w:t>
      </w:r>
      <w:r w:rsidRPr="007A3064">
        <w:t xml:space="preserve"> that the nomination of the Farm indicated that its primary significance was the “highly intact cobblestone farmhouse.”</w:t>
      </w:r>
      <w:r>
        <w:rPr>
          <w:rStyle w:val="FootnoteReference"/>
          <w:szCs w:val="22"/>
        </w:rPr>
        <w:footnoteReference w:id="35"/>
      </w:r>
      <w:r w:rsidRPr="007A3064">
        <w:t xml:space="preserve">  </w:t>
      </w:r>
      <w:r w:rsidR="00503575">
        <w:t>In this regard, t</w:t>
      </w:r>
      <w:r w:rsidRPr="007A3064">
        <w:t xml:space="preserve">he NYSHPO </w:t>
      </w:r>
      <w:r w:rsidR="00503575">
        <w:t xml:space="preserve">cites its 1987 letter to the </w:t>
      </w:r>
      <w:r w:rsidR="00503575">
        <w:t>Cunninghams</w:t>
      </w:r>
      <w:r w:rsidR="00503575">
        <w:t xml:space="preserve"> stating that</w:t>
      </w:r>
      <w:r w:rsidRPr="007A3064">
        <w:t xml:space="preserve"> the Oliver Warner House was “architecturally significant as a distinctive example of early nineteenth century cobblestone residential architecture.”</w:t>
      </w:r>
      <w:r>
        <w:rPr>
          <w:rStyle w:val="FootnoteReference"/>
          <w:szCs w:val="22"/>
        </w:rPr>
        <w:footnoteReference w:id="36"/>
      </w:r>
      <w:r w:rsidRPr="007A3064">
        <w:t xml:space="preserve">  The NYSHPO also observe</w:t>
      </w:r>
      <w:r w:rsidR="00503575">
        <w:t>s</w:t>
      </w:r>
      <w:r w:rsidRPr="007A3064">
        <w:t xml:space="preserve"> that while the National Register nomination for the farmstead provides an overview of the property which mentions that the entire 203 acres are included in the nomination, there is no other mention of the farm acreage or setting in the “description section” of the nomination form.</w:t>
      </w:r>
      <w:r>
        <w:rPr>
          <w:rStyle w:val="FootnoteReference"/>
        </w:rPr>
        <w:footnoteReference w:id="37"/>
      </w:r>
      <w:r w:rsidRPr="007A3064">
        <w:t xml:space="preserve">  For these reasons, the NYSHPO found that “the ability for the house to be fully understood and interpreted as a historic resource is not diminished by the presence of the structure several hundred feet away and on the opposite side of the road,”</w:t>
      </w:r>
      <w:r>
        <w:rPr>
          <w:rStyle w:val="FootnoteReference"/>
          <w:szCs w:val="22"/>
        </w:rPr>
        <w:footnoteReference w:id="38"/>
      </w:r>
      <w:r w:rsidRPr="007A3064">
        <w:t xml:space="preserve"> and therefore found no adverse effect on the Farm.</w:t>
      </w:r>
    </w:p>
    <w:p w:rsidR="006E4C34" w:rsidRPr="007A3064" w:rsidP="00FC70D0">
      <w:pPr>
        <w:pStyle w:val="ParaNum"/>
        <w:widowControl/>
      </w:pPr>
      <w:r>
        <w:t>Mr. Cunningham and Landmark Farms</w:t>
      </w:r>
      <w:r w:rsidRPr="007A3064">
        <w:t xml:space="preserve"> argue that the NYSHPO used a standard</w:t>
      </w:r>
      <w:r>
        <w:t xml:space="preserve"> for adverse effects that is</w:t>
      </w:r>
      <w:r w:rsidRPr="007A3064">
        <w:t xml:space="preserve"> significantly higher than what is required under Section 106 of the NHPA.</w:t>
      </w:r>
      <w:r>
        <w:rPr>
          <w:rStyle w:val="FootnoteReference"/>
          <w:szCs w:val="22"/>
        </w:rPr>
        <w:footnoteReference w:id="39"/>
      </w:r>
      <w:r w:rsidRPr="007A3064">
        <w:t xml:space="preserve">  In this regard, </w:t>
      </w:r>
      <w:r>
        <w:t>t</w:t>
      </w:r>
      <w:r w:rsidRPr="007A3064">
        <w:t>he</w:t>
      </w:r>
      <w:r>
        <w:t>y</w:t>
      </w:r>
      <w:r w:rsidRPr="007A3064">
        <w:t xml:space="preserve"> assert that the NYSHPO’s standard of review was “whether the undertaking would have an effect so adverse as to render the historic asset ineligible for inclusion in the National Register.”</w:t>
      </w:r>
      <w:r>
        <w:rPr>
          <w:rStyle w:val="FootnoteReference"/>
          <w:szCs w:val="22"/>
        </w:rPr>
        <w:footnoteReference w:id="40"/>
      </w:r>
      <w:r w:rsidRPr="007A3064">
        <w:t xml:space="preserve">  In </w:t>
      </w:r>
      <w:r w:rsidRPr="007A3064">
        <w:t xml:space="preserve">addition, </w:t>
      </w:r>
      <w:r>
        <w:t>they</w:t>
      </w:r>
      <w:r w:rsidRPr="007A3064">
        <w:t xml:space="preserve"> disagree with the NYSHPO’s determination that the tower does not have an adverse effect on the characteristics of the Farm that qualif</w:t>
      </w:r>
      <w:r>
        <w:t>y</w:t>
      </w:r>
      <w:r w:rsidRPr="007A3064">
        <w:t xml:space="preserve"> it for inclusion in the National Register.</w:t>
      </w:r>
      <w:r>
        <w:rPr>
          <w:rStyle w:val="FootnoteReference"/>
          <w:szCs w:val="22"/>
        </w:rPr>
        <w:footnoteReference w:id="41"/>
      </w:r>
      <w:r w:rsidRPr="007A3064">
        <w:t xml:space="preserve">  </w:t>
      </w:r>
    </w:p>
    <w:p w:rsidR="006E4C34" w:rsidRPr="007A3064" w:rsidP="00FC70D0">
      <w:pPr>
        <w:pStyle w:val="ParaNum"/>
        <w:widowControl/>
        <w:rPr>
          <w:b/>
        </w:rPr>
      </w:pPr>
      <w:r>
        <w:t>Upon review</w:t>
      </w:r>
      <w:r w:rsidRPr="007A3064">
        <w:t xml:space="preserve">, we </w:t>
      </w:r>
      <w:r w:rsidR="005F26C4">
        <w:t>find that</w:t>
      </w:r>
      <w:r w:rsidRPr="007A3064">
        <w:t xml:space="preserve"> the NYSHPO’s assessment of the visual effects of the tower on the farmstead </w:t>
      </w:r>
      <w:r w:rsidR="005F26C4">
        <w:t>was</w:t>
      </w:r>
      <w:r w:rsidRPr="007A3064">
        <w:t xml:space="preserve"> consistent with the standard under the NPA</w:t>
      </w:r>
      <w:r w:rsidR="00503575">
        <w:t>, which defines how Section 106 is to be applied in the context of communications towers regulated by the FCC</w:t>
      </w:r>
      <w:r w:rsidRPr="007A3064">
        <w:t>.</w:t>
      </w:r>
      <w:r>
        <w:rPr>
          <w:rStyle w:val="FootnoteReference"/>
        </w:rPr>
        <w:footnoteReference w:id="42"/>
      </w:r>
      <w:r w:rsidRPr="007A3064">
        <w:t xml:space="preserve">  Section VI.E.3. of the NPA provides that “[a]n undertaking will have a visual adverse effect on a Historic Property if the visual effect from the Facility will noticeably diminish the integrity of one or more of the characteristics qualifying the property for inclusion in or eligibility for the National Register.  Construction of a facility will not cause a visual adverse effect except where visual setting or visual elements are character-defining features of eligibility of a Historic Property located within the APE.”</w:t>
      </w:r>
      <w:r>
        <w:rPr>
          <w:rStyle w:val="FootnoteReference"/>
          <w:szCs w:val="22"/>
        </w:rPr>
        <w:footnoteReference w:id="43"/>
      </w:r>
      <w:r w:rsidRPr="007A3064">
        <w:t xml:space="preserve">  Consistent with this provision, the NYSHPO </w:t>
      </w:r>
      <w:r w:rsidR="00E96FAA">
        <w:t>recommended</w:t>
      </w:r>
      <w:r w:rsidRPr="007A3064">
        <w:t xml:space="preserve"> that because the character-defining features of eligibility for the Farm are architectural rather than visual, the tower does not cause a visual adverse effect.  We therefore reject the argument that the </w:t>
      </w:r>
      <w:r w:rsidR="00503575">
        <w:t>NY</w:t>
      </w:r>
      <w:r w:rsidRPr="007A3064">
        <w:t xml:space="preserve">SHPO used an effect standard that was higher than </w:t>
      </w:r>
      <w:r w:rsidR="00503575">
        <w:t>contemplated</w:t>
      </w:r>
      <w:r w:rsidRPr="007A3064">
        <w:t xml:space="preserve"> under Section 106 of the N</w:t>
      </w:r>
      <w:r w:rsidR="00503575">
        <w:t>H</w:t>
      </w:r>
      <w:r w:rsidRPr="007A3064">
        <w:t xml:space="preserve">PA. </w:t>
      </w:r>
    </w:p>
    <w:p w:rsidR="006E4C34" w:rsidRPr="00D33237" w:rsidP="00FC70D0">
      <w:pPr>
        <w:pStyle w:val="Heading2"/>
        <w:widowControl/>
      </w:pPr>
      <w:r w:rsidRPr="00D33237">
        <w:t>NYSHPO Oct. 16, 2003 Letter</w:t>
      </w:r>
    </w:p>
    <w:p w:rsidR="006E4C34" w:rsidRPr="007A3064" w:rsidP="00FC70D0">
      <w:pPr>
        <w:pStyle w:val="ParaNum"/>
        <w:widowControl/>
      </w:pPr>
      <w:r>
        <w:t>Mr. Cunningham and Landmark Farms further</w:t>
      </w:r>
      <w:r w:rsidRPr="007A3064">
        <w:t xml:space="preserve"> observe that, in a letter dated October 16, 2003, the NYSHPO</w:t>
      </w:r>
      <w:r>
        <w:t xml:space="preserve"> previously</w:t>
      </w:r>
      <w:r w:rsidRPr="007A3064">
        <w:t xml:space="preserve"> determined that the Hopewell tower has an adverse effect on the Farm.</w:t>
      </w:r>
      <w:r>
        <w:rPr>
          <w:rStyle w:val="FootnoteReference"/>
          <w:szCs w:val="22"/>
        </w:rPr>
        <w:footnoteReference w:id="44"/>
      </w:r>
      <w:r w:rsidRPr="007A3064">
        <w:t xml:space="preserve">  Accordingly, </w:t>
      </w:r>
      <w:r>
        <w:t>they</w:t>
      </w:r>
      <w:r w:rsidRPr="007A3064">
        <w:t xml:space="preserve"> request that the NYSHPO reconsider the no adverse effect determination made in its letter.</w:t>
      </w:r>
      <w:r>
        <w:rPr>
          <w:rStyle w:val="FootnoteReference"/>
          <w:szCs w:val="22"/>
        </w:rPr>
        <w:footnoteReference w:id="45"/>
      </w:r>
    </w:p>
    <w:p w:rsidR="006E4C34" w:rsidRPr="007A3064" w:rsidP="00FC70D0">
      <w:pPr>
        <w:pStyle w:val="ParaNum"/>
        <w:widowControl/>
      </w:pPr>
      <w:bookmarkStart w:id="0" w:name="_GoBack"/>
      <w:bookmarkEnd w:id="0"/>
      <w:r w:rsidRPr="007A3064">
        <w:t>We reject the argument that the NYSHPO’s June 5, 2017 letter contradicts the NYSHPO’s October 16, 2003 letter.  At the time that the October 16, 2003 letter was written, the Section 106 record was incomplete.  Applicant had never reviewed the tower for potential effects on historic properties, much less submitted its evaluation to the SHPO, as required by Section 106 of the NHPA.  A</w:t>
      </w:r>
      <w:r w:rsidR="00F04F0C">
        <w:t>ccordingly</w:t>
      </w:r>
      <w:r w:rsidRPr="007A3064">
        <w:t>, the NYSHPO’s determination of effect was premature, because it lacked sufficient information to fully apply the criteria of adverse effect on historic properties within the APE.</w:t>
      </w:r>
    </w:p>
    <w:p w:rsidR="00423AB6" w:rsidP="00FC70D0">
      <w:pPr>
        <w:pStyle w:val="Heading2"/>
        <w:widowControl/>
      </w:pPr>
      <w:r>
        <w:t>1999</w:t>
      </w:r>
      <w:r w:rsidR="008C19F2">
        <w:t xml:space="preserve"> NYSHPO Complaint</w:t>
      </w:r>
      <w:r>
        <w:t xml:space="preserve"> and 2000 </w:t>
      </w:r>
      <w:r w:rsidR="008C19F2">
        <w:t xml:space="preserve">Cunningham </w:t>
      </w:r>
      <w:r>
        <w:t>Complaint</w:t>
      </w:r>
    </w:p>
    <w:p w:rsidR="00BF2E1D" w:rsidP="00FC70D0">
      <w:pPr>
        <w:pStyle w:val="ParaNum"/>
        <w:widowControl/>
      </w:pPr>
      <w:r w:rsidRPr="007A3064">
        <w:t>Finally, the complaints filed by t</w:t>
      </w:r>
      <w:r w:rsidRPr="007A3064" w:rsidR="00DE770D">
        <w:t>he NYSHPO and Joanne Cunningham contend that the existing tower, including the installation of any additional antennas, is not in compliance with Section 106.</w:t>
      </w:r>
      <w:r>
        <w:rPr>
          <w:rStyle w:val="FootnoteReference"/>
          <w:szCs w:val="22"/>
        </w:rPr>
        <w:footnoteReference w:id="46"/>
      </w:r>
      <w:r w:rsidRPr="007A3064">
        <w:t xml:space="preserve"> </w:t>
      </w:r>
      <w:r w:rsidR="005F26C4">
        <w:t xml:space="preserve"> </w:t>
      </w:r>
      <w:r w:rsidRPr="007A3064" w:rsidR="00B91DA4">
        <w:t>In light of the NYSHPO</w:t>
      </w:r>
      <w:r>
        <w:t>’s subsequent</w:t>
      </w:r>
      <w:r w:rsidRPr="007A3064" w:rsidR="00B91DA4">
        <w:t xml:space="preserve"> no adverse effect determination,</w:t>
      </w:r>
      <w:r>
        <w:t xml:space="preserve"> together with our denial of the challenges to this determination for the reasons discussed above,</w:t>
      </w:r>
      <w:r w:rsidRPr="007A3064" w:rsidR="00B91DA4">
        <w:t xml:space="preserve"> we</w:t>
      </w:r>
      <w:r w:rsidRPr="007A3064">
        <w:t xml:space="preserve"> </w:t>
      </w:r>
      <w:r w:rsidR="005F26C4">
        <w:t>reject</w:t>
      </w:r>
      <w:r w:rsidRPr="007A3064" w:rsidR="00B91DA4">
        <w:t xml:space="preserve"> these arguments.</w:t>
      </w:r>
    </w:p>
    <w:p w:rsidR="006E4C34" w:rsidP="008D116D">
      <w:pPr>
        <w:pStyle w:val="Heading2"/>
        <w:widowControl/>
      </w:pPr>
      <w:r>
        <w:t>Verizon Wireless’s Petition for Reconsideration</w:t>
      </w:r>
      <w:r w:rsidRPr="007A3064" w:rsidR="00FD170C">
        <w:t xml:space="preserve"> </w:t>
      </w:r>
    </w:p>
    <w:p w:rsidR="00BF2E1D" w:rsidRPr="00BF2E1D" w:rsidP="008D116D">
      <w:pPr>
        <w:pStyle w:val="ParaNum"/>
        <w:widowControl/>
      </w:pPr>
      <w:r>
        <w:t>Because Verizon Wireless has complied with the requirements set forth in the Division Letter and this Order resolves the underlying dispute in its favor, we dismiss Verizon Wireless’s Petition for Reconsideration as moot.</w:t>
      </w:r>
    </w:p>
    <w:p w:rsidR="006E4C34" w:rsidRPr="00D33237" w:rsidP="00FC70D0">
      <w:pPr>
        <w:widowControl/>
        <w:rPr>
          <w:szCs w:val="22"/>
        </w:rPr>
      </w:pPr>
    </w:p>
    <w:p w:rsidR="006E4C34" w:rsidRPr="00F427F8" w:rsidP="00FC70D0">
      <w:pPr>
        <w:pStyle w:val="Heading1"/>
        <w:widowControl/>
      </w:pPr>
      <w:r>
        <w:t>CONC</w:t>
      </w:r>
      <w:r w:rsidR="00F427F8">
        <w:t>LUSION</w:t>
      </w:r>
    </w:p>
    <w:p w:rsidR="008C19F2" w:rsidP="00FC70D0">
      <w:pPr>
        <w:pStyle w:val="ParaNum"/>
        <w:widowControl/>
      </w:pPr>
      <w:r w:rsidRPr="007A3064">
        <w:t xml:space="preserve">Based on the information before us, we </w:t>
      </w:r>
      <w:r w:rsidR="004366C4">
        <w:t>concur</w:t>
      </w:r>
      <w:r>
        <w:t xml:space="preserve"> with</w:t>
      </w:r>
      <w:r w:rsidRPr="007A3064">
        <w:t xml:space="preserve"> the NYSHPO’s determination that </w:t>
      </w:r>
      <w:r w:rsidR="00BF2E1D">
        <w:t>Verizon Wireless’s</w:t>
      </w:r>
      <w:r w:rsidRPr="007A3064">
        <w:t xml:space="preserve"> tower does not diminish the integrity of the characteristics of the </w:t>
      </w:r>
      <w:r w:rsidR="00BF2E1D">
        <w:t>F</w:t>
      </w:r>
      <w:r w:rsidRPr="007A3064">
        <w:t>arm that qualif</w:t>
      </w:r>
      <w:r w:rsidR="00BF2E1D">
        <w:t>y</w:t>
      </w:r>
      <w:r w:rsidRPr="007A3064">
        <w:t xml:space="preserve"> it for inclusion in the National Register.  </w:t>
      </w:r>
      <w:r w:rsidRPr="007A3064">
        <w:t>In light of</w:t>
      </w:r>
      <w:r w:rsidRPr="007A3064">
        <w:t xml:space="preserve"> the Section 106 review conducted for the tower as well </w:t>
      </w:r>
      <w:r w:rsidRPr="007A3064">
        <w:t>as the NYSHPO</w:t>
      </w:r>
      <w:r w:rsidR="00BF2E1D">
        <w:t>’s</w:t>
      </w:r>
      <w:r w:rsidRPr="007A3064">
        <w:t xml:space="preserve"> concurrence that the tower does not have an adverse effect on historic properties, we find that Verizon Wireless has complied generally and substantively with the Commission’s Section 106 process for assessing impacts pursuant to its rules implementing the NHPA. </w:t>
      </w:r>
    </w:p>
    <w:p w:rsidR="005F26C4" w:rsidP="005F26C4">
      <w:pPr>
        <w:pStyle w:val="ParaNum"/>
        <w:widowControl/>
        <w:numPr>
          <w:ilvl w:val="0"/>
          <w:numId w:val="0"/>
        </w:numPr>
        <w:ind w:left="720"/>
      </w:pPr>
    </w:p>
    <w:p w:rsidR="008C19F2" w:rsidP="00FC70D0">
      <w:pPr>
        <w:pStyle w:val="Heading1"/>
        <w:widowControl/>
      </w:pPr>
      <w:r>
        <w:t>ORDERING CLAUSES</w:t>
      </w:r>
    </w:p>
    <w:p w:rsidR="00DC249C" w:rsidP="00FC70D0">
      <w:pPr>
        <w:pStyle w:val="ParaNum"/>
        <w:widowControl/>
      </w:pPr>
      <w:r>
        <w:t>Accordingly, IT IS ORDERED that pursuant to Sections 4(</w:t>
      </w:r>
      <w:r>
        <w:t>i</w:t>
      </w:r>
      <w:r>
        <w:t>) and 405 of the Communications Act of 1934, as amended, 47 U.S.C. §§ 154(</w:t>
      </w:r>
      <w:r>
        <w:t>i</w:t>
      </w:r>
      <w:r>
        <w:t>), 405, and Section 1.106 of the Commission</w:t>
      </w:r>
      <w:r w:rsidR="00870949">
        <w:t xml:space="preserve">’s rules, 47 C.F.R. § 1.106, the Petition for Reconsideration filed by Verizon Wireless and any related pleadings </w:t>
      </w:r>
      <w:r w:rsidR="00861A68">
        <w:t>are DISMISSED as MOOT.</w:t>
      </w:r>
    </w:p>
    <w:p w:rsidR="007D0224" w:rsidP="00FC70D0">
      <w:pPr>
        <w:pStyle w:val="ParaNum"/>
        <w:widowControl/>
      </w:pPr>
      <w:r>
        <w:t>IT IS FURTHER ORDERED that</w:t>
      </w:r>
      <w:r>
        <w:t xml:space="preserve"> pursuant to Section 106 of the National Historic Preservation Act, 54 U.S.C. § 306108</w:t>
      </w:r>
      <w:r w:rsidR="00910FE6">
        <w:t xml:space="preserve">, </w:t>
      </w:r>
      <w:r w:rsidR="00D73D36">
        <w:t xml:space="preserve">and Section 1.1307 of the Commission’s rules, 47 C.F.R. § 1.1307, </w:t>
      </w:r>
      <w:r w:rsidR="00910FE6">
        <w:t xml:space="preserve">the objections submitted by Mr. Roger Cunningham and </w:t>
      </w:r>
      <w:r w:rsidR="00BF2E1D">
        <w:t>Landmark Farms, Inc.,</w:t>
      </w:r>
      <w:r w:rsidR="00910FE6">
        <w:t xml:space="preserve"> are DISMISSED IN PART and DENIED IN PART.</w:t>
      </w:r>
    </w:p>
    <w:p w:rsidR="00910FE6" w:rsidP="00FC70D0">
      <w:pPr>
        <w:pStyle w:val="ParaNum"/>
        <w:widowControl/>
      </w:pPr>
      <w:r>
        <w:t>IT IS FURTHER ORDERED</w:t>
      </w:r>
      <w:r w:rsidR="00FB2348">
        <w:t xml:space="preserve"> that</w:t>
      </w:r>
      <w:r>
        <w:t xml:space="preserve"> pursuant to Section</w:t>
      </w:r>
      <w:r w:rsidR="000E26FC">
        <w:t xml:space="preserve"> 106 of the National Historic Preservation Act, 54 U.S.C. §</w:t>
      </w:r>
      <w:r w:rsidR="00BF2E1D">
        <w:t xml:space="preserve"> </w:t>
      </w:r>
      <w:r w:rsidR="000E26FC">
        <w:t>3061</w:t>
      </w:r>
      <w:r w:rsidR="00BF2E1D">
        <w:t>0</w:t>
      </w:r>
      <w:r w:rsidR="000E26FC">
        <w:t>8, the complaint filed by the New York State Historic Preservation Officer in 1999 and the complaint filed by Mrs. Joanne Cunningham in 2000 ARE DENIED.</w:t>
      </w:r>
    </w:p>
    <w:p w:rsidR="006E4C34" w:rsidP="00FC70D0">
      <w:pPr>
        <w:pStyle w:val="ParaNum"/>
        <w:widowControl/>
      </w:pPr>
      <w:r>
        <w:t>IT IS FURTHER ORDERED</w:t>
      </w:r>
      <w:r w:rsidR="00365C2B">
        <w:t xml:space="preserve"> that the</w:t>
      </w:r>
      <w:r w:rsidR="00B146AA">
        <w:t xml:space="preserve"> application (ULS Application No. 0001414628)</w:t>
      </w:r>
      <w:r w:rsidR="00365C2B">
        <w:t xml:space="preserve"> </w:t>
      </w:r>
      <w:r w:rsidR="00B146AA">
        <w:t xml:space="preserve">with an </w:t>
      </w:r>
      <w:r w:rsidR="00365C2B">
        <w:t>Environmental Assessment filed by Verizon Wireless</w:t>
      </w:r>
      <w:r w:rsidR="002D711F">
        <w:t xml:space="preserve"> </w:t>
      </w:r>
      <w:r w:rsidR="00B146AA">
        <w:t>o</w:t>
      </w:r>
      <w:r w:rsidR="002D711F">
        <w:t>n A</w:t>
      </w:r>
      <w:r w:rsidR="00365C2B">
        <w:t>ugust 12, 2003</w:t>
      </w:r>
      <w:r w:rsidR="00BF2E1D">
        <w:t>,</w:t>
      </w:r>
      <w:r w:rsidRPr="007A3064" w:rsidR="002D711F">
        <w:t xml:space="preserve"> </w:t>
      </w:r>
      <w:r w:rsidR="002D711F">
        <w:t xml:space="preserve">IS </w:t>
      </w:r>
      <w:r w:rsidRPr="007A3064">
        <w:t>DISMISS</w:t>
      </w:r>
      <w:r w:rsidR="002D711F">
        <w:t>ED</w:t>
      </w:r>
      <w:r>
        <w:t xml:space="preserve"> as </w:t>
      </w:r>
      <w:r w:rsidR="002D711F">
        <w:t>MOOT.</w:t>
      </w:r>
    </w:p>
    <w:p w:rsidR="00074718">
      <w:pPr>
        <w:widowControl/>
      </w:pPr>
      <w:r>
        <w:br w:type="page"/>
      </w:r>
    </w:p>
    <w:p w:rsidR="002D711F" w:rsidRPr="007A3064" w:rsidP="00074718">
      <w:pPr>
        <w:pStyle w:val="ParaNum"/>
        <w:keepLines/>
        <w:widowControl/>
      </w:pPr>
      <w:r>
        <w:t xml:space="preserve">This action is taken pursuant to delegated authority under Section 0.331 of the Commission’s rules, 47 C.F.R. § </w:t>
      </w:r>
      <w:r w:rsidR="00B146AA">
        <w:t>0.33</w:t>
      </w:r>
      <w:r w:rsidR="00FB2348">
        <w:t>1</w:t>
      </w:r>
      <w:r w:rsidR="00B146AA">
        <w:t>.</w:t>
      </w:r>
    </w:p>
    <w:p w:rsidR="006E4C34" w:rsidRPr="00D33237" w:rsidP="00074718">
      <w:pPr>
        <w:keepLines/>
        <w:widowControl/>
        <w:rPr>
          <w:szCs w:val="22"/>
        </w:rPr>
      </w:pPr>
    </w:p>
    <w:p w:rsidR="006E4C34" w:rsidRPr="00D33237" w:rsidP="00074718">
      <w:pPr>
        <w:keepLines/>
        <w:widowControl/>
        <w:tabs>
          <w:tab w:val="left" w:pos="-720"/>
        </w:tabs>
        <w:suppressAutoHyphens/>
        <w:rPr>
          <w:szCs w:val="22"/>
        </w:rPr>
      </w:pPr>
      <w:r w:rsidRPr="00D33237">
        <w:rPr>
          <w:szCs w:val="22"/>
        </w:rPr>
        <w:tab/>
      </w:r>
      <w:r w:rsidRPr="00D33237">
        <w:rPr>
          <w:szCs w:val="22"/>
        </w:rPr>
        <w:tab/>
      </w:r>
      <w:r w:rsidRPr="00D33237">
        <w:rPr>
          <w:szCs w:val="22"/>
        </w:rPr>
        <w:tab/>
      </w:r>
      <w:r w:rsidRPr="00D33237">
        <w:rPr>
          <w:szCs w:val="22"/>
        </w:rPr>
        <w:tab/>
      </w:r>
      <w:r w:rsidRPr="00D33237">
        <w:rPr>
          <w:szCs w:val="22"/>
        </w:rPr>
        <w:tab/>
        <w:t xml:space="preserve">   </w:t>
      </w:r>
    </w:p>
    <w:p w:rsidR="006E4C34" w:rsidRPr="00D33237" w:rsidP="00074718">
      <w:pPr>
        <w:keepLines/>
        <w:widowControl/>
        <w:tabs>
          <w:tab w:val="left" w:pos="-720"/>
        </w:tabs>
        <w:suppressAutoHyphens/>
        <w:ind w:left="4230"/>
        <w:rPr>
          <w:szCs w:val="22"/>
        </w:rPr>
      </w:pPr>
      <w:r w:rsidRPr="00D33237">
        <w:rPr>
          <w:szCs w:val="22"/>
        </w:rPr>
        <w:tab/>
      </w:r>
      <w:r w:rsidR="008C1A24">
        <w:rPr>
          <w:szCs w:val="22"/>
        </w:rPr>
        <w:t>Federal Communications Commission</w:t>
      </w:r>
    </w:p>
    <w:p w:rsidR="006E4C34" w:rsidRPr="00D33237" w:rsidP="00074718">
      <w:pPr>
        <w:pStyle w:val="Header"/>
        <w:keepLines/>
        <w:widowControl/>
        <w:rPr>
          <w:szCs w:val="22"/>
        </w:rPr>
      </w:pPr>
    </w:p>
    <w:p w:rsidR="006E4C34" w:rsidRPr="00D33237" w:rsidP="00074718">
      <w:pPr>
        <w:pStyle w:val="Header"/>
        <w:keepLines/>
        <w:widowControl/>
        <w:rPr>
          <w:szCs w:val="22"/>
        </w:rPr>
      </w:pPr>
    </w:p>
    <w:p w:rsidR="006E4C34" w:rsidRPr="00D33237" w:rsidP="00074718">
      <w:pPr>
        <w:keepLines/>
        <w:widowControl/>
        <w:rPr>
          <w:szCs w:val="22"/>
        </w:rPr>
      </w:pPr>
    </w:p>
    <w:p w:rsidR="006E4C34" w:rsidRPr="00D33237" w:rsidP="00074718">
      <w:pPr>
        <w:keepLines/>
        <w:widowControl/>
        <w:ind w:left="2880" w:firstLine="720"/>
        <w:rPr>
          <w:b/>
          <w:szCs w:val="22"/>
        </w:rPr>
      </w:pPr>
      <w:r w:rsidRPr="00D33237">
        <w:rPr>
          <w:b/>
          <w:szCs w:val="22"/>
        </w:rPr>
        <w:t xml:space="preserve">     </w:t>
      </w:r>
    </w:p>
    <w:p w:rsidR="00933B87" w:rsidP="00074718">
      <w:pPr>
        <w:keepLines/>
        <w:widowControl/>
        <w:ind w:left="4320"/>
        <w:rPr>
          <w:szCs w:val="22"/>
        </w:rPr>
      </w:pPr>
      <w:r>
        <w:rPr>
          <w:szCs w:val="22"/>
        </w:rPr>
        <w:t>Aaron Goldschmidt</w:t>
      </w:r>
    </w:p>
    <w:p w:rsidR="00933B87" w:rsidP="00074718">
      <w:pPr>
        <w:keepLines/>
        <w:widowControl/>
        <w:ind w:left="4320"/>
        <w:rPr>
          <w:szCs w:val="22"/>
        </w:rPr>
      </w:pPr>
      <w:r>
        <w:rPr>
          <w:szCs w:val="22"/>
        </w:rPr>
        <w:t xml:space="preserve">Acting </w:t>
      </w:r>
      <w:r w:rsidRPr="00D33237" w:rsidR="006E4C34">
        <w:rPr>
          <w:szCs w:val="22"/>
        </w:rPr>
        <w:t>Deputy Chief</w:t>
      </w:r>
    </w:p>
    <w:p w:rsidR="00933B87" w:rsidP="00074718">
      <w:pPr>
        <w:keepLines/>
        <w:widowControl/>
        <w:ind w:left="4320"/>
        <w:rPr>
          <w:szCs w:val="22"/>
        </w:rPr>
      </w:pPr>
      <w:r w:rsidRPr="00D33237">
        <w:rPr>
          <w:szCs w:val="22"/>
        </w:rPr>
        <w:t>Competition and Infrastructure Policy Division</w:t>
      </w:r>
    </w:p>
    <w:p w:rsidR="006E4C34" w:rsidRPr="00D33237" w:rsidP="00074718">
      <w:pPr>
        <w:keepLines/>
        <w:widowControl/>
        <w:ind w:left="4320"/>
        <w:rPr>
          <w:szCs w:val="22"/>
        </w:rPr>
      </w:pPr>
      <w:r w:rsidRPr="00D33237">
        <w:rPr>
          <w:szCs w:val="22"/>
        </w:rPr>
        <w:t>Wireless Telecommunications Bureau</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8</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4B12">
      <w:r>
        <w:separator/>
      </w:r>
    </w:p>
  </w:footnote>
  <w:footnote w:type="continuationSeparator" w:id="1">
    <w:p w:rsidR="00DA4B12" w:rsidP="00C721AC">
      <w:pPr>
        <w:spacing w:before="120"/>
        <w:rPr>
          <w:sz w:val="20"/>
        </w:rPr>
      </w:pPr>
      <w:r>
        <w:rPr>
          <w:sz w:val="20"/>
        </w:rPr>
        <w:t xml:space="preserve">(Continued from previous page)  </w:t>
      </w:r>
      <w:r>
        <w:rPr>
          <w:sz w:val="20"/>
        </w:rPr>
        <w:separator/>
      </w:r>
    </w:p>
  </w:footnote>
  <w:footnote w:type="continuationNotice" w:id="2">
    <w:p w:rsidR="00DA4B12" w:rsidP="00C721AC">
      <w:pPr>
        <w:jc w:val="right"/>
        <w:rPr>
          <w:sz w:val="20"/>
        </w:rPr>
      </w:pPr>
      <w:r>
        <w:rPr>
          <w:sz w:val="20"/>
        </w:rPr>
        <w:t>(continued….)</w:t>
      </w:r>
    </w:p>
  </w:footnote>
  <w:footnote w:id="3">
    <w:p w:rsidR="006E4C34" w:rsidP="006E4C34">
      <w:pPr>
        <w:pStyle w:val="FootnoteText"/>
      </w:pPr>
      <w:r>
        <w:rPr>
          <w:rStyle w:val="FootnoteReference"/>
        </w:rPr>
        <w:footnoteRef/>
      </w:r>
      <w:r>
        <w:t xml:space="preserve"> Letter from John A. </w:t>
      </w:r>
      <w:r>
        <w:t>Bonafide</w:t>
      </w:r>
      <w:r>
        <w:t xml:space="preserve">, Director, Division for Historic Preservation, New York State Department of Parks, Recreation and Historic Preservation, to Jacquie Payette, ERM (June 5, 2017) (NYSHPO Letter). </w:t>
      </w:r>
    </w:p>
  </w:footnote>
  <w:footnote w:id="4">
    <w:p w:rsidR="006E4C34" w:rsidP="006E4C34">
      <w:pPr>
        <w:pStyle w:val="FootnoteText"/>
      </w:pPr>
      <w:r>
        <w:rPr>
          <w:rStyle w:val="FootnoteReference"/>
        </w:rPr>
        <w:footnoteRef/>
      </w:r>
      <w:r>
        <w:t xml:space="preserve"> Letter from Jonathan R. </w:t>
      </w:r>
      <w:r>
        <w:t>Tantillo</w:t>
      </w:r>
      <w:r>
        <w:t xml:space="preserve">, Knauf Shaw LLP, to John A. </w:t>
      </w:r>
      <w:r>
        <w:t>Bonafide</w:t>
      </w:r>
      <w:r>
        <w:t>, Director, Div</w:t>
      </w:r>
      <w:r w:rsidR="00853ED1">
        <w:t>ision for Historic Preservation</w:t>
      </w:r>
      <w:r>
        <w:t>, New York State Department of Parks, Recreation and Historic Preservation (June 2</w:t>
      </w:r>
      <w:r w:rsidR="00184892">
        <w:t>3, 2017) (</w:t>
      </w:r>
      <w:r w:rsidR="00184892">
        <w:t>Tantillo</w:t>
      </w:r>
      <w:r w:rsidR="00184892">
        <w:t xml:space="preserve"> Letter) and L</w:t>
      </w:r>
      <w:r>
        <w:t xml:space="preserve">etter from Mr. Roger Cunningham to John A. </w:t>
      </w:r>
      <w:r>
        <w:t>Bonafide</w:t>
      </w:r>
      <w:r>
        <w:t>, Director, Division for Historic Preservation, New York Department of Parks, Recreation and Historic Preservation (July 2, 2017) (Cunningham Letter).</w:t>
      </w:r>
    </w:p>
  </w:footnote>
  <w:footnote w:id="5">
    <w:p w:rsidR="00B45166">
      <w:pPr>
        <w:pStyle w:val="FootnoteText"/>
      </w:pPr>
      <w:r>
        <w:rPr>
          <w:rStyle w:val="FootnoteReference"/>
        </w:rPr>
        <w:footnoteRef/>
      </w:r>
      <w:r>
        <w:t xml:space="preserve"> Letters from Richard M. Lord, Historic Sites Restoration Coordinator, Division for Historic Preservation, New York State Department of Parks, Recreation and Historic Preservation,</w:t>
      </w:r>
      <w:r w:rsidR="006A363C">
        <w:t xml:space="preserve"> to Rose </w:t>
      </w:r>
      <w:r w:rsidR="006A363C">
        <w:t>Crellin</w:t>
      </w:r>
      <w:r w:rsidR="006A363C">
        <w:t>, Wireless Telecommunication Bureau (Dec. 10, 1999) and</w:t>
      </w:r>
      <w:r w:rsidR="00B8738E">
        <w:t xml:space="preserve"> from</w:t>
      </w:r>
      <w:r w:rsidR="006A363C">
        <w:t xml:space="preserve"> Joanne Cunningham to Rose </w:t>
      </w:r>
      <w:r w:rsidR="006A363C">
        <w:t>Crellin</w:t>
      </w:r>
      <w:r w:rsidR="006A363C">
        <w:t>, Wireless Telecommunication Bureau (Mar</w:t>
      </w:r>
      <w:r w:rsidR="005A0CCB">
        <w:t>.</w:t>
      </w:r>
      <w:r w:rsidR="006A363C">
        <w:t xml:space="preserve"> 28, 20</w:t>
      </w:r>
      <w:r w:rsidR="005118CB">
        <w:t>0</w:t>
      </w:r>
      <w:r w:rsidR="006A363C">
        <w:t>0).</w:t>
      </w:r>
    </w:p>
  </w:footnote>
  <w:footnote w:id="6">
    <w:p w:rsidR="00B8738E">
      <w:pPr>
        <w:pStyle w:val="FootnoteText"/>
      </w:pPr>
      <w:r>
        <w:rPr>
          <w:rStyle w:val="FootnoteReference"/>
        </w:rPr>
        <w:footnoteRef/>
      </w:r>
      <w:r>
        <w:t xml:space="preserve"> In the Matter of Bell Atlantic Mobile of Rochester, L.P., Ontario County, New York, Petition for Reconsideration, filed Jan. 6, 2017 (Verizon Wireless Petition for Reconsideration).</w:t>
      </w:r>
    </w:p>
  </w:footnote>
  <w:footnote w:id="7">
    <w:p w:rsidR="00B8738E" w:rsidRPr="00A32536" w:rsidP="00B8738E">
      <w:pPr>
        <w:pStyle w:val="FootnoteText"/>
      </w:pPr>
      <w:r>
        <w:rPr>
          <w:rStyle w:val="FootnoteReference"/>
        </w:rPr>
        <w:footnoteRef/>
      </w:r>
      <w:r>
        <w:t xml:space="preserve"> </w:t>
      </w:r>
      <w:r>
        <w:rPr>
          <w:i/>
        </w:rPr>
        <w:t xml:space="preserve">See </w:t>
      </w:r>
      <w:r>
        <w:t>Supplement to Environmental Assessment, Telecommunications Facility- Hopewell Site, Prepared for Bell Atlantic</w:t>
      </w:r>
      <w:r w:rsidR="00E12E48">
        <w:t xml:space="preserve"> Mobile of Rochester, L.P., Exhibit VI, National Register of Historic Places Inventory – Nomination Form, Section 7 at 1 and Section 8 at 7</w:t>
      </w:r>
      <w:r>
        <w:t xml:space="preserve"> (rec’d Nov. 13, 2003) (EA Supplement).</w:t>
      </w:r>
    </w:p>
  </w:footnote>
  <w:footnote w:id="8">
    <w:p w:rsidR="006E4C34" w:rsidP="006E4C34">
      <w:pPr>
        <w:pStyle w:val="FootnoteText"/>
      </w:pPr>
      <w:r>
        <w:rPr>
          <w:rStyle w:val="FootnoteReference"/>
        </w:rPr>
        <w:footnoteRef/>
      </w:r>
      <w:r>
        <w:t xml:space="preserve"> </w:t>
      </w:r>
      <w:r>
        <w:rPr>
          <w:rFonts w:ascii="VTimes New Roman" w:hAnsi="VTimes New Roman"/>
          <w:i/>
        </w:rPr>
        <w:t xml:space="preserve">See </w:t>
      </w:r>
      <w:r w:rsidRPr="00BE2ED6">
        <w:rPr>
          <w:rFonts w:ascii="VTimes New Roman" w:hAnsi="VTimes New Roman"/>
        </w:rPr>
        <w:t xml:space="preserve">Environmental Assessment, Telecommunications Facility </w:t>
      </w:r>
      <w:r>
        <w:rPr>
          <w:rFonts w:ascii="VTimes New Roman" w:hAnsi="VTimes New Roman"/>
        </w:rPr>
        <w:t>–</w:t>
      </w:r>
      <w:r w:rsidRPr="00BE2ED6">
        <w:rPr>
          <w:rFonts w:ascii="VTimes New Roman" w:hAnsi="VTimes New Roman"/>
        </w:rPr>
        <w:t xml:space="preserve"> </w:t>
      </w:r>
      <w:r>
        <w:rPr>
          <w:rFonts w:ascii="VTimes New Roman" w:hAnsi="VTimes New Roman"/>
        </w:rPr>
        <w:t>Hopewell Site, Prepared by Bell Atlantic Mobile of Rochester, L.P. (</w:t>
      </w:r>
      <w:r>
        <w:rPr>
          <w:rFonts w:ascii="VTimes New Roman" w:hAnsi="VTimes New Roman"/>
        </w:rPr>
        <w:t>rec’d  Aug</w:t>
      </w:r>
      <w:r w:rsidR="00065466">
        <w:rPr>
          <w:rFonts w:ascii="VTimes New Roman" w:hAnsi="VTimes New Roman"/>
        </w:rPr>
        <w:t>.</w:t>
      </w:r>
      <w:r>
        <w:rPr>
          <w:rFonts w:ascii="VTimes New Roman" w:hAnsi="VTimes New Roman"/>
        </w:rPr>
        <w:t xml:space="preserve"> 12, 2003) (2003 EA).  </w:t>
      </w:r>
    </w:p>
  </w:footnote>
  <w:footnote w:id="9">
    <w:p w:rsidR="00CE1597" w:rsidP="00CE1597">
      <w:pPr>
        <w:pStyle w:val="FootnoteText"/>
      </w:pPr>
      <w:r>
        <w:rPr>
          <w:rStyle w:val="FootnoteReference"/>
        </w:rPr>
        <w:footnoteRef/>
      </w:r>
      <w:r>
        <w:t xml:space="preserve"> </w:t>
      </w:r>
      <w:r w:rsidR="00B0105B">
        <w:t xml:space="preserve">Letter from Richard M. Lord, Historic Sites Restoration Coordinator, NYSHPO, to Daniel Abeyta, Wireless Telecommunications Bureau (Sep. 12, 2003); Landmark Farms, Environmental Assessment, Hopewell Cellular Tower Site NYS Rt. 488 (Sep. 15, 2003).  </w:t>
      </w:r>
      <w:r>
        <w:t>Mrs. Cunningham has since passed away.  Her successor in interest is Mr. Roger Cunningham, Cunningham &amp; Sons, Landmark Farms, who has been represented in this matter by the law firm of Knauf Shaw LLP.</w:t>
      </w:r>
    </w:p>
  </w:footnote>
  <w:footnote w:id="10">
    <w:p w:rsidR="006E4C34" w:rsidRPr="0028134E" w:rsidP="006E4C34">
      <w:pPr>
        <w:pStyle w:val="FootnoteText"/>
      </w:pPr>
      <w:r>
        <w:rPr>
          <w:rStyle w:val="FootnoteReference"/>
        </w:rPr>
        <w:footnoteRef/>
      </w:r>
      <w:r>
        <w:t xml:space="preserve"> 54 U.S.C. § 306108.</w:t>
      </w:r>
    </w:p>
  </w:footnote>
  <w:footnote w:id="11">
    <w:p w:rsidR="006E4C34" w:rsidP="006E4C34">
      <w:pPr>
        <w:pStyle w:val="FootnoteText"/>
      </w:pPr>
      <w:r>
        <w:rPr>
          <w:rStyle w:val="FootnoteReference"/>
        </w:rPr>
        <w:footnoteRef/>
      </w:r>
      <w:r>
        <w:t xml:space="preserve"> Letter from Aaron Goldschmidt, Associate Chief, Competition and Infrastructure Policy Division to Christine Crowe, Esq., counsel for Verizon Wireless (Dec. 8, 2016) (Division Letter).</w:t>
      </w:r>
    </w:p>
  </w:footnote>
  <w:footnote w:id="12">
    <w:p w:rsidR="006E4C34" w:rsidP="006E4C34">
      <w:pPr>
        <w:pStyle w:val="FootnoteText"/>
      </w:pPr>
      <w:r>
        <w:rPr>
          <w:rStyle w:val="FootnoteReference"/>
        </w:rPr>
        <w:footnoteRef/>
      </w:r>
      <w:r>
        <w:t xml:space="preserve"> </w:t>
      </w:r>
      <w:r w:rsidRPr="00074718" w:rsidR="00074718">
        <w:rPr>
          <w:i/>
        </w:rPr>
        <w:t>See id</w:t>
      </w:r>
      <w:r w:rsidR="00074718">
        <w:t>.</w:t>
      </w:r>
      <w:r>
        <w:t xml:space="preserve"> at 2.</w:t>
      </w:r>
    </w:p>
  </w:footnote>
  <w:footnote w:id="13">
    <w:p w:rsidR="006E4C34" w:rsidP="006E4C34">
      <w:pPr>
        <w:pStyle w:val="FootnoteText"/>
      </w:pPr>
      <w:r>
        <w:rPr>
          <w:rStyle w:val="FootnoteReference"/>
        </w:rPr>
        <w:footnoteRef/>
      </w:r>
      <w:r>
        <w:t xml:space="preserve"> </w:t>
      </w:r>
      <w:r w:rsidRPr="00074718" w:rsidR="00074718">
        <w:rPr>
          <w:i/>
        </w:rPr>
        <w:t>See id</w:t>
      </w:r>
      <w:r>
        <w:t>.</w:t>
      </w:r>
    </w:p>
  </w:footnote>
  <w:footnote w:id="14">
    <w:p w:rsidR="006E4C34" w:rsidRPr="003F74EE" w:rsidP="006E4C34">
      <w:pPr>
        <w:pStyle w:val="FootnoteText"/>
      </w:pPr>
      <w:r>
        <w:rPr>
          <w:rStyle w:val="FootnoteReference"/>
        </w:rPr>
        <w:footnoteRef/>
      </w:r>
      <w:r>
        <w:t xml:space="preserve"> </w:t>
      </w:r>
      <w:r>
        <w:rPr>
          <w:i/>
        </w:rPr>
        <w:t>Id.</w:t>
      </w:r>
    </w:p>
  </w:footnote>
  <w:footnote w:id="15">
    <w:p w:rsidR="0071796C">
      <w:pPr>
        <w:pStyle w:val="FootnoteText"/>
      </w:pPr>
      <w:r>
        <w:rPr>
          <w:rStyle w:val="FootnoteReference"/>
        </w:rPr>
        <w:footnoteRef/>
      </w:r>
      <w:r>
        <w:t xml:space="preserve"> Verizon Wireless Petition for Reconsideration.</w:t>
      </w:r>
    </w:p>
  </w:footnote>
  <w:footnote w:id="16">
    <w:p w:rsidR="006E4C34" w:rsidP="006E4C34">
      <w:pPr>
        <w:pStyle w:val="FootnoteText"/>
      </w:pPr>
      <w:r>
        <w:rPr>
          <w:rStyle w:val="FootnoteReference"/>
        </w:rPr>
        <w:footnoteRef/>
      </w:r>
      <w:r>
        <w:t xml:space="preserve"> Opposition to Petition for Reconsideration, filed Jan. 17, 2017.</w:t>
      </w:r>
    </w:p>
  </w:footnote>
  <w:footnote w:id="17">
    <w:p w:rsidR="006E4C34" w:rsidP="006E4C34">
      <w:pPr>
        <w:pStyle w:val="FootnoteText"/>
      </w:pPr>
      <w:r>
        <w:rPr>
          <w:rStyle w:val="FootnoteReference"/>
        </w:rPr>
        <w:footnoteRef/>
      </w:r>
      <w:r>
        <w:t xml:space="preserve"> NYSHPO Letter at 1.</w:t>
      </w:r>
    </w:p>
  </w:footnote>
  <w:footnote w:id="18">
    <w:p w:rsidR="006E4C34" w:rsidRPr="0054571C" w:rsidP="006E4C34">
      <w:pPr>
        <w:pStyle w:val="FootnoteText"/>
      </w:pPr>
      <w:r>
        <w:rPr>
          <w:rStyle w:val="FootnoteReference"/>
        </w:rPr>
        <w:footnoteRef/>
      </w:r>
      <w:r>
        <w:t xml:space="preserve"> </w:t>
      </w:r>
      <w:r>
        <w:rPr>
          <w:i/>
        </w:rPr>
        <w:t>See id.</w:t>
      </w:r>
      <w:r>
        <w:t xml:space="preserve"> at 2.</w:t>
      </w:r>
    </w:p>
  </w:footnote>
  <w:footnote w:id="19">
    <w:p w:rsidR="006E4C34" w:rsidP="006E4C34">
      <w:pPr>
        <w:pStyle w:val="FootnoteText"/>
      </w:pPr>
      <w:r>
        <w:rPr>
          <w:rStyle w:val="FootnoteReference"/>
        </w:rPr>
        <w:footnoteRef/>
      </w:r>
      <w:r>
        <w:t xml:space="preserve"> </w:t>
      </w:r>
      <w:r>
        <w:t>Tantillo</w:t>
      </w:r>
      <w:r>
        <w:t xml:space="preserve"> Letter at 1.</w:t>
      </w:r>
    </w:p>
  </w:footnote>
  <w:footnote w:id="20">
    <w:p w:rsidR="006E4C34" w:rsidP="006E4C34">
      <w:pPr>
        <w:pStyle w:val="FootnoteText"/>
      </w:pPr>
      <w:r>
        <w:rPr>
          <w:rStyle w:val="FootnoteReference"/>
        </w:rPr>
        <w:footnoteRef/>
      </w:r>
      <w:r>
        <w:t xml:space="preserve"> Cunningham Letter at 2.</w:t>
      </w:r>
    </w:p>
  </w:footnote>
  <w:footnote w:id="21">
    <w:p w:rsidR="006E4C34" w:rsidRPr="00830E8D" w:rsidP="006E4C34">
      <w:pPr>
        <w:pStyle w:val="FootnoteText"/>
      </w:pPr>
      <w:r>
        <w:rPr>
          <w:rStyle w:val="FootnoteReference"/>
        </w:rPr>
        <w:footnoteRef/>
      </w:r>
      <w:r>
        <w:t xml:space="preserve"> 47 CFR § 1.1307.  </w:t>
      </w:r>
      <w:r>
        <w:rPr>
          <w:i/>
        </w:rPr>
        <w:t xml:space="preserve">See generally </w:t>
      </w:r>
      <w:r>
        <w:t xml:space="preserve">47 CFR §§ 1.1301 </w:t>
      </w:r>
      <w:r>
        <w:rPr>
          <w:i/>
        </w:rPr>
        <w:t xml:space="preserve">et seq. </w:t>
      </w:r>
      <w:r>
        <w:t xml:space="preserve">(procedures implementing the Commission’s compliance with federal environmental statutes, including the National Environmental Policy Act, 42 U.S.C. §§ 4321-4335, and the National Historic Preservation Act, 54 U.S.C. § 300101 </w:t>
      </w:r>
      <w:r>
        <w:rPr>
          <w:i/>
        </w:rPr>
        <w:t>et seq.</w:t>
      </w:r>
      <w:r>
        <w:t>).</w:t>
      </w:r>
    </w:p>
  </w:footnote>
  <w:footnote w:id="22">
    <w:p w:rsidR="006E4C34" w:rsidRPr="00296988" w:rsidP="006E4C34">
      <w:pPr>
        <w:pStyle w:val="FootnoteText"/>
      </w:pPr>
      <w:r>
        <w:rPr>
          <w:rStyle w:val="FootnoteReference"/>
        </w:rPr>
        <w:footnoteRef/>
      </w:r>
      <w:r>
        <w:t xml:space="preserve"> 47 CFR § 1.1307(a)(4)</w:t>
      </w:r>
      <w:r w:rsidR="00296988">
        <w:t xml:space="preserve"> (2017) (specifying use of the NPA in performing historic preservation review)</w:t>
      </w:r>
      <w:r>
        <w:t>; 47 CFR Pt. 1, App. C</w:t>
      </w:r>
      <w:r w:rsidR="00296988">
        <w:t xml:space="preserve"> (NPA)</w:t>
      </w:r>
      <w:r>
        <w:t>.</w:t>
      </w:r>
      <w:r w:rsidR="00296988">
        <w:t xml:space="preserve">  This portion of Section 1.1307(a)(4) has subsequently been </w:t>
      </w:r>
      <w:r w:rsidR="00296988">
        <w:t>recodified</w:t>
      </w:r>
      <w:r w:rsidR="00296988">
        <w:t xml:space="preserve"> in Section 1.1320.  </w:t>
      </w:r>
      <w:r w:rsidR="00296988">
        <w:rPr>
          <w:i/>
        </w:rPr>
        <w:t>See</w:t>
      </w:r>
      <w:r w:rsidR="00296988">
        <w:t xml:space="preserve"> </w:t>
      </w:r>
      <w:r w:rsidRPr="00A47301" w:rsidR="00A47301">
        <w:rPr>
          <w:i/>
        </w:rPr>
        <w:t>Accelerating Wireless Broadband Deployment by Removing Barriers to Infrastructure Deployment</w:t>
      </w:r>
      <w:r w:rsidR="00A47301">
        <w:t xml:space="preserve">, Report and Order, 32 FCC </w:t>
      </w:r>
      <w:r w:rsidR="00A47301">
        <w:t>Rcd</w:t>
      </w:r>
      <w:r w:rsidR="00A47301">
        <w:t xml:space="preserve"> 9760 (2017)</w:t>
      </w:r>
      <w:r w:rsidR="00296988">
        <w:t>.</w:t>
      </w:r>
    </w:p>
  </w:footnote>
  <w:footnote w:id="23">
    <w:p w:rsidR="006E4C34" w:rsidRPr="008E4C72" w:rsidP="006E4C34">
      <w:pPr>
        <w:pStyle w:val="FootnoteText"/>
      </w:pPr>
      <w:r>
        <w:rPr>
          <w:rStyle w:val="FootnoteReference"/>
        </w:rPr>
        <w:footnoteRef/>
      </w:r>
      <w:r>
        <w:t xml:space="preserve"> </w:t>
      </w:r>
      <w:r>
        <w:rPr>
          <w:i/>
        </w:rPr>
        <w:t>See</w:t>
      </w:r>
      <w:r>
        <w:t xml:space="preserve"> 47 CFR § 1.1312(b).</w:t>
      </w:r>
    </w:p>
  </w:footnote>
  <w:footnote w:id="24">
    <w:p w:rsidR="00A47301" w:rsidP="00A47301">
      <w:pPr>
        <w:pStyle w:val="FootnoteText"/>
      </w:pPr>
      <w:r>
        <w:rPr>
          <w:rStyle w:val="FootnoteReference"/>
        </w:rPr>
        <w:footnoteRef/>
      </w:r>
      <w:r>
        <w:t xml:space="preserve"> Division Letter at 2.</w:t>
      </w:r>
    </w:p>
  </w:footnote>
  <w:footnote w:id="25">
    <w:p w:rsidR="00A47301" w:rsidRPr="00BB1A24" w:rsidP="00A47301">
      <w:pPr>
        <w:pStyle w:val="FootnoteText"/>
      </w:pPr>
      <w:r>
        <w:rPr>
          <w:rStyle w:val="FootnoteReference"/>
        </w:rPr>
        <w:footnoteRef/>
      </w:r>
      <w:r>
        <w:t xml:space="preserve"> </w:t>
      </w:r>
      <w:r>
        <w:rPr>
          <w:i/>
        </w:rPr>
        <w:t>See</w:t>
      </w:r>
      <w:r>
        <w:t xml:space="preserve"> 47 C.F.R. § 1.1312(a).  </w:t>
      </w:r>
      <w:r>
        <w:rPr>
          <w:i/>
        </w:rPr>
        <w:t>See also</w:t>
      </w:r>
      <w:r>
        <w:t xml:space="preserve"> 47 C.F.R. § 1.1312(a) (1986).</w:t>
      </w:r>
    </w:p>
  </w:footnote>
  <w:footnote w:id="26">
    <w:p w:rsidR="00A47301" w:rsidP="00A47301">
      <w:pPr>
        <w:pStyle w:val="FootnoteText"/>
      </w:pPr>
      <w:r>
        <w:rPr>
          <w:rStyle w:val="FootnoteReference"/>
        </w:rPr>
        <w:footnoteRef/>
      </w:r>
      <w:r>
        <w:t xml:space="preserve"> Cunningham Letter at 1-2.</w:t>
      </w:r>
    </w:p>
  </w:footnote>
  <w:footnote w:id="27">
    <w:p w:rsidR="00A47301" w:rsidRPr="00957225" w:rsidP="00A47301">
      <w:pPr>
        <w:pStyle w:val="FootnoteText"/>
      </w:pPr>
      <w:r>
        <w:rPr>
          <w:rStyle w:val="FootnoteReference"/>
        </w:rPr>
        <w:footnoteRef/>
      </w:r>
      <w:r>
        <w:t xml:space="preserve"> </w:t>
      </w:r>
      <w:r>
        <w:rPr>
          <w:i/>
        </w:rPr>
        <w:t>See</w:t>
      </w:r>
      <w:r>
        <w:t xml:space="preserve">, </w:t>
      </w:r>
      <w:r>
        <w:rPr>
          <w:i/>
        </w:rPr>
        <w:t>e.g.</w:t>
      </w:r>
      <w:r>
        <w:t xml:space="preserve">, </w:t>
      </w:r>
      <w:r w:rsidRPr="00767E11">
        <w:rPr>
          <w:i/>
        </w:rPr>
        <w:t>General Communication, Inc., indirect parent company of The Alaska Wireless Network, LLC</w:t>
      </w:r>
      <w:r>
        <w:t xml:space="preserve">, File Nos.:  EB-SED-15-00018810, Order, 30 FCC </w:t>
      </w:r>
      <w:r>
        <w:t>Rcd</w:t>
      </w:r>
      <w:r>
        <w:t xml:space="preserve"> 11492, 11499-500 (EB 2015);</w:t>
      </w:r>
      <w:r w:rsidRPr="00767E11">
        <w:rPr>
          <w:i/>
        </w:rPr>
        <w:t xml:space="preserve"> Plateau Telecommunications, Inc</w:t>
      </w:r>
      <w:r>
        <w:t xml:space="preserve">., Letter, 29 FCC </w:t>
      </w:r>
      <w:r>
        <w:t>Rcd</w:t>
      </w:r>
      <w:r>
        <w:t xml:space="preserve"> 2972 (WTB/SCPD 2012).</w:t>
      </w:r>
    </w:p>
  </w:footnote>
  <w:footnote w:id="28">
    <w:p w:rsidR="00A47301" w:rsidRPr="00517DD2" w:rsidP="00A47301">
      <w:pPr>
        <w:pStyle w:val="FootnoteText"/>
      </w:pPr>
      <w:r>
        <w:rPr>
          <w:rStyle w:val="FootnoteReference"/>
        </w:rPr>
        <w:footnoteRef/>
      </w:r>
      <w:r>
        <w:t xml:space="preserve"> </w:t>
      </w:r>
      <w:r>
        <w:rPr>
          <w:i/>
        </w:rPr>
        <w:t xml:space="preserve">See </w:t>
      </w:r>
      <w:r>
        <w:t>47 C.F.R. §1.106(f) (requiring petitions for reconsiderations to be filed within 30 days from the date of public notice of the final Commission action).</w:t>
      </w:r>
    </w:p>
  </w:footnote>
  <w:footnote w:id="29">
    <w:p w:rsidR="006E4C34" w:rsidP="006E4C34">
      <w:pPr>
        <w:pStyle w:val="FootnoteText"/>
      </w:pPr>
      <w:r>
        <w:rPr>
          <w:rStyle w:val="FootnoteReference"/>
        </w:rPr>
        <w:footnoteRef/>
      </w:r>
      <w:r>
        <w:t xml:space="preserve"> NYSHPO Letter at 2.</w:t>
      </w:r>
    </w:p>
  </w:footnote>
  <w:footnote w:id="30">
    <w:p w:rsidR="006E4C34" w:rsidRPr="00A15C15" w:rsidP="006E4C34">
      <w:pPr>
        <w:pStyle w:val="FootnoteText"/>
        <w:rPr>
          <w:b/>
        </w:rPr>
      </w:pPr>
      <w:r>
        <w:rPr>
          <w:rStyle w:val="FootnoteReference"/>
        </w:rPr>
        <w:footnoteRef/>
      </w:r>
      <w:r>
        <w:t xml:space="preserve"> </w:t>
      </w:r>
      <w:r>
        <w:rPr>
          <w:i/>
        </w:rPr>
        <w:t>See</w:t>
      </w:r>
      <w:r>
        <w:t xml:space="preserve"> Cunningham Letter at 1, </w:t>
      </w:r>
      <w:r>
        <w:rPr>
          <w:i/>
        </w:rPr>
        <w:t>citing</w:t>
      </w:r>
      <w:r>
        <w:t xml:space="preserve"> Letter</w:t>
      </w:r>
      <w:r w:rsidR="00296988">
        <w:t xml:space="preserve"> from</w:t>
      </w:r>
      <w:r>
        <w:t xml:space="preserve"> Julia S. Stokes, Deputy Comm’r for Historic Preservation, </w:t>
      </w:r>
      <w:r w:rsidR="00296988">
        <w:t>NY</w:t>
      </w:r>
      <w:r>
        <w:t xml:space="preserve">SHPO, to Geoff </w:t>
      </w:r>
      <w:r>
        <w:t>Astles</w:t>
      </w:r>
      <w:r>
        <w:t>, Manager, Division of Planning and Research for Ontario County</w:t>
      </w:r>
      <w:r w:rsidR="00296988">
        <w:t xml:space="preserve"> (Jan. 23, 1987)</w:t>
      </w:r>
      <w:r>
        <w:t xml:space="preserve"> (</w:t>
      </w:r>
      <w:r>
        <w:rPr>
          <w:i/>
        </w:rPr>
        <w:t>see</w:t>
      </w:r>
      <w:r>
        <w:t xml:space="preserve"> 2003 EA at </w:t>
      </w:r>
      <w:r>
        <w:t>Exh</w:t>
      </w:r>
      <w:r>
        <w:t xml:space="preserve">. XI, </w:t>
      </w:r>
      <w:r>
        <w:t>App’x</w:t>
      </w:r>
      <w:r>
        <w:t xml:space="preserve"> 11-A) (Stokes Letter).</w:t>
      </w:r>
    </w:p>
  </w:footnote>
  <w:footnote w:id="31">
    <w:p w:rsidR="006E4C34" w:rsidP="006E4C34">
      <w:pPr>
        <w:pStyle w:val="FootnoteText"/>
      </w:pPr>
      <w:r>
        <w:rPr>
          <w:rStyle w:val="FootnoteReference"/>
        </w:rPr>
        <w:footnoteRef/>
      </w:r>
      <w:r>
        <w:t xml:space="preserve"> Cunningham Letter at 1.</w:t>
      </w:r>
    </w:p>
  </w:footnote>
  <w:footnote w:id="32">
    <w:p w:rsidR="006E4C34" w:rsidRPr="004339FA" w:rsidP="006E4C34">
      <w:pPr>
        <w:pStyle w:val="FootnoteText"/>
        <w:rPr>
          <w:rFonts w:ascii="VTimes New Roman" w:hAnsi="VTimes New Roman"/>
        </w:rPr>
      </w:pPr>
      <w:r>
        <w:rPr>
          <w:rStyle w:val="FootnoteReference"/>
        </w:rPr>
        <w:footnoteRef/>
      </w:r>
      <w:r>
        <w:t xml:space="preserve"> </w:t>
      </w:r>
      <w:r>
        <w:rPr>
          <w:rFonts w:ascii="VTimes New Roman" w:hAnsi="VTimes New Roman"/>
          <w:i/>
        </w:rPr>
        <w:t xml:space="preserve">See </w:t>
      </w:r>
      <w:r>
        <w:rPr>
          <w:rFonts w:ascii="VTimes New Roman" w:hAnsi="VTimes New Roman"/>
        </w:rPr>
        <w:t xml:space="preserve">2003 EA.  </w:t>
      </w:r>
      <w:r w:rsidR="00224E20">
        <w:rPr>
          <w:rFonts w:ascii="VTimes New Roman" w:hAnsi="VTimes New Roman"/>
        </w:rPr>
        <w:t xml:space="preserve">The weight of the evidence in the 2003 EA suggests that the tower was indeed constructed in January 1987.  </w:t>
      </w:r>
      <w:r w:rsidR="00224E20">
        <w:rPr>
          <w:rFonts w:ascii="VTimes New Roman" w:hAnsi="VTimes New Roman"/>
          <w:i/>
        </w:rPr>
        <w:t>See</w:t>
      </w:r>
      <w:r>
        <w:rPr>
          <w:rFonts w:ascii="VTimes New Roman" w:hAnsi="VTimes New Roman"/>
        </w:rPr>
        <w:t xml:space="preserve">, </w:t>
      </w:r>
      <w:r>
        <w:rPr>
          <w:rFonts w:ascii="VTimes New Roman" w:hAnsi="VTimes New Roman"/>
          <w:i/>
        </w:rPr>
        <w:t>e.g.</w:t>
      </w:r>
      <w:r>
        <w:rPr>
          <w:rFonts w:ascii="VTimes New Roman" w:hAnsi="VTimes New Roman"/>
        </w:rPr>
        <w:t xml:space="preserve">, </w:t>
      </w:r>
      <w:r>
        <w:rPr>
          <w:rFonts w:ascii="VTimes New Roman" w:hAnsi="VTimes New Roman"/>
        </w:rPr>
        <w:t>Exh</w:t>
      </w:r>
      <w:r>
        <w:rPr>
          <w:rFonts w:ascii="VTimes New Roman" w:hAnsi="VTimes New Roman"/>
        </w:rPr>
        <w:t>. XII at 5 (“The SHPO issued its advisory opinion on January 23, 1987, a day after construction of the tower was completed”)</w:t>
      </w:r>
      <w:r w:rsidR="00224E20">
        <w:rPr>
          <w:rFonts w:ascii="VTimes New Roman" w:hAnsi="VTimes New Roman"/>
        </w:rPr>
        <w:t>;</w:t>
      </w:r>
      <w:r>
        <w:rPr>
          <w:rFonts w:ascii="VTimes New Roman" w:hAnsi="VTimes New Roman"/>
        </w:rPr>
        <w:t xml:space="preserve"> </w:t>
      </w:r>
      <w:r>
        <w:rPr>
          <w:rFonts w:ascii="VTimes New Roman" w:hAnsi="VTimes New Roman"/>
        </w:rPr>
        <w:t>Exh</w:t>
      </w:r>
      <w:r>
        <w:rPr>
          <w:rFonts w:ascii="VTimes New Roman" w:hAnsi="VTimes New Roman"/>
        </w:rPr>
        <w:t xml:space="preserve">. XI, </w:t>
      </w:r>
      <w:r>
        <w:rPr>
          <w:rFonts w:ascii="VTimes New Roman" w:hAnsi="VTimes New Roman"/>
        </w:rPr>
        <w:t>App’x</w:t>
      </w:r>
      <w:r>
        <w:rPr>
          <w:rFonts w:ascii="VTimes New Roman" w:hAnsi="VTimes New Roman"/>
        </w:rPr>
        <w:t xml:space="preserve"> 11-E at 3</w:t>
      </w:r>
      <w:r w:rsidR="00224E20">
        <w:rPr>
          <w:rFonts w:ascii="VTimes New Roman" w:hAnsi="VTimes New Roman"/>
        </w:rPr>
        <w:t xml:space="preserve"> (Stokes Letter)</w:t>
      </w:r>
      <w:r>
        <w:rPr>
          <w:rFonts w:ascii="VTimes New Roman" w:hAnsi="VTimes New Roman"/>
        </w:rPr>
        <w:t xml:space="preserve"> (New York Supreme Court decision stating that Article 78 proceeding resulted in a consent order on March 4, 1987, but that tower construction “was substantially completed before petitioners </w:t>
      </w:r>
      <w:r w:rsidRPr="003E288E">
        <w:rPr>
          <w:rFonts w:ascii="VTimes New Roman" w:hAnsi="VTimes New Roman"/>
          <w:u w:val="single"/>
        </w:rPr>
        <w:softHyphen/>
      </w:r>
      <w:r w:rsidRPr="003E288E">
        <w:rPr>
          <w:rFonts w:ascii="VTimes New Roman" w:hAnsi="VTimes New Roman"/>
        </w:rPr>
        <w:t xml:space="preserve">commenced </w:t>
      </w:r>
      <w:r>
        <w:rPr>
          <w:rFonts w:ascii="VTimes New Roman" w:hAnsi="VTimes New Roman"/>
        </w:rPr>
        <w:t xml:space="preserve">the </w:t>
      </w:r>
      <w:r>
        <w:rPr>
          <w:rFonts w:ascii="VTimes New Roman" w:hAnsi="VTimes New Roman"/>
          <w:u w:val="single"/>
        </w:rPr>
        <w:t>first</w:t>
      </w:r>
      <w:r>
        <w:rPr>
          <w:rFonts w:ascii="VTimes New Roman" w:hAnsi="VTimes New Roman"/>
        </w:rPr>
        <w:t xml:space="preserve"> Article 78 proceeding”).  </w:t>
      </w:r>
      <w:r w:rsidR="00224E20">
        <w:rPr>
          <w:rFonts w:ascii="VTimes New Roman" w:hAnsi="VTimes New Roman"/>
        </w:rPr>
        <w:t>Nonetheless, even assuming this date is accurate, there remains conflicting evidence about when the Farm was determined eligible for the National Register.</w:t>
      </w:r>
    </w:p>
  </w:footnote>
  <w:footnote w:id="33">
    <w:p w:rsidR="006E4C34" w:rsidRPr="00067377" w:rsidP="006E4C34">
      <w:pPr>
        <w:pStyle w:val="FootnoteText"/>
      </w:pPr>
      <w:r>
        <w:rPr>
          <w:rStyle w:val="FootnoteReference"/>
        </w:rPr>
        <w:footnoteRef/>
      </w:r>
      <w:r>
        <w:t xml:space="preserve"> </w:t>
      </w:r>
      <w:r>
        <w:rPr>
          <w:i/>
        </w:rPr>
        <w:t>See</w:t>
      </w:r>
      <w:r>
        <w:t xml:space="preserve"> Division Letter at 2.</w:t>
      </w:r>
    </w:p>
  </w:footnote>
  <w:footnote w:id="34">
    <w:p w:rsidR="006E4C34" w:rsidP="006E4C34">
      <w:pPr>
        <w:pStyle w:val="FootnoteText"/>
      </w:pPr>
      <w:r>
        <w:rPr>
          <w:rStyle w:val="FootnoteReference"/>
        </w:rPr>
        <w:footnoteRef/>
      </w:r>
      <w:r>
        <w:t xml:space="preserve"> NYSHPO Letter at 2.</w:t>
      </w:r>
    </w:p>
  </w:footnote>
  <w:footnote w:id="35">
    <w:p w:rsidR="006E4C34" w:rsidP="006E4C34">
      <w:pPr>
        <w:pStyle w:val="FootnoteText"/>
      </w:pPr>
      <w:r>
        <w:rPr>
          <w:rStyle w:val="FootnoteReference"/>
        </w:rPr>
        <w:footnoteRef/>
      </w:r>
      <w:r>
        <w:t xml:space="preserve"> </w:t>
      </w:r>
      <w:r w:rsidRPr="00074718" w:rsidR="00074718">
        <w:rPr>
          <w:i/>
        </w:rPr>
        <w:t>Id</w:t>
      </w:r>
      <w:r w:rsidR="00074718">
        <w:t>.</w:t>
      </w:r>
      <w:r>
        <w:t xml:space="preserve"> at 1.</w:t>
      </w:r>
    </w:p>
  </w:footnote>
  <w:footnote w:id="36">
    <w:p w:rsidR="006E4C34" w:rsidP="006E4C34">
      <w:pPr>
        <w:pStyle w:val="FootnoteText"/>
      </w:pPr>
      <w:r>
        <w:rPr>
          <w:rStyle w:val="FootnoteReference"/>
        </w:rPr>
        <w:footnoteRef/>
      </w:r>
      <w:r>
        <w:t xml:space="preserve"> </w:t>
      </w:r>
      <w:r w:rsidRPr="00074718" w:rsidR="00074718">
        <w:rPr>
          <w:i/>
        </w:rPr>
        <w:t>Id</w:t>
      </w:r>
      <w:r>
        <w:t>.</w:t>
      </w:r>
    </w:p>
  </w:footnote>
  <w:footnote w:id="37">
    <w:p w:rsidR="00503575" w:rsidRPr="00503575">
      <w:pPr>
        <w:pStyle w:val="FootnoteText"/>
      </w:pPr>
      <w:r>
        <w:rPr>
          <w:rStyle w:val="FootnoteReference"/>
        </w:rPr>
        <w:footnoteRef/>
      </w:r>
      <w:r>
        <w:t xml:space="preserve"> </w:t>
      </w:r>
      <w:r>
        <w:rPr>
          <w:i/>
        </w:rPr>
        <w:t>Id.</w:t>
      </w:r>
      <w:r>
        <w:t xml:space="preserve"> at 2.</w:t>
      </w:r>
    </w:p>
  </w:footnote>
  <w:footnote w:id="38">
    <w:p w:rsidR="006E4C34" w:rsidRPr="003E288E" w:rsidP="006E4C34">
      <w:pPr>
        <w:pStyle w:val="FootnoteText"/>
      </w:pPr>
      <w:r>
        <w:rPr>
          <w:rStyle w:val="FootnoteReference"/>
        </w:rPr>
        <w:footnoteRef/>
      </w:r>
      <w:r>
        <w:t xml:space="preserve"> </w:t>
      </w:r>
      <w:r>
        <w:rPr>
          <w:i/>
        </w:rPr>
        <w:t>Id</w:t>
      </w:r>
      <w:r>
        <w:t>. at 2.</w:t>
      </w:r>
    </w:p>
  </w:footnote>
  <w:footnote w:id="39">
    <w:p w:rsidR="006E4C34" w:rsidP="006E4C34">
      <w:pPr>
        <w:pStyle w:val="FootnoteText"/>
      </w:pPr>
      <w:r>
        <w:rPr>
          <w:rStyle w:val="FootnoteReference"/>
        </w:rPr>
        <w:footnoteRef/>
      </w:r>
      <w:r>
        <w:t xml:space="preserve"> </w:t>
      </w:r>
      <w:r w:rsidRPr="00074718" w:rsidR="00074718">
        <w:rPr>
          <w:i/>
        </w:rPr>
        <w:t>See</w:t>
      </w:r>
      <w:r w:rsidR="00074718">
        <w:t xml:space="preserve"> </w:t>
      </w:r>
      <w:r>
        <w:t>Tantillo</w:t>
      </w:r>
      <w:r>
        <w:t xml:space="preserve"> Letter at 1.</w:t>
      </w:r>
    </w:p>
  </w:footnote>
  <w:footnote w:id="40">
    <w:p w:rsidR="006E4C34" w:rsidRPr="00F409E3" w:rsidP="006E4C34">
      <w:pPr>
        <w:pStyle w:val="FootnoteText"/>
      </w:pPr>
      <w:r>
        <w:rPr>
          <w:rStyle w:val="FootnoteReference"/>
        </w:rPr>
        <w:footnoteRef/>
      </w:r>
      <w:r>
        <w:t xml:space="preserve"> </w:t>
      </w:r>
      <w:r>
        <w:rPr>
          <w:i/>
        </w:rPr>
        <w:t>Id.</w:t>
      </w:r>
      <w:r w:rsidRPr="002B000A">
        <w:t xml:space="preserve"> at 2.</w:t>
      </w:r>
    </w:p>
  </w:footnote>
  <w:footnote w:id="41">
    <w:p w:rsidR="006E4C34" w:rsidP="006E4C34">
      <w:pPr>
        <w:pStyle w:val="FootnoteText"/>
      </w:pPr>
      <w:r>
        <w:rPr>
          <w:rStyle w:val="FootnoteReference"/>
        </w:rPr>
        <w:footnoteRef/>
      </w:r>
      <w:r>
        <w:t xml:space="preserve"> </w:t>
      </w:r>
      <w:r w:rsidR="00D73D36">
        <w:rPr>
          <w:i/>
        </w:rPr>
        <w:t>See</w:t>
      </w:r>
      <w:r w:rsidR="00D73D36">
        <w:t xml:space="preserve"> </w:t>
      </w:r>
      <w:r w:rsidR="00D73D36">
        <w:rPr>
          <w:i/>
        </w:rPr>
        <w:t>id.</w:t>
      </w:r>
      <w:r w:rsidR="00D73D36">
        <w:t xml:space="preserve">, </w:t>
      </w:r>
      <w:r>
        <w:t>Cunningham Letter at 1-2.</w:t>
      </w:r>
    </w:p>
  </w:footnote>
  <w:footnote w:id="42">
    <w:p w:rsidR="00503575">
      <w:pPr>
        <w:pStyle w:val="FootnoteText"/>
      </w:pPr>
      <w:r>
        <w:rPr>
          <w:rStyle w:val="FootnoteReference"/>
        </w:rPr>
        <w:footnoteRef/>
      </w:r>
      <w:r>
        <w:t xml:space="preserve"> </w:t>
      </w:r>
      <w:r w:rsidR="00C46332">
        <w:rPr>
          <w:i/>
        </w:rPr>
        <w:t>See</w:t>
      </w:r>
      <w:r w:rsidR="00C46332">
        <w:t xml:space="preserve"> 3</w:t>
      </w:r>
      <w:r>
        <w:t xml:space="preserve">6 CFR </w:t>
      </w:r>
      <w:r w:rsidR="00C46332">
        <w:t xml:space="preserve">§ </w:t>
      </w:r>
      <w:r>
        <w:t>800.14</w:t>
      </w:r>
      <w:r w:rsidR="00C46332">
        <w:t>(b).</w:t>
      </w:r>
    </w:p>
  </w:footnote>
  <w:footnote w:id="43">
    <w:p w:rsidR="006E4C34" w:rsidP="006E4C34">
      <w:pPr>
        <w:pStyle w:val="FootnoteText"/>
      </w:pPr>
      <w:r>
        <w:rPr>
          <w:rStyle w:val="FootnoteReference"/>
        </w:rPr>
        <w:footnoteRef/>
      </w:r>
      <w:r>
        <w:t xml:space="preserve"> NPA</w:t>
      </w:r>
      <w:r w:rsidR="00503575">
        <w:t>,</w:t>
      </w:r>
      <w:r>
        <w:t xml:space="preserve"> § VI.E.3.</w:t>
      </w:r>
    </w:p>
  </w:footnote>
  <w:footnote w:id="44">
    <w:p w:rsidR="006E4C34" w:rsidP="006E4C34">
      <w:pPr>
        <w:pStyle w:val="FootnoteText"/>
      </w:pPr>
      <w:r>
        <w:rPr>
          <w:rStyle w:val="FootnoteReference"/>
        </w:rPr>
        <w:footnoteRef/>
      </w:r>
      <w:r>
        <w:t xml:space="preserve"> </w:t>
      </w:r>
      <w:r>
        <w:rPr>
          <w:i/>
        </w:rPr>
        <w:t>See</w:t>
      </w:r>
      <w:r>
        <w:t xml:space="preserve"> </w:t>
      </w:r>
      <w:r>
        <w:t>Tantillo</w:t>
      </w:r>
      <w:r>
        <w:t xml:space="preserve"> Letter at 2</w:t>
      </w:r>
      <w:r w:rsidR="00D73D36">
        <w:t xml:space="preserve">, </w:t>
      </w:r>
      <w:r w:rsidR="00D73D36">
        <w:t>Exh</w:t>
      </w:r>
      <w:r w:rsidR="00D73D36">
        <w:t>, A (Letter from Richard M. Lord, Historic Sites Restoration Coordinator, NYSHPO, to Daniel Abeyta, Wireless Telecommunications Bureau (Oct. 16, 2003))</w:t>
      </w:r>
      <w:r>
        <w:t>.</w:t>
      </w:r>
    </w:p>
  </w:footnote>
  <w:footnote w:id="45">
    <w:p w:rsidR="006E4C34" w:rsidP="006E4C34">
      <w:pPr>
        <w:pStyle w:val="FootnoteText"/>
      </w:pPr>
      <w:r>
        <w:rPr>
          <w:rStyle w:val="FootnoteReference"/>
        </w:rPr>
        <w:footnoteRef/>
      </w:r>
      <w:r>
        <w:t xml:space="preserve"> </w:t>
      </w:r>
      <w:r>
        <w:rPr>
          <w:i/>
        </w:rPr>
        <w:t xml:space="preserve">Id. </w:t>
      </w:r>
    </w:p>
  </w:footnote>
  <w:footnote w:id="46">
    <w:p w:rsidR="00DE770D">
      <w:pPr>
        <w:pStyle w:val="FootnoteText"/>
      </w:pPr>
      <w:r>
        <w:rPr>
          <w:rStyle w:val="FootnoteReference"/>
        </w:rPr>
        <w:footnoteRef/>
      </w:r>
      <w:r>
        <w:t xml:space="preserve"> NYSHPO 1999 Letter at 1 and Cunningham 2000 Letter</w:t>
      </w:r>
      <w:r w:rsidR="00B91DA4">
        <w:t xml:space="preserve"> at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D131B">
      <w:t>DA 18-</w:t>
    </w:r>
    <w:r w:rsidR="00A556C6">
      <w:t>535</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53ED1">
      <w:rPr>
        <w:spacing w:val="-2"/>
      </w:rPr>
      <w:t>DA</w:t>
    </w:r>
    <w:r w:rsidR="002D131B">
      <w:rPr>
        <w:spacing w:val="-2"/>
      </w:rPr>
      <w:t xml:space="preserve"> 18</w:t>
    </w:r>
    <w:r w:rsidR="00853ED1">
      <w:rPr>
        <w:spacing w:val="-2"/>
      </w:rPr>
      <w:t>-</w:t>
    </w:r>
    <w:r w:rsidR="00A556C6">
      <w:rPr>
        <w:spacing w:val="-2"/>
      </w:rPr>
      <w:t>535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D43E8"/>
    <w:multiLevelType w:val="hybridMultilevel"/>
    <w:tmpl w:val="D536027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0B65F2"/>
    <w:multiLevelType w:val="hybridMultilevel"/>
    <w:tmpl w:val="0700D4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EF759EB"/>
    <w:multiLevelType w:val="hybridMultilevel"/>
    <w:tmpl w:val="42C63AC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754CAA"/>
    <w:multiLevelType w:val="hybridMultilevel"/>
    <w:tmpl w:val="7C9CF6E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D7C1EEF"/>
    <w:multiLevelType w:val="hybridMultilevel"/>
    <w:tmpl w:val="4DF4EE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6424633"/>
    <w:multiLevelType w:val="hybridMultilevel"/>
    <w:tmpl w:val="2136592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F9907F3"/>
    <w:multiLevelType w:val="hybridMultilevel"/>
    <w:tmpl w:val="04E639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B390777"/>
    <w:multiLevelType w:val="hybridMultilevel"/>
    <w:tmpl w:val="71263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44FCF39E"/>
    <w:lvl w:ilvl="0">
      <w:start w:val="1"/>
      <w:numFmt w:val="decimal"/>
      <w:pStyle w:val="ParaNum"/>
      <w:lvlText w:val="%1."/>
      <w:lvlJc w:val="left"/>
      <w:pPr>
        <w:tabs>
          <w:tab w:val="num" w:pos="1080"/>
        </w:tabs>
        <w:ind w:left="0" w:firstLine="720"/>
      </w:pPr>
      <w:rPr>
        <w:b w:val="0"/>
      </w:rPr>
    </w:lvl>
  </w:abstractNum>
  <w:num w:numId="1">
    <w:abstractNumId w:val="5"/>
  </w:num>
  <w:num w:numId="2">
    <w:abstractNumId w:val="13"/>
  </w:num>
  <w:num w:numId="3">
    <w:abstractNumId w:val="7"/>
  </w:num>
  <w:num w:numId="4">
    <w:abstractNumId w:val="12"/>
  </w:num>
  <w:num w:numId="5">
    <w:abstractNumId w:val="6"/>
  </w:num>
  <w:num w:numId="6">
    <w:abstractNumId w:val="1"/>
  </w:num>
  <w:num w:numId="7">
    <w:abstractNumId w:val="9"/>
  </w:num>
  <w:num w:numId="8">
    <w:abstractNumId w:val="8"/>
  </w:num>
  <w:num w:numId="9">
    <w:abstractNumId w:val="3"/>
  </w:num>
  <w:num w:numId="10">
    <w:abstractNumId w:val="10"/>
  </w:num>
  <w:num w:numId="11">
    <w:abstractNumId w:val="2"/>
  </w:num>
  <w:num w:numId="12">
    <w:abstractNumId w:val="11"/>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2,Footnote Text Char1 Char,Footnote Text Char1 Char Char Char Char Char,Footnote Text Char1 Char Char2,Footnote Text Char2,Footnote Text Char2 Char Char1 Char Char1,Footnote Text Char2 Char1,f,rrfootnote"/>
    <w:link w:val="FootnoteTextChar"/>
    <w:uiPriority w:val="99"/>
    <w:rsid w:val="000E3D42"/>
    <w:pPr>
      <w:spacing w:after="120"/>
    </w:pPr>
  </w:style>
  <w:style w:type="character" w:styleId="FootnoteReference">
    <w:name w:val="footnote reference"/>
    <w:aliases w:val="(NECG) Footnote Reference,Appel note de bas de p,Style 12,Style 124,Style 13,Style 3,Style 4,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Heading2Char">
    <w:name w:val="Heading 2 Char"/>
    <w:link w:val="Heading2"/>
    <w:rsid w:val="006E4C34"/>
    <w:rPr>
      <w:b/>
      <w:snapToGrid w:val="0"/>
      <w:kern w:val="28"/>
      <w:sz w:val="22"/>
    </w:rPr>
  </w:style>
  <w:style w:type="character" w:customStyle="1" w:styleId="FootnoteTextChar">
    <w:name w:val="Footnote Text Char"/>
    <w:aliases w:val="Footnote Text Char Char Char Char2 Char,Footnote Text Char1 Char Char Char Char Char Char,Footnote Text Char1 Char Char2 Char,Footnote Text Char2 Char,Footnote Text Char2 Char Char1 Char Char1 Char,Footnote Text Char2 Char1 Char"/>
    <w:link w:val="FootnoteText"/>
    <w:uiPriority w:val="99"/>
    <w:rsid w:val="006E4C34"/>
  </w:style>
  <w:style w:type="character" w:customStyle="1" w:styleId="HeaderChar">
    <w:name w:val="Header Char"/>
    <w:link w:val="Header"/>
    <w:rsid w:val="006E4C34"/>
    <w:rPr>
      <w:b/>
      <w:snapToGrid w:val="0"/>
      <w:kern w:val="28"/>
      <w:sz w:val="22"/>
    </w:rPr>
  </w:style>
  <w:style w:type="character" w:customStyle="1" w:styleId="st">
    <w:name w:val="st"/>
    <w:rsid w:val="006E4C34"/>
  </w:style>
  <w:style w:type="paragraph" w:styleId="ListParagraph">
    <w:name w:val="List Paragraph"/>
    <w:basedOn w:val="Normal"/>
    <w:uiPriority w:val="34"/>
    <w:qFormat/>
    <w:rsid w:val="006E4C34"/>
    <w:pPr>
      <w:widowControl/>
      <w:ind w:left="720"/>
      <w:contextualSpacing/>
    </w:pPr>
    <w:rPr>
      <w:snapToGrid/>
      <w:kern w:val="0"/>
      <w:sz w:val="24"/>
    </w:rPr>
  </w:style>
  <w:style w:type="paragraph" w:styleId="BalloonText">
    <w:name w:val="Balloon Text"/>
    <w:basedOn w:val="Normal"/>
    <w:link w:val="BalloonTextChar"/>
    <w:rsid w:val="005118CB"/>
    <w:rPr>
      <w:rFonts w:ascii="Segoe UI" w:hAnsi="Segoe UI" w:cs="Segoe UI"/>
      <w:sz w:val="18"/>
      <w:szCs w:val="18"/>
    </w:rPr>
  </w:style>
  <w:style w:type="character" w:customStyle="1" w:styleId="BalloonTextChar">
    <w:name w:val="Balloon Text Char"/>
    <w:basedOn w:val="DefaultParagraphFont"/>
    <w:link w:val="BalloonText"/>
    <w:rsid w:val="005118CB"/>
    <w:rPr>
      <w:rFonts w:ascii="Segoe UI" w:hAnsi="Segoe UI" w:cs="Segoe UI"/>
      <w:snapToGrid w:val="0"/>
      <w:kern w:val="28"/>
      <w:sz w:val="18"/>
      <w:szCs w:val="18"/>
    </w:rPr>
  </w:style>
  <w:style w:type="character" w:styleId="CommentReference">
    <w:name w:val="annotation reference"/>
    <w:basedOn w:val="DefaultParagraphFont"/>
    <w:rsid w:val="00E12E48"/>
    <w:rPr>
      <w:sz w:val="16"/>
      <w:szCs w:val="16"/>
    </w:rPr>
  </w:style>
  <w:style w:type="paragraph" w:styleId="CommentText">
    <w:name w:val="annotation text"/>
    <w:basedOn w:val="Normal"/>
    <w:link w:val="CommentTextChar"/>
    <w:rsid w:val="00E12E48"/>
    <w:rPr>
      <w:sz w:val="20"/>
    </w:rPr>
  </w:style>
  <w:style w:type="character" w:customStyle="1" w:styleId="CommentTextChar">
    <w:name w:val="Comment Text Char"/>
    <w:basedOn w:val="DefaultParagraphFont"/>
    <w:link w:val="CommentText"/>
    <w:rsid w:val="00E12E48"/>
    <w:rPr>
      <w:snapToGrid w:val="0"/>
      <w:kern w:val="28"/>
    </w:rPr>
  </w:style>
  <w:style w:type="paragraph" w:styleId="CommentSubject">
    <w:name w:val="annotation subject"/>
    <w:basedOn w:val="CommentText"/>
    <w:next w:val="CommentText"/>
    <w:link w:val="CommentSubjectChar"/>
    <w:rsid w:val="00E12E48"/>
    <w:rPr>
      <w:b/>
      <w:bCs/>
    </w:rPr>
  </w:style>
  <w:style w:type="character" w:customStyle="1" w:styleId="CommentSubjectChar">
    <w:name w:val="Comment Subject Char"/>
    <w:basedOn w:val="CommentTextChar"/>
    <w:link w:val="CommentSubject"/>
    <w:rsid w:val="00E12E4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