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04CE3">
      <w:pPr>
        <w:rPr>
          <w:sz w:val="22"/>
          <w:szCs w:val="22"/>
        </w:rPr>
      </w:pPr>
    </w:p>
    <w:p w:rsidR="006535F3" w:rsidRPr="006535F3" w:rsidP="006535F3">
      <w:pPr>
        <w:rPr>
          <w:sz w:val="22"/>
          <w:szCs w:val="22"/>
        </w:rPr>
      </w:pPr>
      <w:r w:rsidRPr="006535F3">
        <w:rPr>
          <w:sz w:val="22"/>
          <w:szCs w:val="22"/>
        </w:rPr>
        <w:t>James B. Goldstein</w:t>
      </w:r>
      <w:bookmarkStart w:id="0" w:name="_GoBack"/>
      <w:bookmarkEnd w:id="0"/>
      <w:r w:rsidR="00BC713B">
        <w:rPr>
          <w:sz w:val="22"/>
          <w:szCs w:val="22"/>
        </w:rPr>
        <w:tab/>
      </w:r>
      <w:r w:rsidR="00BC713B">
        <w:rPr>
          <w:sz w:val="22"/>
          <w:szCs w:val="22"/>
        </w:rPr>
        <w:tab/>
      </w:r>
      <w:r w:rsidR="00BC713B">
        <w:rPr>
          <w:sz w:val="22"/>
          <w:szCs w:val="22"/>
        </w:rPr>
        <w:tab/>
      </w:r>
      <w:r w:rsidR="00BC713B">
        <w:rPr>
          <w:sz w:val="22"/>
          <w:szCs w:val="22"/>
        </w:rPr>
        <w:tab/>
      </w:r>
      <w:r w:rsidR="00BC713B">
        <w:rPr>
          <w:sz w:val="22"/>
          <w:szCs w:val="22"/>
        </w:rPr>
        <w:tab/>
      </w:r>
      <w:r w:rsidR="00BC713B">
        <w:rPr>
          <w:sz w:val="22"/>
          <w:szCs w:val="22"/>
        </w:rPr>
        <w:tab/>
      </w:r>
      <w:r w:rsidR="00BC713B">
        <w:rPr>
          <w:sz w:val="22"/>
          <w:szCs w:val="22"/>
        </w:rPr>
        <w:tab/>
      </w:r>
      <w:r w:rsidR="00BC713B">
        <w:rPr>
          <w:sz w:val="22"/>
          <w:szCs w:val="22"/>
        </w:rPr>
        <w:tab/>
      </w:r>
      <w:r w:rsidR="00901D95">
        <w:rPr>
          <w:sz w:val="22"/>
          <w:szCs w:val="22"/>
        </w:rPr>
        <w:tab/>
      </w:r>
      <w:r w:rsidR="00BC713B">
        <w:rPr>
          <w:sz w:val="22"/>
          <w:szCs w:val="22"/>
        </w:rPr>
        <w:t>DA 18-</w:t>
      </w:r>
      <w:r w:rsidR="008155A3">
        <w:rPr>
          <w:sz w:val="22"/>
          <w:szCs w:val="22"/>
        </w:rPr>
        <w:t>542</w:t>
      </w:r>
    </w:p>
    <w:p w:rsidR="006535F3" w:rsidRPr="006535F3" w:rsidP="006535F3">
      <w:pPr>
        <w:rPr>
          <w:sz w:val="22"/>
          <w:szCs w:val="22"/>
        </w:rPr>
      </w:pPr>
      <w:r w:rsidRPr="006535F3">
        <w:rPr>
          <w:sz w:val="22"/>
          <w:szCs w:val="22"/>
        </w:rPr>
        <w:t>Sprint Corporation</w:t>
      </w:r>
    </w:p>
    <w:p w:rsidR="006535F3" w:rsidP="006535F3">
      <w:pPr>
        <w:rPr>
          <w:sz w:val="22"/>
          <w:szCs w:val="22"/>
        </w:rPr>
      </w:pPr>
      <w:r>
        <w:rPr>
          <w:sz w:val="22"/>
          <w:szCs w:val="22"/>
        </w:rPr>
        <w:t>900 7</w:t>
      </w:r>
      <w:r w:rsidRPr="006535F3">
        <w:rPr>
          <w:sz w:val="22"/>
          <w:szCs w:val="22"/>
          <w:vertAlign w:val="superscript"/>
        </w:rPr>
        <w:t>th</w:t>
      </w:r>
      <w:r>
        <w:rPr>
          <w:sz w:val="22"/>
          <w:szCs w:val="22"/>
        </w:rPr>
        <w:t xml:space="preserve"> Street, NW</w:t>
      </w:r>
    </w:p>
    <w:p w:rsidR="006535F3" w:rsidP="006535F3">
      <w:pPr>
        <w:rPr>
          <w:sz w:val="22"/>
          <w:szCs w:val="22"/>
        </w:rPr>
      </w:pPr>
      <w:r>
        <w:rPr>
          <w:sz w:val="22"/>
          <w:szCs w:val="22"/>
        </w:rPr>
        <w:t>Suite 700</w:t>
      </w:r>
    </w:p>
    <w:p w:rsidR="006535F3" w:rsidRPr="006535F3" w:rsidP="006535F3">
      <w:pPr>
        <w:rPr>
          <w:sz w:val="22"/>
          <w:szCs w:val="22"/>
        </w:rPr>
      </w:pPr>
      <w:r>
        <w:rPr>
          <w:sz w:val="22"/>
          <w:szCs w:val="22"/>
        </w:rPr>
        <w:t>Washington, DC 20001</w:t>
      </w:r>
    </w:p>
    <w:p w:rsidR="006535F3" w:rsidRPr="006535F3" w:rsidP="006535F3">
      <w:pPr>
        <w:rPr>
          <w:sz w:val="22"/>
          <w:szCs w:val="22"/>
        </w:rPr>
      </w:pPr>
    </w:p>
    <w:p w:rsidR="006535F3" w:rsidP="006535F3">
      <w:pPr>
        <w:ind w:left="1170" w:hanging="450"/>
        <w:rPr>
          <w:sz w:val="22"/>
          <w:szCs w:val="22"/>
        </w:rPr>
      </w:pPr>
      <w:r w:rsidRPr="006535F3">
        <w:rPr>
          <w:sz w:val="22"/>
          <w:szCs w:val="22"/>
        </w:rPr>
        <w:t xml:space="preserve">Re:  Sprint Corporation Request for </w:t>
      </w:r>
      <w:r w:rsidR="00137497">
        <w:rPr>
          <w:sz w:val="22"/>
          <w:szCs w:val="22"/>
        </w:rPr>
        <w:t xml:space="preserve">Modification of </w:t>
      </w:r>
      <w:r w:rsidRPr="006535F3">
        <w:rPr>
          <w:sz w:val="22"/>
          <w:szCs w:val="22"/>
        </w:rPr>
        <w:t xml:space="preserve">Waiver to Permit 800 MHz Wideband Operations in </w:t>
      </w:r>
      <w:r w:rsidR="00137497">
        <w:rPr>
          <w:sz w:val="22"/>
          <w:szCs w:val="22"/>
        </w:rPr>
        <w:t xml:space="preserve">Additional </w:t>
      </w:r>
      <w:r w:rsidRPr="006535F3">
        <w:rPr>
          <w:sz w:val="22"/>
          <w:szCs w:val="22"/>
        </w:rPr>
        <w:t xml:space="preserve">Portions of </w:t>
      </w:r>
      <w:r w:rsidR="00137497">
        <w:rPr>
          <w:sz w:val="22"/>
          <w:szCs w:val="22"/>
        </w:rPr>
        <w:t>San Antonio</w:t>
      </w:r>
      <w:r w:rsidR="00C87DAA">
        <w:rPr>
          <w:sz w:val="22"/>
          <w:szCs w:val="22"/>
        </w:rPr>
        <w:t xml:space="preserve"> – Texas </w:t>
      </w:r>
      <w:r>
        <w:rPr>
          <w:sz w:val="22"/>
          <w:szCs w:val="22"/>
        </w:rPr>
        <w:t>(Region 5</w:t>
      </w:r>
      <w:r w:rsidR="00137497">
        <w:rPr>
          <w:sz w:val="22"/>
          <w:szCs w:val="22"/>
        </w:rPr>
        <w:t>3</w:t>
      </w:r>
      <w:r w:rsidRPr="006535F3">
        <w:rPr>
          <w:sz w:val="22"/>
          <w:szCs w:val="22"/>
        </w:rPr>
        <w:t>) Prior to Completion of 800 MHz Band Reconfiguration in the Entire NPSPAC Region</w:t>
      </w:r>
      <w:r>
        <w:rPr>
          <w:sz w:val="22"/>
          <w:szCs w:val="22"/>
        </w:rPr>
        <w:t>; FCC File No</w:t>
      </w:r>
      <w:r w:rsidR="00137497">
        <w:rPr>
          <w:sz w:val="22"/>
          <w:szCs w:val="22"/>
        </w:rPr>
        <w:t>s</w:t>
      </w:r>
      <w:r w:rsidRPr="006535F3">
        <w:rPr>
          <w:sz w:val="22"/>
          <w:szCs w:val="22"/>
        </w:rPr>
        <w:t xml:space="preserve">. </w:t>
      </w:r>
      <w:bookmarkStart w:id="1" w:name="_Hlk498353692"/>
      <w:r w:rsidR="00C87DAA">
        <w:rPr>
          <w:sz w:val="22"/>
          <w:szCs w:val="22"/>
        </w:rPr>
        <w:t xml:space="preserve">0007885836, 0007885843, and </w:t>
      </w:r>
      <w:r w:rsidRPr="00F23F49" w:rsidR="009F6512">
        <w:rPr>
          <w:sz w:val="22"/>
          <w:szCs w:val="22"/>
        </w:rPr>
        <w:t>0007</w:t>
      </w:r>
      <w:r w:rsidR="009F6512">
        <w:rPr>
          <w:sz w:val="22"/>
          <w:szCs w:val="22"/>
        </w:rPr>
        <w:t>885851</w:t>
      </w:r>
      <w:bookmarkEnd w:id="1"/>
    </w:p>
    <w:p w:rsidR="006535F3" w:rsidP="006535F3">
      <w:pPr>
        <w:rPr>
          <w:sz w:val="22"/>
          <w:szCs w:val="22"/>
        </w:rPr>
      </w:pPr>
    </w:p>
    <w:p w:rsidR="006535F3" w:rsidP="006535F3">
      <w:pPr>
        <w:rPr>
          <w:sz w:val="22"/>
          <w:szCs w:val="22"/>
        </w:rPr>
      </w:pPr>
      <w:r>
        <w:rPr>
          <w:sz w:val="22"/>
          <w:szCs w:val="22"/>
        </w:rPr>
        <w:t>Dear Mr. Goldstein:</w:t>
      </w:r>
    </w:p>
    <w:p w:rsidR="006535F3" w:rsidP="006535F3">
      <w:pPr>
        <w:rPr>
          <w:sz w:val="22"/>
          <w:szCs w:val="22"/>
        </w:rPr>
      </w:pPr>
    </w:p>
    <w:p w:rsidR="006535F3" w:rsidP="00F23F49">
      <w:pPr>
        <w:ind w:firstLine="720"/>
        <w:rPr>
          <w:sz w:val="22"/>
          <w:szCs w:val="22"/>
        </w:rPr>
      </w:pPr>
      <w:r w:rsidRPr="004F000C">
        <w:rPr>
          <w:sz w:val="22"/>
          <w:szCs w:val="22"/>
        </w:rPr>
        <w:t xml:space="preserve">In this letter, we grant a </w:t>
      </w:r>
      <w:r w:rsidR="004700CB">
        <w:rPr>
          <w:sz w:val="22"/>
          <w:szCs w:val="22"/>
        </w:rPr>
        <w:t xml:space="preserve">modification </w:t>
      </w:r>
      <w:r w:rsidRPr="004F000C">
        <w:rPr>
          <w:sz w:val="22"/>
          <w:szCs w:val="22"/>
        </w:rPr>
        <w:t xml:space="preserve">request by Sprint Corporation (Sprint) that will allow Sprint to deploy its 800 MHz wideband operations in </w:t>
      </w:r>
      <w:r w:rsidR="00890816">
        <w:rPr>
          <w:sz w:val="22"/>
          <w:szCs w:val="22"/>
        </w:rPr>
        <w:t>certain</w:t>
      </w:r>
      <w:r w:rsidRPr="004F000C" w:rsidR="00890816">
        <w:rPr>
          <w:sz w:val="22"/>
          <w:szCs w:val="22"/>
        </w:rPr>
        <w:t xml:space="preserve"> </w:t>
      </w:r>
      <w:r w:rsidRPr="004F000C">
        <w:rPr>
          <w:sz w:val="22"/>
          <w:szCs w:val="22"/>
        </w:rPr>
        <w:t xml:space="preserve">portions of the </w:t>
      </w:r>
      <w:r w:rsidR="00C87DAA">
        <w:rPr>
          <w:sz w:val="22"/>
          <w:szCs w:val="22"/>
        </w:rPr>
        <w:t>San Antonio – Texas</w:t>
      </w:r>
      <w:r w:rsidRPr="004F000C">
        <w:rPr>
          <w:sz w:val="22"/>
          <w:szCs w:val="22"/>
        </w:rPr>
        <w:t xml:space="preserve"> National Public Safety Planning Advisory Committee (NPSPAC) Region </w:t>
      </w:r>
      <w:r w:rsidR="001158A2">
        <w:rPr>
          <w:sz w:val="22"/>
          <w:szCs w:val="22"/>
        </w:rPr>
        <w:t xml:space="preserve">53 </w:t>
      </w:r>
      <w:r w:rsidR="008E5BCD">
        <w:rPr>
          <w:sz w:val="22"/>
          <w:szCs w:val="22"/>
        </w:rPr>
        <w:t>before</w:t>
      </w:r>
      <w:r w:rsidRPr="004F000C">
        <w:rPr>
          <w:sz w:val="22"/>
          <w:szCs w:val="22"/>
        </w:rPr>
        <w:t xml:space="preserve"> 800 MHz Band reconfiguration has been completed</w:t>
      </w:r>
      <w:r w:rsidRPr="004F000C" w:rsidR="004F000C">
        <w:rPr>
          <w:sz w:val="22"/>
          <w:szCs w:val="22"/>
        </w:rPr>
        <w:t xml:space="preserve"> in </w:t>
      </w:r>
      <w:r w:rsidR="008E5BCD">
        <w:rPr>
          <w:sz w:val="22"/>
          <w:szCs w:val="22"/>
        </w:rPr>
        <w:t>that</w:t>
      </w:r>
      <w:r w:rsidRPr="004F000C" w:rsidR="004F000C">
        <w:rPr>
          <w:sz w:val="22"/>
          <w:szCs w:val="22"/>
        </w:rPr>
        <w:t xml:space="preserve"> Region</w:t>
      </w:r>
      <w:r w:rsidRPr="004F000C">
        <w:rPr>
          <w:sz w:val="22"/>
          <w:szCs w:val="22"/>
        </w:rPr>
        <w:t>.</w:t>
      </w:r>
      <w:r>
        <w:rPr>
          <w:sz w:val="22"/>
          <w:szCs w:val="22"/>
          <w:vertAlign w:val="superscript"/>
        </w:rPr>
        <w:footnoteReference w:id="2"/>
      </w:r>
      <w:r w:rsidRPr="004F000C">
        <w:rPr>
          <w:sz w:val="22"/>
          <w:szCs w:val="22"/>
        </w:rPr>
        <w:t xml:space="preserve">  Granting </w:t>
      </w:r>
      <w:r w:rsidR="001158A2">
        <w:rPr>
          <w:sz w:val="22"/>
          <w:szCs w:val="22"/>
        </w:rPr>
        <w:t xml:space="preserve">the Modification Request </w:t>
      </w:r>
      <w:r w:rsidRPr="004F000C">
        <w:rPr>
          <w:sz w:val="22"/>
          <w:szCs w:val="22"/>
        </w:rPr>
        <w:t xml:space="preserve">will permit LTE deployment in </w:t>
      </w:r>
      <w:r w:rsidR="00943700">
        <w:rPr>
          <w:sz w:val="22"/>
          <w:szCs w:val="22"/>
        </w:rPr>
        <w:t>a total of 39</w:t>
      </w:r>
      <w:r w:rsidRPr="004F000C" w:rsidR="004F000C">
        <w:rPr>
          <w:sz w:val="22"/>
          <w:szCs w:val="22"/>
        </w:rPr>
        <w:t xml:space="preserve"> counties—</w:t>
      </w:r>
      <w:r w:rsidR="00943700">
        <w:rPr>
          <w:sz w:val="22"/>
          <w:szCs w:val="22"/>
        </w:rPr>
        <w:t>including 30 counties where we have granted similar waiver relief</w:t>
      </w:r>
      <w:r>
        <w:rPr>
          <w:rStyle w:val="FootnoteReference"/>
          <w:sz w:val="22"/>
          <w:szCs w:val="22"/>
        </w:rPr>
        <w:footnoteReference w:id="3"/>
      </w:r>
      <w:r w:rsidR="00943700">
        <w:rPr>
          <w:sz w:val="22"/>
          <w:szCs w:val="22"/>
        </w:rPr>
        <w:t xml:space="preserve"> in addition to nine counties where Sprint has yet to deploy LTE</w:t>
      </w:r>
      <w:r>
        <w:rPr>
          <w:rStyle w:val="FootnoteReference"/>
          <w:sz w:val="22"/>
          <w:szCs w:val="22"/>
        </w:rPr>
        <w:footnoteReference w:id="4"/>
      </w:r>
      <w:r w:rsidRPr="004F000C" w:rsidR="004F000C">
        <w:rPr>
          <w:sz w:val="22"/>
          <w:szCs w:val="22"/>
        </w:rPr>
        <w:t>—</w:t>
      </w:r>
      <w:r w:rsidRPr="004F000C">
        <w:rPr>
          <w:sz w:val="22"/>
          <w:szCs w:val="22"/>
        </w:rPr>
        <w:t>providing Sprint’s subscribers access to these valuable broadband wireless services while protecting the remaining public safety entit</w:t>
      </w:r>
      <w:r w:rsidR="00C52693">
        <w:rPr>
          <w:sz w:val="22"/>
          <w:szCs w:val="22"/>
        </w:rPr>
        <w:t>ies</w:t>
      </w:r>
      <w:r w:rsidRPr="004F000C">
        <w:rPr>
          <w:sz w:val="22"/>
          <w:szCs w:val="22"/>
        </w:rPr>
        <w:t xml:space="preserve"> from harmful interference.  We therefore find that granting the </w:t>
      </w:r>
      <w:r w:rsidR="00A67929">
        <w:rPr>
          <w:sz w:val="22"/>
          <w:szCs w:val="22"/>
        </w:rPr>
        <w:t>Modification</w:t>
      </w:r>
      <w:r w:rsidRPr="004F000C" w:rsidR="00A67929">
        <w:rPr>
          <w:sz w:val="22"/>
          <w:szCs w:val="22"/>
        </w:rPr>
        <w:t xml:space="preserve"> </w:t>
      </w:r>
      <w:r w:rsidRPr="004F000C">
        <w:rPr>
          <w:sz w:val="22"/>
          <w:szCs w:val="22"/>
        </w:rPr>
        <w:t>Request is in the public interest.</w:t>
      </w:r>
    </w:p>
    <w:p w:rsidR="00C52693" w:rsidP="00F23F49">
      <w:pPr>
        <w:ind w:firstLine="720"/>
        <w:rPr>
          <w:sz w:val="22"/>
          <w:szCs w:val="22"/>
        </w:rPr>
      </w:pPr>
    </w:p>
    <w:p w:rsidR="00C52693" w:rsidP="00664E3E">
      <w:pPr>
        <w:ind w:firstLine="720"/>
        <w:rPr>
          <w:sz w:val="22"/>
          <w:szCs w:val="22"/>
        </w:rPr>
      </w:pPr>
      <w:r w:rsidRPr="00C52693">
        <w:rPr>
          <w:sz w:val="22"/>
          <w:szCs w:val="22"/>
        </w:rPr>
        <w:t xml:space="preserve">Section 90.209(b)(7) of the Commission’s rules permits Economic Area-based 800 MHz Specialized Mobile Radio </w:t>
      </w:r>
      <w:r w:rsidRPr="00C52693">
        <w:rPr>
          <w:color w:val="000000"/>
          <w:sz w:val="22"/>
          <w:szCs w:val="22"/>
        </w:rPr>
        <w:t xml:space="preserve">(SMR) </w:t>
      </w:r>
      <w:r w:rsidRPr="00C52693">
        <w:rPr>
          <w:sz w:val="22"/>
          <w:szCs w:val="22"/>
        </w:rPr>
        <w:t xml:space="preserve">licensees, such as Sprint, to deploy wideband operations in the 817-821/862-866 MHz portion of the SMR spectrum band in </w:t>
      </w:r>
      <w:r w:rsidRPr="00C52693">
        <w:rPr>
          <w:color w:val="000000"/>
          <w:sz w:val="22"/>
          <w:szCs w:val="22"/>
        </w:rPr>
        <w:t xml:space="preserve">NPSPAC regions where </w:t>
      </w:r>
      <w:r w:rsidRPr="00C52693">
        <w:rPr>
          <w:sz w:val="22"/>
          <w:szCs w:val="22"/>
        </w:rPr>
        <w:t xml:space="preserve">800 MHz band reconfiguration </w:t>
      </w:r>
      <w:r w:rsidRPr="00C52693">
        <w:rPr>
          <w:color w:val="000000"/>
          <w:sz w:val="22"/>
          <w:szCs w:val="22"/>
        </w:rPr>
        <w:t>is still continuing</w:t>
      </w:r>
      <w:r w:rsidRPr="00C52693">
        <w:rPr>
          <w:sz w:val="22"/>
          <w:szCs w:val="22"/>
        </w:rPr>
        <w:t>, and in the 821-824/866-869 MHz portion of the SMR band only in NPSPAC regions where 800 MHz band reconfiguration has been completed.</w:t>
      </w:r>
      <w:r>
        <w:rPr>
          <w:sz w:val="22"/>
          <w:szCs w:val="22"/>
          <w:vertAlign w:val="superscript"/>
        </w:rPr>
        <w:footnoteReference w:id="5"/>
      </w:r>
      <w:r w:rsidR="00664E3E">
        <w:rPr>
          <w:sz w:val="22"/>
          <w:szCs w:val="22"/>
        </w:rPr>
        <w:t xml:space="preserve">  </w:t>
      </w:r>
      <w:r w:rsidR="000958BA">
        <w:rPr>
          <w:sz w:val="22"/>
          <w:szCs w:val="22"/>
        </w:rPr>
        <w:t xml:space="preserve">In 2014, Sprint sought and </w:t>
      </w:r>
      <w:r w:rsidR="000958BA">
        <w:rPr>
          <w:sz w:val="22"/>
          <w:szCs w:val="22"/>
        </w:rPr>
        <w:t>was granted a waiver of Section 90.209(b)</w:t>
      </w:r>
      <w:r w:rsidR="002D375A">
        <w:rPr>
          <w:sz w:val="22"/>
          <w:szCs w:val="22"/>
        </w:rPr>
        <w:t xml:space="preserve"> that permitted it to deploy LTE in 30 counties in the </w:t>
      </w:r>
      <w:r w:rsidR="00F036E3">
        <w:rPr>
          <w:sz w:val="22"/>
          <w:szCs w:val="22"/>
        </w:rPr>
        <w:t xml:space="preserve">San Antonio – Texas </w:t>
      </w:r>
      <w:r w:rsidR="002D375A">
        <w:rPr>
          <w:sz w:val="22"/>
          <w:szCs w:val="22"/>
        </w:rPr>
        <w:t>NPSPAC Region, subject to several conditions.</w:t>
      </w:r>
      <w:r>
        <w:rPr>
          <w:rStyle w:val="FootnoteReference"/>
          <w:sz w:val="22"/>
          <w:szCs w:val="22"/>
        </w:rPr>
        <w:footnoteReference w:id="6"/>
      </w:r>
      <w:r w:rsidR="002D375A">
        <w:rPr>
          <w:sz w:val="22"/>
          <w:szCs w:val="22"/>
        </w:rPr>
        <w:t xml:space="preserve"> </w:t>
      </w:r>
      <w:r w:rsidR="000958BA">
        <w:rPr>
          <w:sz w:val="22"/>
          <w:szCs w:val="22"/>
        </w:rPr>
        <w:t xml:space="preserve"> </w:t>
      </w:r>
      <w:r w:rsidR="00AA1622">
        <w:rPr>
          <w:sz w:val="22"/>
          <w:szCs w:val="22"/>
        </w:rPr>
        <w:t xml:space="preserve">Since then, </w:t>
      </w:r>
      <w:r w:rsidR="002D375A">
        <w:rPr>
          <w:sz w:val="22"/>
          <w:szCs w:val="22"/>
        </w:rPr>
        <w:t>Sprint states that it has de</w:t>
      </w:r>
      <w:r w:rsidR="00E6352E">
        <w:rPr>
          <w:sz w:val="22"/>
          <w:szCs w:val="22"/>
        </w:rPr>
        <w:t>ployed LTE broadband services at nearly 300 sites in those counties under its conditional waiver of Section 90.209(b).</w:t>
      </w:r>
      <w:r>
        <w:rPr>
          <w:rStyle w:val="FootnoteReference"/>
          <w:sz w:val="22"/>
          <w:szCs w:val="22"/>
        </w:rPr>
        <w:footnoteReference w:id="7"/>
      </w:r>
      <w:r w:rsidR="00E6352E">
        <w:rPr>
          <w:sz w:val="22"/>
          <w:szCs w:val="22"/>
        </w:rPr>
        <w:t xml:space="preserve">  </w:t>
      </w:r>
      <w:r w:rsidR="00664E3E">
        <w:rPr>
          <w:sz w:val="22"/>
          <w:szCs w:val="22"/>
        </w:rPr>
        <w:t xml:space="preserve">On </w:t>
      </w:r>
      <w:r w:rsidR="00E93285">
        <w:rPr>
          <w:sz w:val="22"/>
          <w:szCs w:val="22"/>
        </w:rPr>
        <w:t>August 10</w:t>
      </w:r>
      <w:r w:rsidR="00664E3E">
        <w:rPr>
          <w:sz w:val="22"/>
          <w:szCs w:val="22"/>
        </w:rPr>
        <w:t>, 2017, Sprint filed th</w:t>
      </w:r>
      <w:r w:rsidR="000E52FB">
        <w:rPr>
          <w:sz w:val="22"/>
          <w:szCs w:val="22"/>
        </w:rPr>
        <w:t xml:space="preserve">is </w:t>
      </w:r>
      <w:r w:rsidR="00F81737">
        <w:rPr>
          <w:sz w:val="22"/>
          <w:szCs w:val="22"/>
        </w:rPr>
        <w:t xml:space="preserve">request </w:t>
      </w:r>
      <w:r w:rsidR="000E52FB">
        <w:rPr>
          <w:sz w:val="22"/>
          <w:szCs w:val="22"/>
        </w:rPr>
        <w:t xml:space="preserve">to modify </w:t>
      </w:r>
      <w:r w:rsidR="00AA1622">
        <w:rPr>
          <w:sz w:val="22"/>
          <w:szCs w:val="22"/>
        </w:rPr>
        <w:t>the</w:t>
      </w:r>
      <w:r w:rsidR="000E52FB">
        <w:rPr>
          <w:sz w:val="22"/>
          <w:szCs w:val="22"/>
        </w:rPr>
        <w:t xml:space="preserve"> waiver</w:t>
      </w:r>
      <w:r w:rsidR="00AA1622">
        <w:rPr>
          <w:sz w:val="22"/>
          <w:szCs w:val="22"/>
        </w:rPr>
        <w:t xml:space="preserve"> relief</w:t>
      </w:r>
      <w:r w:rsidR="000E52FB">
        <w:rPr>
          <w:sz w:val="22"/>
          <w:szCs w:val="22"/>
        </w:rPr>
        <w:t xml:space="preserve"> granted in the </w:t>
      </w:r>
      <w:r w:rsidR="000E52FB">
        <w:rPr>
          <w:i/>
          <w:sz w:val="22"/>
          <w:szCs w:val="22"/>
        </w:rPr>
        <w:t xml:space="preserve">2014 Waiver Order </w:t>
      </w:r>
      <w:r w:rsidR="00664E3E">
        <w:rPr>
          <w:sz w:val="22"/>
          <w:szCs w:val="22"/>
        </w:rPr>
        <w:t xml:space="preserve">so that </w:t>
      </w:r>
      <w:r w:rsidR="00AA1622">
        <w:rPr>
          <w:sz w:val="22"/>
          <w:szCs w:val="22"/>
        </w:rPr>
        <w:t xml:space="preserve">Sprint </w:t>
      </w:r>
      <w:r w:rsidR="00664E3E">
        <w:rPr>
          <w:sz w:val="22"/>
          <w:szCs w:val="22"/>
        </w:rPr>
        <w:t xml:space="preserve">may </w:t>
      </w:r>
      <w:r w:rsidR="00DF24E5">
        <w:rPr>
          <w:sz w:val="22"/>
          <w:szCs w:val="22"/>
        </w:rPr>
        <w:t xml:space="preserve">now </w:t>
      </w:r>
      <w:r w:rsidR="00664E3E">
        <w:rPr>
          <w:sz w:val="22"/>
          <w:szCs w:val="22"/>
        </w:rPr>
        <w:t xml:space="preserve">deploy 800 MHz LTE operations at 821-824/866-869 MHz </w:t>
      </w:r>
      <w:r w:rsidR="00BD3165">
        <w:rPr>
          <w:sz w:val="22"/>
          <w:szCs w:val="22"/>
        </w:rPr>
        <w:t xml:space="preserve">no closer than 70 miles </w:t>
      </w:r>
      <w:r w:rsidR="00664E3E">
        <w:rPr>
          <w:sz w:val="22"/>
          <w:szCs w:val="22"/>
        </w:rPr>
        <w:t xml:space="preserve">in </w:t>
      </w:r>
      <w:r w:rsidR="00E6352E">
        <w:rPr>
          <w:sz w:val="22"/>
          <w:szCs w:val="22"/>
        </w:rPr>
        <w:t xml:space="preserve">the </w:t>
      </w:r>
      <w:r w:rsidR="00F81737">
        <w:rPr>
          <w:sz w:val="22"/>
          <w:szCs w:val="22"/>
        </w:rPr>
        <w:t>30 counties where it is currently deploying LTE and an</w:t>
      </w:r>
      <w:r w:rsidR="004700CB">
        <w:rPr>
          <w:sz w:val="22"/>
          <w:szCs w:val="22"/>
        </w:rPr>
        <w:t xml:space="preserve"> </w:t>
      </w:r>
      <w:r w:rsidR="00F81737">
        <w:rPr>
          <w:sz w:val="22"/>
          <w:szCs w:val="22"/>
        </w:rPr>
        <w:t xml:space="preserve">additional </w:t>
      </w:r>
      <w:r w:rsidR="00E93285">
        <w:rPr>
          <w:sz w:val="22"/>
          <w:szCs w:val="22"/>
        </w:rPr>
        <w:t xml:space="preserve">nine </w:t>
      </w:r>
      <w:r w:rsidR="00664E3E">
        <w:rPr>
          <w:sz w:val="22"/>
          <w:szCs w:val="22"/>
        </w:rPr>
        <w:t xml:space="preserve">counties </w:t>
      </w:r>
      <w:r w:rsidR="00A82822">
        <w:rPr>
          <w:sz w:val="22"/>
          <w:szCs w:val="22"/>
        </w:rPr>
        <w:t xml:space="preserve">within the </w:t>
      </w:r>
      <w:r w:rsidR="00F036E3">
        <w:rPr>
          <w:sz w:val="22"/>
          <w:szCs w:val="22"/>
        </w:rPr>
        <w:t xml:space="preserve">San Antonio – Texas </w:t>
      </w:r>
      <w:r w:rsidR="00A82822">
        <w:rPr>
          <w:sz w:val="22"/>
          <w:szCs w:val="22"/>
        </w:rPr>
        <w:t>NPSPAC Region prior to full completion of 800 MHz band reconfiguration in that Region.</w:t>
      </w:r>
    </w:p>
    <w:p w:rsidR="00A82822" w:rsidRPr="00C52693" w:rsidP="00664E3E">
      <w:pPr>
        <w:ind w:firstLine="720"/>
        <w:rPr>
          <w:sz w:val="22"/>
          <w:szCs w:val="22"/>
        </w:rPr>
      </w:pPr>
    </w:p>
    <w:p w:rsidR="0032126C" w:rsidP="00ED3C8B">
      <w:pPr>
        <w:ind w:firstLine="720"/>
        <w:rPr>
          <w:sz w:val="22"/>
          <w:szCs w:val="22"/>
        </w:rPr>
      </w:pPr>
      <w:r>
        <w:rPr>
          <w:sz w:val="22"/>
          <w:szCs w:val="22"/>
        </w:rPr>
        <w:t xml:space="preserve">Sprint states that </w:t>
      </w:r>
      <w:r w:rsidR="001158A2">
        <w:rPr>
          <w:sz w:val="22"/>
          <w:szCs w:val="22"/>
        </w:rPr>
        <w:t>certain</w:t>
      </w:r>
      <w:r>
        <w:rPr>
          <w:sz w:val="22"/>
          <w:szCs w:val="22"/>
        </w:rPr>
        <w:t xml:space="preserve"> </w:t>
      </w:r>
      <w:r w:rsidR="00F036E3">
        <w:rPr>
          <w:sz w:val="22"/>
          <w:szCs w:val="22"/>
        </w:rPr>
        <w:t xml:space="preserve">San Antonio – Texas </w:t>
      </w:r>
      <w:r>
        <w:rPr>
          <w:sz w:val="22"/>
          <w:szCs w:val="22"/>
        </w:rPr>
        <w:t xml:space="preserve">NPSPAC Region public safety licensees have not completed their </w:t>
      </w:r>
      <w:r w:rsidRPr="005F4BD8">
        <w:rPr>
          <w:sz w:val="22"/>
          <w:szCs w:val="22"/>
        </w:rPr>
        <w:t>retunes.</w:t>
      </w:r>
      <w:r>
        <w:rPr>
          <w:rStyle w:val="FootnoteReference"/>
          <w:sz w:val="22"/>
          <w:szCs w:val="22"/>
        </w:rPr>
        <w:footnoteReference w:id="8"/>
      </w:r>
      <w:r w:rsidRPr="005F4BD8">
        <w:rPr>
          <w:sz w:val="22"/>
          <w:szCs w:val="22"/>
        </w:rPr>
        <w:t xml:space="preserve">  Sprint</w:t>
      </w:r>
      <w:r>
        <w:rPr>
          <w:sz w:val="22"/>
          <w:szCs w:val="22"/>
        </w:rPr>
        <w:t xml:space="preserve"> explains</w:t>
      </w:r>
      <w:r w:rsidR="00FF2C34">
        <w:rPr>
          <w:sz w:val="22"/>
          <w:szCs w:val="22"/>
        </w:rPr>
        <w:t xml:space="preserve"> that </w:t>
      </w:r>
      <w:r w:rsidR="007A769C">
        <w:rPr>
          <w:sz w:val="22"/>
          <w:szCs w:val="22"/>
        </w:rPr>
        <w:t xml:space="preserve">many of </w:t>
      </w:r>
      <w:r w:rsidR="00FF2C34">
        <w:rPr>
          <w:sz w:val="22"/>
          <w:szCs w:val="22"/>
        </w:rPr>
        <w:t xml:space="preserve">these </w:t>
      </w:r>
      <w:r w:rsidR="0070019F">
        <w:rPr>
          <w:sz w:val="22"/>
          <w:szCs w:val="22"/>
        </w:rPr>
        <w:t>remaining</w:t>
      </w:r>
      <w:r w:rsidR="00FF2C34">
        <w:rPr>
          <w:sz w:val="22"/>
          <w:szCs w:val="22"/>
        </w:rPr>
        <w:t xml:space="preserve"> retunes </w:t>
      </w:r>
      <w:r w:rsidR="007A769C">
        <w:rPr>
          <w:sz w:val="22"/>
          <w:szCs w:val="22"/>
        </w:rPr>
        <w:t xml:space="preserve">will take place in, if not before, early 2018 </w:t>
      </w:r>
      <w:r w:rsidR="00A67929">
        <w:rPr>
          <w:sz w:val="22"/>
          <w:szCs w:val="22"/>
        </w:rPr>
        <w:t>when</w:t>
      </w:r>
      <w:r w:rsidR="007A769C">
        <w:rPr>
          <w:sz w:val="22"/>
          <w:szCs w:val="22"/>
        </w:rPr>
        <w:t xml:space="preserve"> “</w:t>
      </w:r>
      <w:r w:rsidR="00FF2C34">
        <w:rPr>
          <w:sz w:val="22"/>
          <w:szCs w:val="22"/>
        </w:rPr>
        <w:t xml:space="preserve">the Mexican-side retunes </w:t>
      </w:r>
      <w:r w:rsidR="007A769C">
        <w:rPr>
          <w:sz w:val="22"/>
          <w:szCs w:val="22"/>
        </w:rPr>
        <w:t>will clear the path</w:t>
      </w:r>
      <w:r w:rsidR="00FF2C34">
        <w:rPr>
          <w:sz w:val="22"/>
          <w:szCs w:val="22"/>
        </w:rPr>
        <w:t xml:space="preserve"> for U.S. licensees</w:t>
      </w:r>
      <w:r w:rsidR="007A769C">
        <w:rPr>
          <w:sz w:val="22"/>
          <w:szCs w:val="22"/>
        </w:rPr>
        <w:t xml:space="preserve"> to retune to their replacement frequencies</w:t>
      </w:r>
      <w:r w:rsidR="00FF2C34">
        <w:rPr>
          <w:sz w:val="22"/>
          <w:szCs w:val="22"/>
        </w:rPr>
        <w:t>.”</w:t>
      </w:r>
      <w:r>
        <w:rPr>
          <w:rStyle w:val="FootnoteReference"/>
          <w:sz w:val="22"/>
          <w:szCs w:val="22"/>
        </w:rPr>
        <w:footnoteReference w:id="9"/>
      </w:r>
      <w:r w:rsidR="00FF2C34">
        <w:rPr>
          <w:sz w:val="22"/>
          <w:szCs w:val="22"/>
        </w:rPr>
        <w:t xml:space="preserve">  Sprint maintains that it can deploy </w:t>
      </w:r>
      <w:r w:rsidR="000B374C">
        <w:rPr>
          <w:sz w:val="22"/>
          <w:szCs w:val="22"/>
        </w:rPr>
        <w:t xml:space="preserve">800 MHz LTE </w:t>
      </w:r>
      <w:r w:rsidR="000520DA">
        <w:rPr>
          <w:sz w:val="22"/>
          <w:szCs w:val="22"/>
        </w:rPr>
        <w:t>within the additional nine counties</w:t>
      </w:r>
      <w:r w:rsidRPr="00EB3371" w:rsidR="000B374C">
        <w:rPr>
          <w:sz w:val="22"/>
          <w:szCs w:val="22"/>
        </w:rPr>
        <w:t xml:space="preserve"> while </w:t>
      </w:r>
      <w:r w:rsidRPr="00EB3371" w:rsidR="000B374C">
        <w:rPr>
          <w:sz w:val="22"/>
          <w:szCs w:val="22"/>
        </w:rPr>
        <w:t>rebanding</w:t>
      </w:r>
      <w:r w:rsidRPr="00EB3371" w:rsidR="000B374C">
        <w:rPr>
          <w:sz w:val="22"/>
          <w:szCs w:val="22"/>
        </w:rPr>
        <w:t xml:space="preserve"> continues in </w:t>
      </w:r>
      <w:r w:rsidR="000520DA">
        <w:rPr>
          <w:sz w:val="22"/>
          <w:szCs w:val="22"/>
        </w:rPr>
        <w:t>South Texas</w:t>
      </w:r>
      <w:r w:rsidR="000B374C">
        <w:rPr>
          <w:sz w:val="22"/>
          <w:szCs w:val="22"/>
        </w:rPr>
        <w:t xml:space="preserve"> without increasing the risk of interference to the remaining </w:t>
      </w:r>
      <w:r w:rsidR="00F036E3">
        <w:rPr>
          <w:sz w:val="22"/>
          <w:szCs w:val="22"/>
        </w:rPr>
        <w:t xml:space="preserve">San Antonio – Texas </w:t>
      </w:r>
      <w:r w:rsidR="000B374C">
        <w:rPr>
          <w:sz w:val="22"/>
          <w:szCs w:val="22"/>
        </w:rPr>
        <w:t xml:space="preserve">NPSPAC </w:t>
      </w:r>
      <w:r w:rsidR="005F4BD8">
        <w:rPr>
          <w:sz w:val="22"/>
          <w:szCs w:val="22"/>
        </w:rPr>
        <w:t>l</w:t>
      </w:r>
      <w:r w:rsidRPr="00EB3371" w:rsidR="000B374C">
        <w:rPr>
          <w:sz w:val="22"/>
          <w:szCs w:val="22"/>
        </w:rPr>
        <w:t>icensees</w:t>
      </w:r>
      <w:r w:rsidR="000B374C">
        <w:rPr>
          <w:sz w:val="22"/>
          <w:szCs w:val="22"/>
        </w:rPr>
        <w:t>.</w:t>
      </w:r>
      <w:r>
        <w:rPr>
          <w:rStyle w:val="FootnoteReference"/>
          <w:sz w:val="22"/>
          <w:szCs w:val="22"/>
        </w:rPr>
        <w:footnoteReference w:id="10"/>
      </w:r>
      <w:r w:rsidR="000B374C">
        <w:rPr>
          <w:sz w:val="22"/>
          <w:szCs w:val="22"/>
        </w:rPr>
        <w:t xml:space="preserve">  </w:t>
      </w:r>
    </w:p>
    <w:p w:rsidR="0032126C" w:rsidP="00ED3C8B">
      <w:pPr>
        <w:ind w:firstLine="720"/>
        <w:rPr>
          <w:sz w:val="22"/>
          <w:szCs w:val="22"/>
        </w:rPr>
      </w:pPr>
    </w:p>
    <w:p w:rsidR="00BB3CEF" w:rsidRPr="00D456EB" w:rsidP="00C64ADC">
      <w:pPr>
        <w:ind w:firstLine="720"/>
        <w:rPr>
          <w:sz w:val="22"/>
        </w:rPr>
      </w:pPr>
      <w:r w:rsidRPr="00290EFC">
        <w:rPr>
          <w:sz w:val="22"/>
          <w:szCs w:val="22"/>
        </w:rPr>
        <w:t xml:space="preserve">Sprint </w:t>
      </w:r>
      <w:r w:rsidR="001E2FDA">
        <w:rPr>
          <w:sz w:val="22"/>
          <w:szCs w:val="22"/>
        </w:rPr>
        <w:t>argues, however,</w:t>
      </w:r>
      <w:r w:rsidRPr="00290EFC" w:rsidR="001E2FDA">
        <w:rPr>
          <w:sz w:val="22"/>
          <w:szCs w:val="22"/>
        </w:rPr>
        <w:t xml:space="preserve"> </w:t>
      </w:r>
      <w:r w:rsidRPr="00290EFC">
        <w:rPr>
          <w:sz w:val="22"/>
          <w:szCs w:val="22"/>
        </w:rPr>
        <w:t>that</w:t>
      </w:r>
      <w:r w:rsidR="00025BAD">
        <w:rPr>
          <w:sz w:val="22"/>
          <w:szCs w:val="22"/>
        </w:rPr>
        <w:t>, “[b]</w:t>
      </w:r>
      <w:r w:rsidR="00025BAD">
        <w:rPr>
          <w:sz w:val="22"/>
          <w:szCs w:val="22"/>
        </w:rPr>
        <w:t>ecause</w:t>
      </w:r>
      <w:r w:rsidR="00025BAD">
        <w:rPr>
          <w:sz w:val="22"/>
          <w:szCs w:val="22"/>
        </w:rPr>
        <w:t xml:space="preserve"> the 800 MHz band reconfiguration is not yet completed in South Texas, Sprint remains unable to provide 800 MHz 4G LTE services in all areas of the San Antonio NPSPAC Region”</w:t>
      </w:r>
      <w:r w:rsidR="001E2FDA">
        <w:rPr>
          <w:sz w:val="22"/>
          <w:szCs w:val="22"/>
        </w:rPr>
        <w:t xml:space="preserve"> in light of Section 90.209(b)(7).</w:t>
      </w:r>
      <w:r>
        <w:rPr>
          <w:sz w:val="22"/>
          <w:szCs w:val="22"/>
          <w:vertAlign w:val="superscript"/>
        </w:rPr>
        <w:footnoteReference w:id="11"/>
      </w:r>
      <w:r w:rsidRPr="00290EFC">
        <w:rPr>
          <w:sz w:val="22"/>
          <w:szCs w:val="22"/>
        </w:rPr>
        <w:t xml:space="preserve">  </w:t>
      </w:r>
      <w:r w:rsidRPr="00366D10" w:rsidR="00366D10">
        <w:rPr>
          <w:sz w:val="22"/>
          <w:szCs w:val="22"/>
        </w:rPr>
        <w:t xml:space="preserve">Sprint therefore requests a </w:t>
      </w:r>
      <w:r w:rsidR="00D7260B">
        <w:rPr>
          <w:sz w:val="22"/>
          <w:szCs w:val="22"/>
        </w:rPr>
        <w:t xml:space="preserve">modification of the </w:t>
      </w:r>
      <w:r w:rsidRPr="00366D10" w:rsidR="00366D10">
        <w:rPr>
          <w:sz w:val="22"/>
          <w:szCs w:val="22"/>
        </w:rPr>
        <w:t xml:space="preserve">waiver of </w:t>
      </w:r>
      <w:r w:rsidR="00320BAF">
        <w:rPr>
          <w:sz w:val="22"/>
          <w:szCs w:val="22"/>
        </w:rPr>
        <w:t>S</w:t>
      </w:r>
      <w:r w:rsidRPr="00366D10" w:rsidR="00366D10">
        <w:rPr>
          <w:sz w:val="22"/>
          <w:szCs w:val="22"/>
        </w:rPr>
        <w:t xml:space="preserve">ection 90.209(b)(7) </w:t>
      </w:r>
      <w:r w:rsidR="00D7260B">
        <w:rPr>
          <w:sz w:val="22"/>
          <w:szCs w:val="22"/>
        </w:rPr>
        <w:t xml:space="preserve">granted in the </w:t>
      </w:r>
      <w:r w:rsidR="002C68A9">
        <w:rPr>
          <w:i/>
          <w:sz w:val="22"/>
          <w:szCs w:val="22"/>
        </w:rPr>
        <w:t>2014 Waiver Order</w:t>
      </w:r>
      <w:r w:rsidR="00D7260B">
        <w:rPr>
          <w:i/>
          <w:sz w:val="22"/>
          <w:szCs w:val="22"/>
        </w:rPr>
        <w:t xml:space="preserve"> </w:t>
      </w:r>
      <w:r w:rsidRPr="00366D10" w:rsidR="00366D10">
        <w:rPr>
          <w:sz w:val="22"/>
          <w:szCs w:val="22"/>
        </w:rPr>
        <w:t xml:space="preserve">so that it may </w:t>
      </w:r>
      <w:r w:rsidR="00923F63">
        <w:rPr>
          <w:sz w:val="22"/>
          <w:szCs w:val="22"/>
        </w:rPr>
        <w:t>accelerate its broadband deployment</w:t>
      </w:r>
      <w:r w:rsidRPr="00366D10" w:rsidR="00923F63">
        <w:rPr>
          <w:sz w:val="22"/>
          <w:szCs w:val="22"/>
        </w:rPr>
        <w:t xml:space="preserve"> </w:t>
      </w:r>
      <w:r w:rsidR="00923F63">
        <w:rPr>
          <w:sz w:val="22"/>
          <w:szCs w:val="22"/>
        </w:rPr>
        <w:t xml:space="preserve">by </w:t>
      </w:r>
      <w:r w:rsidR="00D7260B">
        <w:rPr>
          <w:sz w:val="22"/>
          <w:szCs w:val="22"/>
        </w:rPr>
        <w:t xml:space="preserve">also </w:t>
      </w:r>
      <w:r w:rsidR="00923F63">
        <w:rPr>
          <w:sz w:val="22"/>
          <w:szCs w:val="22"/>
        </w:rPr>
        <w:t xml:space="preserve">operating </w:t>
      </w:r>
      <w:r w:rsidRPr="00366D10" w:rsidR="00366D10">
        <w:rPr>
          <w:sz w:val="22"/>
          <w:szCs w:val="22"/>
        </w:rPr>
        <w:t xml:space="preserve">LTE </w:t>
      </w:r>
      <w:r w:rsidR="00923F63">
        <w:rPr>
          <w:sz w:val="22"/>
          <w:szCs w:val="22"/>
        </w:rPr>
        <w:t xml:space="preserve">sites </w:t>
      </w:r>
      <w:r w:rsidRPr="00366D10" w:rsidR="00366D10">
        <w:rPr>
          <w:sz w:val="22"/>
          <w:szCs w:val="22"/>
        </w:rPr>
        <w:t xml:space="preserve">in </w:t>
      </w:r>
      <w:r w:rsidR="004A2B77">
        <w:rPr>
          <w:sz w:val="22"/>
          <w:szCs w:val="22"/>
        </w:rPr>
        <w:t xml:space="preserve">the </w:t>
      </w:r>
      <w:r w:rsidR="00CF67A8">
        <w:rPr>
          <w:sz w:val="22"/>
          <w:szCs w:val="22"/>
        </w:rPr>
        <w:t xml:space="preserve">nine additional </w:t>
      </w:r>
      <w:r w:rsidR="00F036E3">
        <w:rPr>
          <w:sz w:val="22"/>
          <w:szCs w:val="22"/>
        </w:rPr>
        <w:t xml:space="preserve">San Antonio – Texas </w:t>
      </w:r>
      <w:r w:rsidRPr="00366D10" w:rsidR="00366D10">
        <w:rPr>
          <w:sz w:val="22"/>
          <w:szCs w:val="22"/>
        </w:rPr>
        <w:t xml:space="preserve">NPSPAC Region counties in which 800 MHz </w:t>
      </w:r>
      <w:r w:rsidRPr="00366D10" w:rsidR="00366D10">
        <w:rPr>
          <w:sz w:val="22"/>
          <w:szCs w:val="22"/>
        </w:rPr>
        <w:t>rebanding</w:t>
      </w:r>
      <w:r w:rsidRPr="00366D10" w:rsidR="00366D10">
        <w:rPr>
          <w:sz w:val="22"/>
          <w:szCs w:val="22"/>
        </w:rPr>
        <w:t xml:space="preserve"> is </w:t>
      </w:r>
      <w:r w:rsidR="00D7260B">
        <w:rPr>
          <w:sz w:val="22"/>
          <w:szCs w:val="22"/>
        </w:rPr>
        <w:t xml:space="preserve">now </w:t>
      </w:r>
      <w:r w:rsidRPr="00366D10" w:rsidR="00366D10">
        <w:rPr>
          <w:sz w:val="22"/>
          <w:szCs w:val="22"/>
        </w:rPr>
        <w:t>complete.</w:t>
      </w:r>
      <w:r>
        <w:rPr>
          <w:sz w:val="22"/>
          <w:szCs w:val="22"/>
          <w:vertAlign w:val="superscript"/>
        </w:rPr>
        <w:footnoteReference w:id="12"/>
      </w:r>
      <w:r w:rsidRPr="00366D10" w:rsidR="00366D10">
        <w:rPr>
          <w:sz w:val="22"/>
          <w:szCs w:val="22"/>
        </w:rPr>
        <w:t xml:space="preserve">  Sprint </w:t>
      </w:r>
      <w:r w:rsidR="0032126C">
        <w:rPr>
          <w:sz w:val="22"/>
          <w:szCs w:val="22"/>
        </w:rPr>
        <w:t>states</w:t>
      </w:r>
      <w:r w:rsidRPr="00366D10" w:rsidR="0032126C">
        <w:rPr>
          <w:sz w:val="22"/>
          <w:szCs w:val="22"/>
        </w:rPr>
        <w:t xml:space="preserve"> </w:t>
      </w:r>
      <w:r w:rsidR="00C01DC8">
        <w:rPr>
          <w:sz w:val="22"/>
          <w:szCs w:val="22"/>
        </w:rPr>
        <w:t>that its planned sites in each of these counties are located</w:t>
      </w:r>
      <w:r w:rsidRPr="00366D10" w:rsidR="00366D10">
        <w:rPr>
          <w:sz w:val="22"/>
          <w:szCs w:val="22"/>
        </w:rPr>
        <w:t xml:space="preserve"> more than </w:t>
      </w:r>
      <w:r w:rsidR="00C01DC8">
        <w:rPr>
          <w:sz w:val="22"/>
          <w:szCs w:val="22"/>
        </w:rPr>
        <w:t>70</w:t>
      </w:r>
      <w:r w:rsidRPr="00366D10" w:rsidR="00366D10">
        <w:rPr>
          <w:sz w:val="22"/>
          <w:szCs w:val="22"/>
        </w:rPr>
        <w:t xml:space="preserve"> miles away from the </w:t>
      </w:r>
      <w:r w:rsidR="00F036E3">
        <w:rPr>
          <w:sz w:val="22"/>
          <w:szCs w:val="22"/>
        </w:rPr>
        <w:t xml:space="preserve">San Antonio – Texas </w:t>
      </w:r>
      <w:r w:rsidR="00C01DC8">
        <w:rPr>
          <w:sz w:val="22"/>
          <w:szCs w:val="22"/>
        </w:rPr>
        <w:t>public safety sites still operating in the old NPSPAC band</w:t>
      </w:r>
      <w:r w:rsidR="003D3D0E">
        <w:rPr>
          <w:sz w:val="22"/>
          <w:szCs w:val="22"/>
        </w:rPr>
        <w:t>.</w:t>
      </w:r>
      <w:r>
        <w:rPr>
          <w:sz w:val="22"/>
          <w:szCs w:val="22"/>
          <w:vertAlign w:val="superscript"/>
        </w:rPr>
        <w:footnoteReference w:id="13"/>
      </w:r>
      <w:r w:rsidRPr="00366D10" w:rsidR="00366D10">
        <w:rPr>
          <w:sz w:val="22"/>
          <w:szCs w:val="22"/>
        </w:rPr>
        <w:t xml:space="preserve">  Sprint </w:t>
      </w:r>
      <w:r w:rsidR="006B0671">
        <w:rPr>
          <w:sz w:val="22"/>
          <w:szCs w:val="22"/>
        </w:rPr>
        <w:t xml:space="preserve">proposes to maintain </w:t>
      </w:r>
      <w:r w:rsidR="00D7260B">
        <w:rPr>
          <w:sz w:val="22"/>
          <w:szCs w:val="22"/>
        </w:rPr>
        <w:t>a</w:t>
      </w:r>
      <w:r w:rsidR="006B0671">
        <w:rPr>
          <w:sz w:val="22"/>
          <w:szCs w:val="22"/>
        </w:rPr>
        <w:t xml:space="preserve"> distance </w:t>
      </w:r>
      <w:r w:rsidR="003073A5">
        <w:rPr>
          <w:sz w:val="22"/>
          <w:szCs w:val="22"/>
        </w:rPr>
        <w:t xml:space="preserve">of more than 70 miles </w:t>
      </w:r>
      <w:r w:rsidR="006B0671">
        <w:rPr>
          <w:sz w:val="22"/>
          <w:szCs w:val="22"/>
        </w:rPr>
        <w:t xml:space="preserve">between co-channel operations to provide an additional buffer of protection to the remaining public safety operations, which, Sprint argues, </w:t>
      </w:r>
      <w:r w:rsidR="00705138">
        <w:rPr>
          <w:sz w:val="22"/>
          <w:szCs w:val="22"/>
        </w:rPr>
        <w:t xml:space="preserve">would be entirely consistent with the </w:t>
      </w:r>
      <w:r w:rsidR="006B0671">
        <w:rPr>
          <w:sz w:val="22"/>
          <w:szCs w:val="22"/>
        </w:rPr>
        <w:t>co-channel separation requirement</w:t>
      </w:r>
      <w:r w:rsidR="00503F86">
        <w:rPr>
          <w:sz w:val="22"/>
          <w:szCs w:val="22"/>
        </w:rPr>
        <w:t>s</w:t>
      </w:r>
      <w:r w:rsidR="006B0671">
        <w:rPr>
          <w:sz w:val="22"/>
          <w:szCs w:val="22"/>
        </w:rPr>
        <w:t xml:space="preserve"> in the Commission’s rules.</w:t>
      </w:r>
      <w:r>
        <w:rPr>
          <w:rStyle w:val="FootnoteReference"/>
          <w:sz w:val="22"/>
          <w:szCs w:val="22"/>
        </w:rPr>
        <w:footnoteReference w:id="14"/>
      </w:r>
      <w:r w:rsidRPr="00366D10" w:rsidR="00366D10">
        <w:rPr>
          <w:sz w:val="22"/>
          <w:szCs w:val="22"/>
        </w:rPr>
        <w:t xml:space="preserve">  </w:t>
      </w:r>
      <w:r w:rsidRPr="00ED3C8B">
        <w:rPr>
          <w:sz w:val="22"/>
          <w:szCs w:val="22"/>
        </w:rPr>
        <w:t xml:space="preserve">In addition, </w:t>
      </w:r>
      <w:r w:rsidRPr="00D456EB" w:rsidR="002F0402">
        <w:rPr>
          <w:sz w:val="22"/>
        </w:rPr>
        <w:t>Sprint agrees to correct any interference caused by its LTE deployment to public safety operations.</w:t>
      </w:r>
      <w:r>
        <w:rPr>
          <w:rStyle w:val="FootnoteReference"/>
          <w:sz w:val="22"/>
        </w:rPr>
        <w:footnoteReference w:id="15"/>
      </w:r>
    </w:p>
    <w:p w:rsidR="00044AA3" w:rsidP="00044AA3">
      <w:pPr>
        <w:pStyle w:val="ParaNum"/>
        <w:numPr>
          <w:ilvl w:val="0"/>
          <w:numId w:val="0"/>
        </w:numPr>
        <w:spacing w:after="0"/>
        <w:ind w:firstLine="720"/>
        <w:jc w:val="left"/>
        <w:rPr>
          <w:szCs w:val="22"/>
        </w:rPr>
      </w:pPr>
    </w:p>
    <w:p w:rsidR="00044AA3" w:rsidP="00044AA3">
      <w:pPr>
        <w:pStyle w:val="ParaNum"/>
        <w:numPr>
          <w:ilvl w:val="0"/>
          <w:numId w:val="0"/>
        </w:numPr>
        <w:spacing w:after="0"/>
        <w:ind w:firstLine="720"/>
        <w:jc w:val="left"/>
        <w:rPr>
          <w:szCs w:val="22"/>
        </w:rPr>
      </w:pPr>
      <w:r>
        <w:rPr>
          <w:szCs w:val="22"/>
        </w:rPr>
        <w:t xml:space="preserve">To support its petition, </w:t>
      </w:r>
      <w:r w:rsidRPr="009B62B5" w:rsidR="00BE646D">
        <w:rPr>
          <w:szCs w:val="22"/>
        </w:rPr>
        <w:t xml:space="preserve">Sprint provided </w:t>
      </w:r>
      <w:r w:rsidRPr="009B62B5" w:rsidR="004F0461">
        <w:rPr>
          <w:szCs w:val="22"/>
        </w:rPr>
        <w:t>concurrence</w:t>
      </w:r>
      <w:r w:rsidR="00310007">
        <w:rPr>
          <w:szCs w:val="22"/>
        </w:rPr>
        <w:t>s</w:t>
      </w:r>
      <w:r w:rsidRPr="009B62B5" w:rsidR="004F0461">
        <w:rPr>
          <w:szCs w:val="22"/>
        </w:rPr>
        <w:t xml:space="preserve"> </w:t>
      </w:r>
      <w:r w:rsidRPr="009B62B5" w:rsidR="00BE646D">
        <w:rPr>
          <w:szCs w:val="22"/>
        </w:rPr>
        <w:t xml:space="preserve">from </w:t>
      </w:r>
      <w:r w:rsidR="00E75C73">
        <w:rPr>
          <w:szCs w:val="22"/>
        </w:rPr>
        <w:t xml:space="preserve">four </w:t>
      </w:r>
      <w:r w:rsidR="00310007">
        <w:rPr>
          <w:szCs w:val="22"/>
        </w:rPr>
        <w:t xml:space="preserve">public safety incumbents in the </w:t>
      </w:r>
      <w:r w:rsidR="00F036E3">
        <w:rPr>
          <w:szCs w:val="22"/>
        </w:rPr>
        <w:t xml:space="preserve">San Antonio – Texas </w:t>
      </w:r>
      <w:r w:rsidR="00310007">
        <w:rPr>
          <w:szCs w:val="22"/>
        </w:rPr>
        <w:t>NPSPAC Region—</w:t>
      </w:r>
      <w:r w:rsidR="00E42438">
        <w:rPr>
          <w:szCs w:val="22"/>
        </w:rPr>
        <w:t xml:space="preserve">Cameron County, </w:t>
      </w:r>
      <w:r w:rsidR="003E0F95">
        <w:rPr>
          <w:szCs w:val="22"/>
        </w:rPr>
        <w:t xml:space="preserve">the </w:t>
      </w:r>
      <w:r w:rsidR="00E42438">
        <w:rPr>
          <w:szCs w:val="22"/>
        </w:rPr>
        <w:t xml:space="preserve">City of Rio Grande, Willacy County, and </w:t>
      </w:r>
      <w:r w:rsidR="003E0F95">
        <w:rPr>
          <w:szCs w:val="22"/>
        </w:rPr>
        <w:t xml:space="preserve">the </w:t>
      </w:r>
      <w:r w:rsidR="00E42438">
        <w:rPr>
          <w:szCs w:val="22"/>
        </w:rPr>
        <w:t>San Benito CISD Police Department</w:t>
      </w:r>
      <w:r w:rsidRPr="00D2640E" w:rsidR="00D2640E">
        <w:rPr>
          <w:szCs w:val="22"/>
        </w:rPr>
        <w:t xml:space="preserve"> </w:t>
      </w:r>
      <w:r w:rsidR="00D2640E">
        <w:rPr>
          <w:szCs w:val="22"/>
        </w:rPr>
        <w:t>o</w:t>
      </w:r>
      <w:r w:rsidRPr="009B62B5" w:rsidR="00D2640E">
        <w:rPr>
          <w:szCs w:val="22"/>
        </w:rPr>
        <w:t>n October 23, 2017</w:t>
      </w:r>
      <w:r w:rsidRPr="009B62B5" w:rsidR="00BE646D">
        <w:rPr>
          <w:szCs w:val="22"/>
        </w:rPr>
        <w:t>.</w:t>
      </w:r>
      <w:r>
        <w:rPr>
          <w:rStyle w:val="FootnoteReference"/>
          <w:szCs w:val="22"/>
        </w:rPr>
        <w:footnoteReference w:id="16"/>
      </w:r>
      <w:r w:rsidRPr="009B62B5" w:rsidR="00BE646D">
        <w:rPr>
          <w:szCs w:val="22"/>
        </w:rPr>
        <w:t xml:space="preserve">  </w:t>
      </w:r>
      <w:r w:rsidR="007C0FB0">
        <w:rPr>
          <w:szCs w:val="22"/>
        </w:rPr>
        <w:t>Subsequently</w:t>
      </w:r>
      <w:r w:rsidR="008815C8">
        <w:rPr>
          <w:szCs w:val="22"/>
        </w:rPr>
        <w:t xml:space="preserve">, </w:t>
      </w:r>
      <w:r w:rsidR="00E42438">
        <w:rPr>
          <w:szCs w:val="22"/>
        </w:rPr>
        <w:t xml:space="preserve">Sprint provided additional concurrences from </w:t>
      </w:r>
      <w:r w:rsidR="003E0F95">
        <w:rPr>
          <w:szCs w:val="22"/>
        </w:rPr>
        <w:t xml:space="preserve">the </w:t>
      </w:r>
      <w:r w:rsidR="00830F46">
        <w:rPr>
          <w:szCs w:val="22"/>
        </w:rPr>
        <w:t xml:space="preserve">City of Brownsville, </w:t>
      </w:r>
      <w:r w:rsidRPr="00C64ADC" w:rsidR="003E0F95">
        <w:rPr>
          <w:szCs w:val="22"/>
        </w:rPr>
        <w:t>the City of Edinburg</w:t>
      </w:r>
      <w:r w:rsidRPr="00320906" w:rsidR="003E0F95">
        <w:rPr>
          <w:szCs w:val="22"/>
        </w:rPr>
        <w:t>, the</w:t>
      </w:r>
      <w:r w:rsidR="003E0F95">
        <w:rPr>
          <w:szCs w:val="22"/>
        </w:rPr>
        <w:t xml:space="preserve"> </w:t>
      </w:r>
      <w:r w:rsidR="00830F46">
        <w:rPr>
          <w:szCs w:val="22"/>
        </w:rPr>
        <w:t>City of Harlingen,</w:t>
      </w:r>
      <w:r w:rsidRPr="00830F46" w:rsidR="00830F46">
        <w:rPr>
          <w:rStyle w:val="FootnoteReference"/>
          <w:szCs w:val="22"/>
        </w:rPr>
        <w:t xml:space="preserve"> </w:t>
      </w:r>
      <w:r w:rsidR="003E0F95">
        <w:rPr>
          <w:szCs w:val="22"/>
        </w:rPr>
        <w:t xml:space="preserve">the </w:t>
      </w:r>
      <w:r w:rsidR="00320906">
        <w:rPr>
          <w:szCs w:val="22"/>
        </w:rPr>
        <w:t>City of Mission,</w:t>
      </w:r>
      <w:r w:rsidR="00830F46">
        <w:rPr>
          <w:szCs w:val="22"/>
        </w:rPr>
        <w:t xml:space="preserve"> </w:t>
      </w:r>
      <w:r w:rsidR="003E0F95">
        <w:rPr>
          <w:szCs w:val="22"/>
        </w:rPr>
        <w:t xml:space="preserve">the </w:t>
      </w:r>
      <w:r w:rsidR="00320906">
        <w:rPr>
          <w:szCs w:val="22"/>
        </w:rPr>
        <w:t>City of Pharr</w:t>
      </w:r>
      <w:r w:rsidR="00830F46">
        <w:rPr>
          <w:szCs w:val="22"/>
        </w:rPr>
        <w:t>,</w:t>
      </w:r>
      <w:r w:rsidR="00830F46">
        <w:rPr>
          <w:szCs w:val="22"/>
        </w:rPr>
        <w:t xml:space="preserve"> </w:t>
      </w:r>
      <w:r w:rsidR="00E42438">
        <w:rPr>
          <w:szCs w:val="22"/>
        </w:rPr>
        <w:t>Hidalgo County</w:t>
      </w:r>
      <w:r w:rsidR="007C0FB0">
        <w:rPr>
          <w:szCs w:val="22"/>
        </w:rPr>
        <w:t xml:space="preserve">, </w:t>
      </w:r>
      <w:r w:rsidR="003E0F95">
        <w:rPr>
          <w:szCs w:val="22"/>
        </w:rPr>
        <w:t xml:space="preserve">and the </w:t>
      </w:r>
      <w:r w:rsidR="007C0FB0">
        <w:rPr>
          <w:szCs w:val="22"/>
        </w:rPr>
        <w:t>Lower Rio Grande Valley Development</w:t>
      </w:r>
      <w:r w:rsidR="00320906">
        <w:rPr>
          <w:szCs w:val="22"/>
        </w:rPr>
        <w:t xml:space="preserve"> Council</w:t>
      </w:r>
      <w:r w:rsidR="003E0F95">
        <w:rPr>
          <w:szCs w:val="22"/>
        </w:rPr>
        <w:t>.</w:t>
      </w:r>
      <w:r>
        <w:rPr>
          <w:rStyle w:val="FootnoteReference"/>
          <w:szCs w:val="22"/>
        </w:rPr>
        <w:footnoteReference w:id="17"/>
      </w:r>
      <w:r w:rsidR="00CB1FC0">
        <w:rPr>
          <w:szCs w:val="22"/>
        </w:rPr>
        <w:t xml:space="preserve"> </w:t>
      </w:r>
      <w:r w:rsidR="003E0F95">
        <w:rPr>
          <w:szCs w:val="22"/>
        </w:rPr>
        <w:t xml:space="preserve"> </w:t>
      </w:r>
      <w:r w:rsidRPr="00F036E3" w:rsidR="003E0F95">
        <w:rPr>
          <w:szCs w:val="22"/>
        </w:rPr>
        <w:t xml:space="preserve">Sprint also notes that, between the filing of the Waiver Request and April </w:t>
      </w:r>
      <w:r w:rsidRPr="00C64ADC" w:rsidR="007C450C">
        <w:rPr>
          <w:szCs w:val="22"/>
        </w:rPr>
        <w:t>3</w:t>
      </w:r>
      <w:r w:rsidRPr="00F036E3" w:rsidR="003E0F95">
        <w:rPr>
          <w:szCs w:val="22"/>
        </w:rPr>
        <w:t xml:space="preserve">, 2018, </w:t>
      </w:r>
      <w:r w:rsidRPr="00F036E3" w:rsidR="00F86501">
        <w:rPr>
          <w:szCs w:val="22"/>
        </w:rPr>
        <w:t>the Lower Rio Grande Valley Development Council,</w:t>
      </w:r>
      <w:r w:rsidRPr="00C64ADC" w:rsidR="00F86501">
        <w:rPr>
          <w:szCs w:val="22"/>
        </w:rPr>
        <w:t xml:space="preserve"> </w:t>
      </w:r>
      <w:r w:rsidRPr="00F036E3" w:rsidR="00F86501">
        <w:t xml:space="preserve">the City of Hidalgo, and the Edinburg CISD PD </w:t>
      </w:r>
      <w:r w:rsidRPr="00F036E3" w:rsidR="003E0F95">
        <w:rPr>
          <w:szCs w:val="22"/>
        </w:rPr>
        <w:t>have since completed retuning.</w:t>
      </w:r>
      <w:r>
        <w:rPr>
          <w:rStyle w:val="FootnoteReference"/>
          <w:szCs w:val="22"/>
        </w:rPr>
        <w:footnoteReference w:id="18"/>
      </w:r>
    </w:p>
    <w:p w:rsidR="0071096E" w:rsidP="00044AA3">
      <w:pPr>
        <w:pStyle w:val="ParaNum"/>
        <w:numPr>
          <w:ilvl w:val="0"/>
          <w:numId w:val="0"/>
        </w:numPr>
        <w:spacing w:after="0"/>
        <w:ind w:firstLine="720"/>
        <w:jc w:val="left"/>
        <w:rPr>
          <w:szCs w:val="22"/>
        </w:rPr>
      </w:pPr>
    </w:p>
    <w:p w:rsidR="0071096E" w:rsidP="0071096E">
      <w:pPr>
        <w:ind w:firstLine="720"/>
        <w:rPr>
          <w:sz w:val="22"/>
          <w:szCs w:val="22"/>
        </w:rPr>
      </w:pPr>
      <w:r w:rsidRPr="0071096E">
        <w:rPr>
          <w:sz w:val="22"/>
          <w:szCs w:val="22"/>
        </w:rPr>
        <w:t xml:space="preserve">Pursuant to </w:t>
      </w:r>
      <w:r w:rsidR="00C2071B">
        <w:rPr>
          <w:sz w:val="22"/>
          <w:szCs w:val="22"/>
        </w:rPr>
        <w:t>S</w:t>
      </w:r>
      <w:r w:rsidRPr="0071096E">
        <w:rPr>
          <w:sz w:val="22"/>
          <w:szCs w:val="22"/>
        </w:rPr>
        <w:t>ection 1.925 of the Commission’s rules, waiver may be granted if the petitioner establishes that:</w:t>
      </w:r>
      <w:r w:rsidR="00C2071B">
        <w:rPr>
          <w:sz w:val="22"/>
          <w:szCs w:val="22"/>
        </w:rPr>
        <w:t xml:space="preserve"> </w:t>
      </w:r>
      <w:r w:rsidRPr="0071096E">
        <w:rPr>
          <w:sz w:val="22"/>
          <w:szCs w:val="22"/>
        </w:rPr>
        <w:t xml:space="preserve">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Pr>
          <w:sz w:val="22"/>
          <w:szCs w:val="22"/>
          <w:vertAlign w:val="superscript"/>
        </w:rPr>
        <w:footnoteReference w:id="19"/>
      </w:r>
    </w:p>
    <w:p w:rsidR="0071096E" w:rsidP="0071096E">
      <w:pPr>
        <w:ind w:firstLine="720"/>
        <w:rPr>
          <w:sz w:val="22"/>
          <w:szCs w:val="22"/>
        </w:rPr>
      </w:pPr>
    </w:p>
    <w:p w:rsidR="0071096E" w:rsidP="0071096E">
      <w:pPr>
        <w:ind w:firstLine="720"/>
        <w:rPr>
          <w:sz w:val="22"/>
          <w:szCs w:val="22"/>
        </w:rPr>
      </w:pPr>
      <w:r w:rsidRPr="0071096E">
        <w:rPr>
          <w:sz w:val="22"/>
          <w:szCs w:val="22"/>
        </w:rPr>
        <w:t xml:space="preserve">Based on the unusual factual circumstances described by Sprint, we find that </w:t>
      </w:r>
      <w:r w:rsidR="00E42438">
        <w:rPr>
          <w:sz w:val="22"/>
          <w:szCs w:val="22"/>
        </w:rPr>
        <w:t>modification of the</w:t>
      </w:r>
      <w:r w:rsidRPr="0071096E" w:rsidR="00E42438">
        <w:rPr>
          <w:sz w:val="22"/>
          <w:szCs w:val="22"/>
        </w:rPr>
        <w:t xml:space="preserve"> </w:t>
      </w:r>
      <w:r w:rsidRPr="0071096E">
        <w:rPr>
          <w:sz w:val="22"/>
          <w:szCs w:val="22"/>
        </w:rPr>
        <w:t xml:space="preserve">waiver </w:t>
      </w:r>
      <w:r w:rsidR="00E42438">
        <w:rPr>
          <w:sz w:val="22"/>
          <w:szCs w:val="22"/>
        </w:rPr>
        <w:t xml:space="preserve">granted in the </w:t>
      </w:r>
      <w:r w:rsidR="002C68A9">
        <w:rPr>
          <w:i/>
          <w:sz w:val="22"/>
          <w:szCs w:val="22"/>
        </w:rPr>
        <w:t>2014 Waiver Order</w:t>
      </w:r>
      <w:r w:rsidR="00E42438">
        <w:rPr>
          <w:i/>
          <w:sz w:val="22"/>
          <w:szCs w:val="22"/>
        </w:rPr>
        <w:t xml:space="preserve"> </w:t>
      </w:r>
      <w:r w:rsidRPr="0071096E">
        <w:rPr>
          <w:sz w:val="22"/>
          <w:szCs w:val="22"/>
        </w:rPr>
        <w:t xml:space="preserve">is warranted in this case because application of the rule would inhibit LTE deployment in </w:t>
      </w:r>
      <w:r w:rsidR="00571BD0">
        <w:rPr>
          <w:sz w:val="22"/>
          <w:szCs w:val="22"/>
        </w:rPr>
        <w:t>nine counties, which were excluded from the previous waiver, within the</w:t>
      </w:r>
      <w:r w:rsidR="00E42438">
        <w:rPr>
          <w:sz w:val="22"/>
          <w:szCs w:val="22"/>
        </w:rPr>
        <w:t xml:space="preserve"> </w:t>
      </w:r>
      <w:r w:rsidR="00F036E3">
        <w:rPr>
          <w:sz w:val="22"/>
          <w:szCs w:val="22"/>
        </w:rPr>
        <w:t xml:space="preserve">San Antonio – Texas </w:t>
      </w:r>
      <w:r w:rsidRPr="0071096E">
        <w:rPr>
          <w:sz w:val="22"/>
          <w:szCs w:val="22"/>
        </w:rPr>
        <w:t xml:space="preserve">NPSPAC Region where retuning has been completed.  </w:t>
      </w:r>
      <w:r w:rsidR="008F294F">
        <w:rPr>
          <w:sz w:val="22"/>
          <w:szCs w:val="22"/>
        </w:rPr>
        <w:t xml:space="preserve">We </w:t>
      </w:r>
      <w:r w:rsidR="00480CB9">
        <w:rPr>
          <w:sz w:val="22"/>
          <w:szCs w:val="22"/>
        </w:rPr>
        <w:t xml:space="preserve">conclude </w:t>
      </w:r>
      <w:r w:rsidR="008F294F">
        <w:rPr>
          <w:sz w:val="22"/>
          <w:szCs w:val="22"/>
        </w:rPr>
        <w:t xml:space="preserve">that it would be </w:t>
      </w:r>
      <w:r w:rsidRPr="0071096E">
        <w:rPr>
          <w:sz w:val="22"/>
          <w:szCs w:val="22"/>
        </w:rPr>
        <w:t xml:space="preserve">inequitable and unduly burdensome to prohibit access to valuable broadband wireless services </w:t>
      </w:r>
      <w:r w:rsidR="008F294F">
        <w:rPr>
          <w:sz w:val="22"/>
          <w:szCs w:val="22"/>
        </w:rPr>
        <w:t xml:space="preserve">in the </w:t>
      </w:r>
      <w:r w:rsidR="00571BD0">
        <w:rPr>
          <w:sz w:val="22"/>
          <w:szCs w:val="22"/>
        </w:rPr>
        <w:t xml:space="preserve">areas around </w:t>
      </w:r>
      <w:r w:rsidR="008F294F">
        <w:rPr>
          <w:sz w:val="22"/>
          <w:szCs w:val="22"/>
        </w:rPr>
        <w:t xml:space="preserve">Corpus Christi </w:t>
      </w:r>
      <w:r w:rsidR="00571BD0">
        <w:rPr>
          <w:sz w:val="22"/>
          <w:szCs w:val="22"/>
        </w:rPr>
        <w:t>and Laredo</w:t>
      </w:r>
      <w:r w:rsidR="008F294F">
        <w:rPr>
          <w:sz w:val="22"/>
          <w:szCs w:val="22"/>
        </w:rPr>
        <w:t xml:space="preserve"> </w:t>
      </w:r>
      <w:r w:rsidRPr="0071096E">
        <w:rPr>
          <w:sz w:val="22"/>
          <w:szCs w:val="22"/>
        </w:rPr>
        <w:t xml:space="preserve">until the </w:t>
      </w:r>
      <w:r w:rsidR="002C6F68">
        <w:rPr>
          <w:sz w:val="22"/>
          <w:szCs w:val="22"/>
        </w:rPr>
        <w:t xml:space="preserve">remaining </w:t>
      </w:r>
      <w:r w:rsidR="00F036E3">
        <w:rPr>
          <w:sz w:val="22"/>
          <w:szCs w:val="22"/>
        </w:rPr>
        <w:t xml:space="preserve">San Antonio – Texas </w:t>
      </w:r>
      <w:r w:rsidR="005F4BD8">
        <w:rPr>
          <w:sz w:val="22"/>
          <w:szCs w:val="22"/>
        </w:rPr>
        <w:t>NPSPAC l</w:t>
      </w:r>
      <w:r w:rsidRPr="0071096E">
        <w:rPr>
          <w:sz w:val="22"/>
          <w:szCs w:val="22"/>
        </w:rPr>
        <w:t>icensees complete</w:t>
      </w:r>
      <w:r w:rsidR="002C6F68">
        <w:rPr>
          <w:sz w:val="22"/>
          <w:szCs w:val="22"/>
        </w:rPr>
        <w:t xml:space="preserve"> their</w:t>
      </w:r>
      <w:r w:rsidRPr="0071096E">
        <w:rPr>
          <w:sz w:val="22"/>
          <w:szCs w:val="22"/>
        </w:rPr>
        <w:t xml:space="preserve"> retuning from the old NPSPAC band where Sprint will maintain such a significant geographic separation between its sites and those of the </w:t>
      </w:r>
      <w:r w:rsidR="00F036E3">
        <w:rPr>
          <w:sz w:val="22"/>
          <w:szCs w:val="22"/>
        </w:rPr>
        <w:t xml:space="preserve">San Antonio – Texas </w:t>
      </w:r>
      <w:r w:rsidRPr="0071096E">
        <w:rPr>
          <w:sz w:val="22"/>
          <w:szCs w:val="22"/>
        </w:rPr>
        <w:t>NPSPAC Region public safety entities.  Such a constraint on broadband deployment and consumer choice is contrary to the public interest in light of measures (</w:t>
      </w:r>
      <w:r w:rsidRPr="0071096E">
        <w:rPr>
          <w:i/>
          <w:sz w:val="22"/>
          <w:szCs w:val="22"/>
        </w:rPr>
        <w:t xml:space="preserve">i.e. </w:t>
      </w:r>
      <w:r w:rsidRPr="0071096E">
        <w:rPr>
          <w:sz w:val="22"/>
          <w:szCs w:val="22"/>
        </w:rPr>
        <w:t>co-channel separation and advance notification) that will protect public safety entities from harmful interference.</w:t>
      </w:r>
      <w:r>
        <w:rPr>
          <w:sz w:val="22"/>
          <w:szCs w:val="22"/>
          <w:vertAlign w:val="superscript"/>
        </w:rPr>
        <w:footnoteReference w:id="20"/>
      </w:r>
      <w:r w:rsidRPr="0071096E">
        <w:rPr>
          <w:sz w:val="22"/>
          <w:szCs w:val="22"/>
        </w:rPr>
        <w:t xml:space="preserve">  </w:t>
      </w:r>
      <w:r w:rsidRPr="00ED3C8B" w:rsidR="002C6F68">
        <w:rPr>
          <w:sz w:val="22"/>
          <w:szCs w:val="22"/>
        </w:rPr>
        <w:t>We note that we have previously granted similar waivers where Sp</w:t>
      </w:r>
      <w:r w:rsidRPr="00ED3C8B" w:rsidR="00924A62">
        <w:rPr>
          <w:sz w:val="22"/>
          <w:szCs w:val="22"/>
        </w:rPr>
        <w:t>r</w:t>
      </w:r>
      <w:r w:rsidRPr="00ED3C8B" w:rsidR="002C6F68">
        <w:rPr>
          <w:sz w:val="22"/>
          <w:szCs w:val="22"/>
        </w:rPr>
        <w:t>int maintained a separation distance of at least 70 miles from the closest public safe</w:t>
      </w:r>
      <w:r w:rsidRPr="00ED3C8B" w:rsidR="00924A62">
        <w:rPr>
          <w:sz w:val="22"/>
          <w:szCs w:val="22"/>
        </w:rPr>
        <w:t>ty site,</w:t>
      </w:r>
      <w:r>
        <w:rPr>
          <w:rStyle w:val="FootnoteReference"/>
          <w:sz w:val="22"/>
          <w:szCs w:val="22"/>
        </w:rPr>
        <w:footnoteReference w:id="21"/>
      </w:r>
      <w:r w:rsidRPr="00ED3C8B" w:rsidR="00924A62">
        <w:rPr>
          <w:sz w:val="22"/>
          <w:szCs w:val="22"/>
        </w:rPr>
        <w:t xml:space="preserve"> and we are not aware of occurrences of harmful interference </w:t>
      </w:r>
      <w:r w:rsidR="001D5C24">
        <w:rPr>
          <w:sz w:val="22"/>
          <w:szCs w:val="22"/>
        </w:rPr>
        <w:t>that were found to have resulted</w:t>
      </w:r>
      <w:r w:rsidRPr="00ED3C8B" w:rsidR="001D5C24">
        <w:rPr>
          <w:sz w:val="22"/>
          <w:szCs w:val="22"/>
        </w:rPr>
        <w:t xml:space="preserve"> </w:t>
      </w:r>
      <w:r w:rsidRPr="00ED3C8B" w:rsidR="00942CC9">
        <w:rPr>
          <w:sz w:val="22"/>
          <w:szCs w:val="22"/>
        </w:rPr>
        <w:t>from those waivers.  Our</w:t>
      </w:r>
      <w:r w:rsidRPr="00ED3C8B" w:rsidR="00924A62">
        <w:rPr>
          <w:sz w:val="22"/>
          <w:szCs w:val="22"/>
        </w:rPr>
        <w:t xml:space="preserve"> review of Sprint</w:t>
      </w:r>
      <w:r w:rsidRPr="00ED3C8B" w:rsidR="008314F9">
        <w:rPr>
          <w:sz w:val="22"/>
          <w:szCs w:val="22"/>
        </w:rPr>
        <w:t>’</w:t>
      </w:r>
      <w:r w:rsidRPr="00ED3C8B" w:rsidR="00924A62">
        <w:rPr>
          <w:sz w:val="22"/>
          <w:szCs w:val="22"/>
        </w:rPr>
        <w:t xml:space="preserve">s </w:t>
      </w:r>
      <w:r w:rsidRPr="00ED3C8B" w:rsidR="00A67929">
        <w:rPr>
          <w:sz w:val="22"/>
          <w:szCs w:val="22"/>
        </w:rPr>
        <w:t>Modification Request</w:t>
      </w:r>
      <w:r w:rsidRPr="00ED3C8B" w:rsidR="00924A62">
        <w:rPr>
          <w:sz w:val="22"/>
          <w:szCs w:val="22"/>
        </w:rPr>
        <w:t xml:space="preserve"> leads us</w:t>
      </w:r>
      <w:r w:rsidR="00924A62">
        <w:rPr>
          <w:sz w:val="22"/>
          <w:szCs w:val="22"/>
        </w:rPr>
        <w:t xml:space="preserve"> to conclude that similar relief is warranted here.  </w:t>
      </w:r>
      <w:r w:rsidRPr="0071096E">
        <w:rPr>
          <w:sz w:val="22"/>
          <w:szCs w:val="22"/>
        </w:rPr>
        <w:t xml:space="preserve">We therefore waive </w:t>
      </w:r>
      <w:r w:rsidR="002C6F68">
        <w:rPr>
          <w:sz w:val="22"/>
          <w:szCs w:val="22"/>
        </w:rPr>
        <w:t>S</w:t>
      </w:r>
      <w:r w:rsidRPr="0071096E">
        <w:rPr>
          <w:sz w:val="22"/>
          <w:szCs w:val="22"/>
        </w:rPr>
        <w:t xml:space="preserve">ection 90.209(b)(7) to permit Sprint to accelerate its broadband deployment in </w:t>
      </w:r>
      <w:r w:rsidR="009E2071">
        <w:rPr>
          <w:sz w:val="22"/>
          <w:szCs w:val="22"/>
        </w:rPr>
        <w:t xml:space="preserve">the </w:t>
      </w:r>
      <w:r w:rsidR="002C6F68">
        <w:rPr>
          <w:sz w:val="22"/>
          <w:szCs w:val="22"/>
        </w:rPr>
        <w:t xml:space="preserve">portions of </w:t>
      </w:r>
      <w:r w:rsidR="008314F9">
        <w:rPr>
          <w:sz w:val="22"/>
          <w:szCs w:val="22"/>
        </w:rPr>
        <w:t xml:space="preserve">39 </w:t>
      </w:r>
      <w:r w:rsidR="00F036E3">
        <w:rPr>
          <w:sz w:val="22"/>
          <w:szCs w:val="22"/>
        </w:rPr>
        <w:t xml:space="preserve">San Antonio – Texas </w:t>
      </w:r>
      <w:r w:rsidRPr="0071096E">
        <w:rPr>
          <w:sz w:val="22"/>
          <w:szCs w:val="22"/>
        </w:rPr>
        <w:t>NPSPAC Region counties listed in Attachment A</w:t>
      </w:r>
      <w:r w:rsidR="008314F9">
        <w:rPr>
          <w:sz w:val="22"/>
          <w:szCs w:val="22"/>
        </w:rPr>
        <w:t>, including the nine additional counties</w:t>
      </w:r>
      <w:r w:rsidRPr="0071096E">
        <w:rPr>
          <w:sz w:val="22"/>
          <w:szCs w:val="22"/>
        </w:rPr>
        <w:t xml:space="preserve">.  This </w:t>
      </w:r>
      <w:r w:rsidR="00B712F3">
        <w:rPr>
          <w:sz w:val="22"/>
          <w:szCs w:val="22"/>
        </w:rPr>
        <w:t xml:space="preserve">modification of the waiver granted in the </w:t>
      </w:r>
      <w:r w:rsidR="002C68A9">
        <w:rPr>
          <w:i/>
          <w:sz w:val="22"/>
          <w:szCs w:val="22"/>
        </w:rPr>
        <w:t>2014 Waiver Order</w:t>
      </w:r>
      <w:r w:rsidRPr="0071096E" w:rsidR="00B712F3">
        <w:rPr>
          <w:sz w:val="22"/>
          <w:szCs w:val="22"/>
        </w:rPr>
        <w:t xml:space="preserve"> </w:t>
      </w:r>
      <w:r w:rsidRPr="0071096E">
        <w:rPr>
          <w:sz w:val="22"/>
          <w:szCs w:val="22"/>
        </w:rPr>
        <w:t>is specifically conditioned on the following:</w:t>
      </w:r>
    </w:p>
    <w:p w:rsidR="006A401C" w:rsidP="0071096E">
      <w:pPr>
        <w:ind w:firstLine="720"/>
        <w:rPr>
          <w:sz w:val="22"/>
          <w:szCs w:val="22"/>
        </w:rPr>
      </w:pPr>
    </w:p>
    <w:p w:rsidR="006A401C" w:rsidP="006A401C">
      <w:pPr>
        <w:numPr>
          <w:ilvl w:val="0"/>
          <w:numId w:val="2"/>
        </w:numPr>
        <w:rPr>
          <w:sz w:val="22"/>
          <w:szCs w:val="22"/>
        </w:rPr>
      </w:pPr>
      <w:r>
        <w:rPr>
          <w:sz w:val="22"/>
          <w:szCs w:val="22"/>
        </w:rPr>
        <w:t xml:space="preserve">In </w:t>
      </w:r>
      <w:r w:rsidRPr="006A401C">
        <w:rPr>
          <w:sz w:val="22"/>
          <w:szCs w:val="22"/>
        </w:rPr>
        <w:t xml:space="preserve">the </w:t>
      </w:r>
      <w:r>
        <w:rPr>
          <w:sz w:val="22"/>
          <w:szCs w:val="22"/>
        </w:rPr>
        <w:t xml:space="preserve">portions of the </w:t>
      </w:r>
      <w:r w:rsidR="006C2E88">
        <w:rPr>
          <w:sz w:val="22"/>
          <w:szCs w:val="22"/>
        </w:rPr>
        <w:t>thirty-</w:t>
      </w:r>
      <w:r w:rsidR="00B712F3">
        <w:rPr>
          <w:sz w:val="22"/>
          <w:szCs w:val="22"/>
        </w:rPr>
        <w:t xml:space="preserve">nine </w:t>
      </w:r>
      <w:r>
        <w:rPr>
          <w:sz w:val="22"/>
          <w:szCs w:val="22"/>
        </w:rPr>
        <w:t>(</w:t>
      </w:r>
      <w:r w:rsidR="006C2E88">
        <w:rPr>
          <w:sz w:val="22"/>
          <w:szCs w:val="22"/>
        </w:rPr>
        <w:t>3</w:t>
      </w:r>
      <w:r w:rsidR="00B712F3">
        <w:rPr>
          <w:sz w:val="22"/>
          <w:szCs w:val="22"/>
        </w:rPr>
        <w:t>9</w:t>
      </w:r>
      <w:r w:rsidRPr="006A401C">
        <w:rPr>
          <w:sz w:val="22"/>
          <w:szCs w:val="22"/>
        </w:rPr>
        <w:t xml:space="preserve">) counties in the </w:t>
      </w:r>
      <w:r w:rsidR="00F036E3">
        <w:rPr>
          <w:sz w:val="22"/>
          <w:szCs w:val="22"/>
        </w:rPr>
        <w:t xml:space="preserve">San Antonio – Texas </w:t>
      </w:r>
      <w:r w:rsidRPr="006A401C">
        <w:rPr>
          <w:sz w:val="22"/>
          <w:szCs w:val="22"/>
        </w:rPr>
        <w:t xml:space="preserve">NPSPAC Region listed in Attachment A, Sprint must maintain a minimum </w:t>
      </w:r>
      <w:r>
        <w:rPr>
          <w:sz w:val="22"/>
          <w:szCs w:val="22"/>
        </w:rPr>
        <w:t>70</w:t>
      </w:r>
      <w:r w:rsidRPr="006A401C">
        <w:rPr>
          <w:sz w:val="22"/>
          <w:szCs w:val="22"/>
        </w:rPr>
        <w:t>-mile co-channel separation between Sprint's proposed operations at 821-824/866-869 MHz and the closest public safety site still operational in the old NPSPAC</w:t>
      </w:r>
      <w:r>
        <w:rPr>
          <w:sz w:val="22"/>
          <w:szCs w:val="22"/>
        </w:rPr>
        <w:t xml:space="preserve"> band</w:t>
      </w:r>
      <w:r w:rsidR="003031A9">
        <w:rPr>
          <w:sz w:val="22"/>
          <w:szCs w:val="22"/>
        </w:rPr>
        <w:t>.</w:t>
      </w:r>
    </w:p>
    <w:p w:rsidR="00DA392E" w:rsidP="00DA392E">
      <w:pPr>
        <w:ind w:left="1440"/>
        <w:rPr>
          <w:sz w:val="22"/>
          <w:szCs w:val="22"/>
        </w:rPr>
      </w:pPr>
    </w:p>
    <w:p w:rsidR="006A401C" w:rsidP="006A401C">
      <w:pPr>
        <w:numPr>
          <w:ilvl w:val="0"/>
          <w:numId w:val="2"/>
        </w:numPr>
        <w:rPr>
          <w:sz w:val="22"/>
          <w:szCs w:val="22"/>
        </w:rPr>
      </w:pPr>
      <w:r>
        <w:rPr>
          <w:sz w:val="22"/>
          <w:szCs w:val="22"/>
        </w:rPr>
        <w:t xml:space="preserve">Sprint </w:t>
      </w:r>
      <w:r w:rsidRPr="006A401C">
        <w:rPr>
          <w:sz w:val="22"/>
          <w:szCs w:val="22"/>
        </w:rPr>
        <w:t xml:space="preserve">must provide each public safety entity listed in Attachment C with 30-days </w:t>
      </w:r>
      <w:r w:rsidRPr="006A401C">
        <w:rPr>
          <w:sz w:val="22"/>
          <w:szCs w:val="22"/>
        </w:rPr>
        <w:t>advance notice</w:t>
      </w:r>
      <w:r w:rsidRPr="006A401C">
        <w:rPr>
          <w:sz w:val="22"/>
          <w:szCs w:val="22"/>
        </w:rPr>
        <w:t xml:space="preserve"> of Sprint's deployment and planned initiation date of operations in the </w:t>
      </w:r>
      <w:r w:rsidR="00F036E3">
        <w:rPr>
          <w:sz w:val="22"/>
          <w:szCs w:val="22"/>
        </w:rPr>
        <w:t xml:space="preserve">San Antonio – Texas </w:t>
      </w:r>
      <w:r w:rsidRPr="006A401C">
        <w:rPr>
          <w:sz w:val="22"/>
          <w:szCs w:val="22"/>
        </w:rPr>
        <w:t>NPSPAC</w:t>
      </w:r>
      <w:r>
        <w:rPr>
          <w:sz w:val="22"/>
          <w:szCs w:val="22"/>
        </w:rPr>
        <w:t xml:space="preserve"> Region.</w:t>
      </w:r>
    </w:p>
    <w:p w:rsidR="00DA392E" w:rsidP="00DA392E">
      <w:pPr>
        <w:ind w:left="1440"/>
        <w:rPr>
          <w:sz w:val="22"/>
          <w:szCs w:val="22"/>
        </w:rPr>
      </w:pPr>
    </w:p>
    <w:p w:rsidR="006A401C" w:rsidP="006A401C">
      <w:pPr>
        <w:numPr>
          <w:ilvl w:val="0"/>
          <w:numId w:val="2"/>
        </w:numPr>
        <w:rPr>
          <w:sz w:val="22"/>
          <w:szCs w:val="22"/>
        </w:rPr>
      </w:pPr>
      <w:r>
        <w:rPr>
          <w:sz w:val="22"/>
          <w:szCs w:val="22"/>
        </w:rPr>
        <w:t xml:space="preserve">Sprint </w:t>
      </w:r>
      <w:r w:rsidRPr="006A401C">
        <w:rPr>
          <w:sz w:val="22"/>
          <w:szCs w:val="22"/>
        </w:rPr>
        <w:t xml:space="preserve">may not deploy LTE at 821-824/866-869 MHz in the </w:t>
      </w:r>
      <w:r w:rsidR="00B712F3">
        <w:rPr>
          <w:sz w:val="22"/>
          <w:szCs w:val="22"/>
        </w:rPr>
        <w:t xml:space="preserve">nine </w:t>
      </w:r>
      <w:r>
        <w:rPr>
          <w:sz w:val="22"/>
          <w:szCs w:val="22"/>
        </w:rPr>
        <w:t>(</w:t>
      </w:r>
      <w:r w:rsidR="00B712F3">
        <w:rPr>
          <w:sz w:val="22"/>
          <w:szCs w:val="22"/>
        </w:rPr>
        <w:t>9</w:t>
      </w:r>
      <w:r w:rsidRPr="006A401C">
        <w:rPr>
          <w:sz w:val="22"/>
          <w:szCs w:val="22"/>
        </w:rPr>
        <w:t xml:space="preserve">) counties listed in Attachment B until 800 MHz band reconfiguration has been completed in the entire </w:t>
      </w:r>
      <w:r w:rsidR="00F036E3">
        <w:rPr>
          <w:sz w:val="22"/>
          <w:szCs w:val="22"/>
        </w:rPr>
        <w:t xml:space="preserve">San Antonio – Texas </w:t>
      </w:r>
      <w:r w:rsidRPr="006A401C">
        <w:rPr>
          <w:sz w:val="22"/>
          <w:szCs w:val="22"/>
        </w:rPr>
        <w:t>NPSPAC</w:t>
      </w:r>
      <w:r>
        <w:rPr>
          <w:sz w:val="22"/>
          <w:szCs w:val="22"/>
        </w:rPr>
        <w:t xml:space="preserve"> Region.</w:t>
      </w:r>
    </w:p>
    <w:p w:rsidR="00DA392E" w:rsidP="00DA392E">
      <w:pPr>
        <w:rPr>
          <w:sz w:val="22"/>
          <w:szCs w:val="22"/>
        </w:rPr>
      </w:pPr>
    </w:p>
    <w:p w:rsidR="006A401C" w:rsidP="006A401C">
      <w:pPr>
        <w:numPr>
          <w:ilvl w:val="0"/>
          <w:numId w:val="2"/>
        </w:numPr>
        <w:rPr>
          <w:sz w:val="22"/>
          <w:szCs w:val="22"/>
        </w:rPr>
      </w:pPr>
      <w:r>
        <w:rPr>
          <w:sz w:val="22"/>
          <w:szCs w:val="22"/>
        </w:rPr>
        <w:t xml:space="preserve">If </w:t>
      </w:r>
      <w:r w:rsidRPr="006A401C">
        <w:rPr>
          <w:sz w:val="22"/>
          <w:szCs w:val="22"/>
        </w:rPr>
        <w:t>Sprint receives a report that station(s) operating in the areas covered by this waiver are causing harmful interference to a public safety licensee, it shall immediately suspend operation under this waiver of such station(s) except for test transmissions to identify and eliminate the interference.  Sprint may resume operation under this waiver of such station(s) after the interference has been successfully</w:t>
      </w:r>
      <w:r>
        <w:rPr>
          <w:sz w:val="22"/>
          <w:szCs w:val="22"/>
        </w:rPr>
        <w:t xml:space="preserve"> mitigated.</w:t>
      </w:r>
    </w:p>
    <w:p w:rsidR="00DA392E" w:rsidP="00DA392E">
      <w:pPr>
        <w:pStyle w:val="ListParagraph"/>
        <w:rPr>
          <w:sz w:val="22"/>
          <w:szCs w:val="22"/>
        </w:rPr>
      </w:pPr>
    </w:p>
    <w:p w:rsidR="00DA392E" w:rsidRPr="00DA392E" w:rsidP="00DA392E">
      <w:pPr>
        <w:ind w:firstLine="720"/>
        <w:rPr>
          <w:sz w:val="22"/>
          <w:szCs w:val="22"/>
        </w:rPr>
      </w:pPr>
      <w:r w:rsidRPr="00DA392E">
        <w:rPr>
          <w:sz w:val="22"/>
          <w:szCs w:val="22"/>
        </w:rPr>
        <w:t xml:space="preserve">Further, Sprint’s operations remain subject to the Commission’s rules regarding abatement of unacceptable interference as set forth in </w:t>
      </w:r>
      <w:r w:rsidR="005D6C0F">
        <w:rPr>
          <w:sz w:val="22"/>
          <w:szCs w:val="22"/>
        </w:rPr>
        <w:t>S</w:t>
      </w:r>
      <w:r w:rsidRPr="00DA392E">
        <w:rPr>
          <w:sz w:val="22"/>
          <w:szCs w:val="22"/>
        </w:rPr>
        <w:t>ections 90.672, 90.673, 90.674, and 90.675.</w:t>
      </w:r>
      <w:r>
        <w:rPr>
          <w:rStyle w:val="FootnoteReference"/>
          <w:sz w:val="22"/>
          <w:szCs w:val="22"/>
        </w:rPr>
        <w:footnoteReference w:id="22"/>
      </w:r>
      <w:r w:rsidRPr="00DA392E">
        <w:rPr>
          <w:sz w:val="22"/>
          <w:szCs w:val="22"/>
        </w:rPr>
        <w:t xml:space="preserve"> </w:t>
      </w:r>
      <w:r w:rsidR="00FC07D3">
        <w:rPr>
          <w:sz w:val="22"/>
          <w:szCs w:val="22"/>
        </w:rPr>
        <w:t xml:space="preserve"> </w:t>
      </w:r>
    </w:p>
    <w:p w:rsidR="00DA392E" w:rsidRPr="00DA392E" w:rsidP="00DA392E">
      <w:pPr>
        <w:rPr>
          <w:sz w:val="22"/>
          <w:szCs w:val="22"/>
        </w:rPr>
      </w:pPr>
    </w:p>
    <w:p w:rsidR="00DA392E" w:rsidRPr="00DA392E" w:rsidP="00DA392E">
      <w:pPr>
        <w:rPr>
          <w:sz w:val="22"/>
          <w:szCs w:val="22"/>
        </w:rPr>
      </w:pPr>
      <w:r>
        <w:rPr>
          <w:sz w:val="22"/>
          <w:szCs w:val="22"/>
        </w:rPr>
        <w:tab/>
      </w:r>
      <w:r w:rsidRPr="00ED3C8B">
        <w:rPr>
          <w:sz w:val="22"/>
          <w:szCs w:val="22"/>
        </w:rPr>
        <w:t>As conditioned, our grant will facilitate more rapid broadband availability in</w:t>
      </w:r>
      <w:r w:rsidRPr="00ED3C8B" w:rsidR="004A2B77">
        <w:rPr>
          <w:sz w:val="22"/>
          <w:szCs w:val="22"/>
        </w:rPr>
        <w:t xml:space="preserve"> </w:t>
      </w:r>
      <w:r w:rsidRPr="00ED3C8B" w:rsidR="005D0EFE">
        <w:rPr>
          <w:sz w:val="22"/>
          <w:szCs w:val="22"/>
        </w:rPr>
        <w:t xml:space="preserve">areas close to </w:t>
      </w:r>
      <w:r w:rsidRPr="00ED3C8B" w:rsidR="00D865F3">
        <w:rPr>
          <w:sz w:val="22"/>
          <w:szCs w:val="22"/>
        </w:rPr>
        <w:t>Corpus Christi and Laredo</w:t>
      </w:r>
      <w:r w:rsidRPr="00ED3C8B">
        <w:rPr>
          <w:sz w:val="22"/>
          <w:szCs w:val="22"/>
        </w:rPr>
        <w:t>, while protecting ongoing public safety operations in the old NPSPAC band until they are fully retuned.  The conditions of this waiver will terminate when 800 MHz band reconfiguration has</w:t>
      </w:r>
      <w:r w:rsidRPr="00DA392E">
        <w:rPr>
          <w:sz w:val="22"/>
          <w:szCs w:val="22"/>
        </w:rPr>
        <w:t xml:space="preserve"> been completed in the entire </w:t>
      </w:r>
      <w:r w:rsidRPr="00C64ADC" w:rsidR="00F036E3">
        <w:rPr>
          <w:sz w:val="22"/>
          <w:szCs w:val="22"/>
        </w:rPr>
        <w:t xml:space="preserve">San Antonio – Texas </w:t>
      </w:r>
      <w:r w:rsidRPr="00F036E3">
        <w:rPr>
          <w:sz w:val="22"/>
          <w:szCs w:val="22"/>
        </w:rPr>
        <w:t>NPSPAC</w:t>
      </w:r>
      <w:r>
        <w:rPr>
          <w:sz w:val="22"/>
          <w:szCs w:val="22"/>
        </w:rPr>
        <w:t xml:space="preserve"> Region 5</w:t>
      </w:r>
      <w:r w:rsidR="005D0EFE">
        <w:rPr>
          <w:sz w:val="22"/>
          <w:szCs w:val="22"/>
        </w:rPr>
        <w:t>3</w:t>
      </w:r>
      <w:r w:rsidRPr="00DA392E">
        <w:rPr>
          <w:sz w:val="22"/>
          <w:szCs w:val="22"/>
        </w:rPr>
        <w:t>.</w:t>
      </w:r>
    </w:p>
    <w:p w:rsidR="00DA392E" w:rsidRPr="00DA392E" w:rsidP="00DA392E">
      <w:pPr>
        <w:rPr>
          <w:sz w:val="22"/>
          <w:szCs w:val="22"/>
        </w:rPr>
      </w:pPr>
    </w:p>
    <w:p w:rsidR="00DA392E" w:rsidP="00DA392E">
      <w:pPr>
        <w:rPr>
          <w:sz w:val="22"/>
          <w:szCs w:val="22"/>
        </w:rPr>
      </w:pPr>
      <w:r>
        <w:rPr>
          <w:sz w:val="22"/>
          <w:szCs w:val="22"/>
        </w:rPr>
        <w:tab/>
      </w:r>
      <w:r w:rsidRPr="00DA392E">
        <w:rPr>
          <w:sz w:val="22"/>
          <w:szCs w:val="22"/>
        </w:rPr>
        <w:t>Accordingly, IT IS ORDERED that, pursuant to Section 4(</w:t>
      </w:r>
      <w:r w:rsidRPr="00DA392E">
        <w:rPr>
          <w:sz w:val="22"/>
          <w:szCs w:val="22"/>
        </w:rPr>
        <w:t>i</w:t>
      </w:r>
      <w:r w:rsidRPr="00DA392E">
        <w:rPr>
          <w:sz w:val="22"/>
          <w:szCs w:val="22"/>
        </w:rPr>
        <w:t>) and 303(r) of the Communications Act of 1934, as amended, 47 U.S.C. §§ 154(</w:t>
      </w:r>
      <w:r w:rsidRPr="00DA392E">
        <w:rPr>
          <w:sz w:val="22"/>
          <w:szCs w:val="22"/>
        </w:rPr>
        <w:t>i</w:t>
      </w:r>
      <w:r w:rsidRPr="00DA392E">
        <w:rPr>
          <w:sz w:val="22"/>
          <w:szCs w:val="22"/>
        </w:rPr>
        <w:t xml:space="preserve">), 303(r), and </w:t>
      </w:r>
      <w:r w:rsidR="00B5335F">
        <w:rPr>
          <w:sz w:val="22"/>
          <w:szCs w:val="22"/>
        </w:rPr>
        <w:t>S</w:t>
      </w:r>
      <w:r w:rsidRPr="00DA392E">
        <w:rPr>
          <w:sz w:val="22"/>
          <w:szCs w:val="22"/>
        </w:rPr>
        <w:t xml:space="preserve">ections 0.331 and 1.925 of the Commission’s rules, 47 </w:t>
      </w:r>
      <w:r w:rsidR="00B5335F">
        <w:rPr>
          <w:sz w:val="22"/>
          <w:szCs w:val="22"/>
        </w:rPr>
        <w:t>CFR</w:t>
      </w:r>
      <w:r w:rsidRPr="00DA392E">
        <w:rPr>
          <w:sz w:val="22"/>
          <w:szCs w:val="22"/>
        </w:rPr>
        <w:t xml:space="preserve"> §§ 0.331, 1.925, the </w:t>
      </w:r>
      <w:r w:rsidR="001D5C24">
        <w:rPr>
          <w:sz w:val="22"/>
          <w:szCs w:val="22"/>
        </w:rPr>
        <w:t xml:space="preserve">Sprint Corporation Request for Modification of Waiver to Permit 800 MHz Wideband Operations in Additional Portions of San Antonio – Texas </w:t>
      </w:r>
      <w:r w:rsidRPr="0071096E" w:rsidR="001D5C24">
        <w:rPr>
          <w:sz w:val="22"/>
          <w:szCs w:val="22"/>
        </w:rPr>
        <w:t>NPSPAC Region</w:t>
      </w:r>
      <w:r w:rsidR="001D5C24">
        <w:rPr>
          <w:sz w:val="22"/>
          <w:szCs w:val="22"/>
        </w:rPr>
        <w:t xml:space="preserve"> (Region 53) Prior to Completion of 800 MHz Band Reconfiguration in the Entire NPSPAC Region, filed </w:t>
      </w:r>
      <w:r w:rsidR="003D0481">
        <w:rPr>
          <w:sz w:val="22"/>
          <w:szCs w:val="22"/>
        </w:rPr>
        <w:t>August 10</w:t>
      </w:r>
      <w:r w:rsidR="001D5C24">
        <w:rPr>
          <w:sz w:val="22"/>
          <w:szCs w:val="22"/>
        </w:rPr>
        <w:t xml:space="preserve">, 2017, </w:t>
      </w:r>
      <w:r w:rsidRPr="00DA392E">
        <w:rPr>
          <w:sz w:val="22"/>
          <w:szCs w:val="22"/>
        </w:rPr>
        <w:t>is GRANTED to the extent described above</w:t>
      </w:r>
      <w:r>
        <w:rPr>
          <w:sz w:val="22"/>
          <w:szCs w:val="22"/>
        </w:rPr>
        <w:t>.</w:t>
      </w:r>
    </w:p>
    <w:p w:rsidR="00DA392E" w:rsidP="00DA392E">
      <w:pPr>
        <w:rPr>
          <w:sz w:val="22"/>
          <w:szCs w:val="22"/>
        </w:rPr>
      </w:pPr>
    </w:p>
    <w:p w:rsidR="00DA392E" w:rsidP="00DA392E">
      <w:pPr>
        <w:rPr>
          <w:sz w:val="22"/>
          <w:szCs w:val="22"/>
        </w:rPr>
      </w:pPr>
    </w:p>
    <w:p w:rsidR="00DA392E" w:rsidP="00212FF9">
      <w:pPr>
        <w:ind w:left="5040"/>
        <w:rPr>
          <w:sz w:val="22"/>
          <w:szCs w:val="22"/>
        </w:rPr>
      </w:pPr>
      <w:r>
        <w:rPr>
          <w:sz w:val="22"/>
          <w:szCs w:val="22"/>
        </w:rPr>
        <w:t>Sincerely,</w:t>
      </w:r>
    </w:p>
    <w:p w:rsidR="00DA392E" w:rsidP="00212FF9">
      <w:pPr>
        <w:ind w:left="5040"/>
        <w:rPr>
          <w:sz w:val="22"/>
          <w:szCs w:val="22"/>
        </w:rPr>
      </w:pPr>
    </w:p>
    <w:p w:rsidR="00212FF9" w:rsidP="00212FF9">
      <w:pPr>
        <w:ind w:left="5040"/>
        <w:rPr>
          <w:sz w:val="22"/>
          <w:szCs w:val="22"/>
        </w:rPr>
      </w:pPr>
    </w:p>
    <w:p w:rsidR="00DA392E" w:rsidP="00212FF9">
      <w:pPr>
        <w:ind w:left="5040"/>
        <w:rPr>
          <w:sz w:val="22"/>
          <w:szCs w:val="22"/>
        </w:rPr>
      </w:pPr>
    </w:p>
    <w:p w:rsidR="00DA392E" w:rsidP="00212FF9">
      <w:pPr>
        <w:ind w:left="5040"/>
        <w:rPr>
          <w:sz w:val="22"/>
          <w:szCs w:val="22"/>
        </w:rPr>
      </w:pPr>
      <w:r>
        <w:rPr>
          <w:sz w:val="22"/>
          <w:szCs w:val="22"/>
        </w:rPr>
        <w:t>Roger S. Noel</w:t>
      </w:r>
    </w:p>
    <w:p w:rsidR="00DA392E" w:rsidP="00212FF9">
      <w:pPr>
        <w:ind w:left="5040"/>
        <w:rPr>
          <w:sz w:val="22"/>
          <w:szCs w:val="22"/>
        </w:rPr>
      </w:pPr>
      <w:r>
        <w:rPr>
          <w:sz w:val="22"/>
          <w:szCs w:val="22"/>
        </w:rPr>
        <w:t>Chief, Mobility Division</w:t>
      </w:r>
    </w:p>
    <w:p w:rsidR="00DA392E" w:rsidP="00212FF9">
      <w:pPr>
        <w:ind w:left="5040"/>
        <w:rPr>
          <w:sz w:val="22"/>
          <w:szCs w:val="22"/>
        </w:rPr>
      </w:pPr>
      <w:r>
        <w:rPr>
          <w:sz w:val="22"/>
          <w:szCs w:val="22"/>
        </w:rPr>
        <w:t>Wireless Telecommunications Bureau</w:t>
      </w:r>
    </w:p>
    <w:p w:rsidR="00DA392E" w:rsidP="00212FF9">
      <w:pPr>
        <w:ind w:left="5040"/>
        <w:rPr>
          <w:sz w:val="22"/>
          <w:szCs w:val="22"/>
        </w:rPr>
      </w:pPr>
      <w:r>
        <w:rPr>
          <w:sz w:val="22"/>
          <w:szCs w:val="22"/>
        </w:rPr>
        <w:t>Federal Communications Commission</w:t>
      </w:r>
    </w:p>
    <w:p w:rsidR="00631BFF" w:rsidP="00E45EF5">
      <w:pPr>
        <w:jc w:val="center"/>
        <w:rPr>
          <w:b/>
          <w:sz w:val="22"/>
          <w:szCs w:val="22"/>
        </w:rPr>
      </w:pPr>
    </w:p>
    <w:p w:rsidR="00631BFF" w:rsidP="00E45EF5">
      <w:pPr>
        <w:jc w:val="center"/>
        <w:rPr>
          <w:b/>
          <w:sz w:val="22"/>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pPr>
    </w:p>
    <w:p w:rsidR="005D6C0F" w:rsidP="00631BFF">
      <w:pPr>
        <w:jc w:val="center"/>
        <w:rPr>
          <w:b/>
          <w:sz w:val="22"/>
          <w:szCs w:val="22"/>
        </w:rPr>
      </w:pPr>
      <w:r w:rsidRPr="00E45EF5">
        <w:rPr>
          <w:b/>
          <w:sz w:val="22"/>
          <w:szCs w:val="22"/>
        </w:rPr>
        <w:t xml:space="preserve">Attachment A – </w:t>
      </w:r>
      <w:r w:rsidRPr="00E45EF5" w:rsidR="008D61BA">
        <w:rPr>
          <w:b/>
          <w:sz w:val="22"/>
          <w:szCs w:val="22"/>
        </w:rPr>
        <w:t>List of C</w:t>
      </w:r>
      <w:r w:rsidRPr="00E45EF5">
        <w:rPr>
          <w:b/>
          <w:sz w:val="22"/>
          <w:szCs w:val="22"/>
        </w:rPr>
        <w:t xml:space="preserve">ounties </w:t>
      </w:r>
      <w:r w:rsidRPr="00E45EF5" w:rsidR="008D61BA">
        <w:rPr>
          <w:b/>
          <w:sz w:val="22"/>
          <w:szCs w:val="22"/>
        </w:rPr>
        <w:t xml:space="preserve">Subject to </w:t>
      </w:r>
      <w:r w:rsidR="00A67929">
        <w:rPr>
          <w:b/>
          <w:sz w:val="22"/>
          <w:szCs w:val="22"/>
        </w:rPr>
        <w:t>Modification Request</w:t>
      </w:r>
    </w:p>
    <w:p w:rsidR="008D7513" w:rsidRPr="00ED3C8B" w:rsidP="00631BFF">
      <w:pPr>
        <w:jc w:val="center"/>
        <w:rPr>
          <w:i/>
          <w:sz w:val="22"/>
          <w:szCs w:val="22"/>
        </w:rPr>
      </w:pPr>
      <w:r>
        <w:rPr>
          <w:sz w:val="22"/>
          <w:szCs w:val="22"/>
        </w:rPr>
        <w:t xml:space="preserve">*denotes county not originally included in </w:t>
      </w:r>
      <w:r>
        <w:rPr>
          <w:i/>
          <w:sz w:val="22"/>
          <w:szCs w:val="22"/>
        </w:rPr>
        <w:t>2014 Waiver Order</w:t>
      </w:r>
    </w:p>
    <w:p w:rsidR="008D61BA" w:rsidP="005D6C0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Tr="004A264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shd w:val="clear" w:color="auto" w:fill="auto"/>
          </w:tcPr>
          <w:p w:rsidR="00D865F3" w:rsidRPr="004A264C" w:rsidP="004A264C">
            <w:pPr>
              <w:jc w:val="both"/>
              <w:rPr>
                <w:sz w:val="22"/>
                <w:szCs w:val="22"/>
              </w:rPr>
            </w:pPr>
            <w:r w:rsidRPr="004A264C">
              <w:rPr>
                <w:sz w:val="22"/>
                <w:szCs w:val="22"/>
              </w:rPr>
              <w:t>Aransas*</w:t>
            </w:r>
          </w:p>
        </w:tc>
        <w:tc>
          <w:tcPr>
            <w:tcW w:w="4788" w:type="dxa"/>
            <w:shd w:val="clear" w:color="auto" w:fill="auto"/>
          </w:tcPr>
          <w:p w:rsidR="00D865F3" w:rsidRPr="004A264C" w:rsidP="004A264C">
            <w:pPr>
              <w:jc w:val="both"/>
              <w:rPr>
                <w:sz w:val="22"/>
                <w:szCs w:val="22"/>
              </w:rPr>
            </w:pPr>
            <w:r w:rsidRPr="004A264C">
              <w:rPr>
                <w:sz w:val="22"/>
                <w:szCs w:val="22"/>
              </w:rPr>
              <w:t>Kendall</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Atascosa</w:t>
            </w:r>
          </w:p>
        </w:tc>
        <w:tc>
          <w:tcPr>
            <w:tcW w:w="4788" w:type="dxa"/>
            <w:shd w:val="clear" w:color="auto" w:fill="auto"/>
          </w:tcPr>
          <w:p w:rsidR="00D865F3" w:rsidRPr="004A264C" w:rsidP="004A264C">
            <w:pPr>
              <w:jc w:val="both"/>
              <w:rPr>
                <w:sz w:val="22"/>
                <w:szCs w:val="22"/>
              </w:rPr>
            </w:pPr>
            <w:r w:rsidRPr="004A264C">
              <w:rPr>
                <w:sz w:val="22"/>
                <w:szCs w:val="22"/>
              </w:rPr>
              <w:t>Kerr</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Bandera</w:t>
            </w:r>
          </w:p>
        </w:tc>
        <w:tc>
          <w:tcPr>
            <w:tcW w:w="4788" w:type="dxa"/>
            <w:shd w:val="clear" w:color="auto" w:fill="auto"/>
          </w:tcPr>
          <w:p w:rsidR="00D865F3" w:rsidRPr="004A264C" w:rsidP="004A264C">
            <w:pPr>
              <w:jc w:val="both"/>
              <w:rPr>
                <w:sz w:val="22"/>
                <w:szCs w:val="22"/>
              </w:rPr>
            </w:pPr>
            <w:r w:rsidRPr="004A264C">
              <w:rPr>
                <w:sz w:val="22"/>
                <w:szCs w:val="22"/>
              </w:rPr>
              <w:t>Kinney</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Bee</w:t>
            </w:r>
          </w:p>
        </w:tc>
        <w:tc>
          <w:tcPr>
            <w:tcW w:w="4788" w:type="dxa"/>
            <w:shd w:val="clear" w:color="auto" w:fill="auto"/>
          </w:tcPr>
          <w:p w:rsidR="00D865F3" w:rsidRPr="004A264C" w:rsidP="004A264C">
            <w:pPr>
              <w:jc w:val="both"/>
              <w:rPr>
                <w:sz w:val="22"/>
                <w:szCs w:val="22"/>
              </w:rPr>
            </w:pPr>
            <w:r w:rsidRPr="004A264C">
              <w:rPr>
                <w:sz w:val="22"/>
                <w:szCs w:val="22"/>
              </w:rPr>
              <w:t>LaSalle*</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Bexar</w:t>
            </w:r>
          </w:p>
        </w:tc>
        <w:tc>
          <w:tcPr>
            <w:tcW w:w="4788" w:type="dxa"/>
            <w:shd w:val="clear" w:color="auto" w:fill="auto"/>
          </w:tcPr>
          <w:p w:rsidR="00D865F3" w:rsidRPr="004A264C" w:rsidP="004A264C">
            <w:pPr>
              <w:jc w:val="both"/>
              <w:rPr>
                <w:sz w:val="22"/>
                <w:szCs w:val="22"/>
              </w:rPr>
            </w:pPr>
            <w:r w:rsidRPr="004A264C">
              <w:rPr>
                <w:sz w:val="22"/>
                <w:szCs w:val="22"/>
              </w:rPr>
              <w:t>Lavaca</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Caldwell</w:t>
            </w:r>
          </w:p>
        </w:tc>
        <w:tc>
          <w:tcPr>
            <w:tcW w:w="4788" w:type="dxa"/>
            <w:shd w:val="clear" w:color="auto" w:fill="auto"/>
          </w:tcPr>
          <w:p w:rsidR="00D865F3" w:rsidRPr="004A264C" w:rsidP="004A264C">
            <w:pPr>
              <w:jc w:val="both"/>
              <w:rPr>
                <w:sz w:val="22"/>
                <w:szCs w:val="22"/>
              </w:rPr>
            </w:pPr>
            <w:r w:rsidRPr="004A264C">
              <w:rPr>
                <w:sz w:val="22"/>
                <w:szCs w:val="22"/>
              </w:rPr>
              <w:t>Live Oak*</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Calhoun</w:t>
            </w:r>
          </w:p>
        </w:tc>
        <w:tc>
          <w:tcPr>
            <w:tcW w:w="4788" w:type="dxa"/>
            <w:shd w:val="clear" w:color="auto" w:fill="auto"/>
          </w:tcPr>
          <w:p w:rsidR="00D865F3" w:rsidRPr="004A264C" w:rsidP="004A264C">
            <w:pPr>
              <w:jc w:val="both"/>
              <w:rPr>
                <w:sz w:val="22"/>
                <w:szCs w:val="22"/>
              </w:rPr>
            </w:pPr>
            <w:r w:rsidRPr="004A264C">
              <w:rPr>
                <w:sz w:val="22"/>
                <w:szCs w:val="22"/>
              </w:rPr>
              <w:t>Maverick</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Comal</w:t>
            </w:r>
          </w:p>
        </w:tc>
        <w:tc>
          <w:tcPr>
            <w:tcW w:w="4788" w:type="dxa"/>
            <w:shd w:val="clear" w:color="auto" w:fill="auto"/>
          </w:tcPr>
          <w:p w:rsidR="00D865F3" w:rsidRPr="004A264C" w:rsidP="004A264C">
            <w:pPr>
              <w:jc w:val="both"/>
              <w:rPr>
                <w:sz w:val="22"/>
                <w:szCs w:val="22"/>
              </w:rPr>
            </w:pPr>
            <w:r w:rsidRPr="004A264C">
              <w:rPr>
                <w:sz w:val="22"/>
                <w:szCs w:val="22"/>
              </w:rPr>
              <w:t>McMullen*</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DeWitt</w:t>
            </w:r>
          </w:p>
        </w:tc>
        <w:tc>
          <w:tcPr>
            <w:tcW w:w="4788" w:type="dxa"/>
            <w:shd w:val="clear" w:color="auto" w:fill="auto"/>
          </w:tcPr>
          <w:p w:rsidR="00D865F3" w:rsidRPr="004A264C" w:rsidP="004A264C">
            <w:pPr>
              <w:jc w:val="both"/>
              <w:rPr>
                <w:sz w:val="22"/>
                <w:szCs w:val="22"/>
              </w:rPr>
            </w:pPr>
            <w:r w:rsidRPr="004A264C">
              <w:rPr>
                <w:sz w:val="22"/>
                <w:szCs w:val="22"/>
              </w:rPr>
              <w:t>Medina</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Dimmit</w:t>
            </w:r>
          </w:p>
        </w:tc>
        <w:tc>
          <w:tcPr>
            <w:tcW w:w="4788" w:type="dxa"/>
            <w:shd w:val="clear" w:color="auto" w:fill="auto"/>
          </w:tcPr>
          <w:p w:rsidR="00D865F3" w:rsidRPr="004A264C" w:rsidP="004A264C">
            <w:pPr>
              <w:jc w:val="both"/>
              <w:rPr>
                <w:sz w:val="22"/>
                <w:szCs w:val="22"/>
              </w:rPr>
            </w:pPr>
            <w:r w:rsidRPr="004A264C">
              <w:rPr>
                <w:sz w:val="22"/>
                <w:szCs w:val="22"/>
              </w:rPr>
              <w:t>Nueces*</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Duval*</w:t>
            </w:r>
          </w:p>
        </w:tc>
        <w:tc>
          <w:tcPr>
            <w:tcW w:w="4788" w:type="dxa"/>
            <w:shd w:val="clear" w:color="auto" w:fill="auto"/>
          </w:tcPr>
          <w:p w:rsidR="00D865F3" w:rsidRPr="004A264C" w:rsidP="004A264C">
            <w:pPr>
              <w:jc w:val="both"/>
              <w:rPr>
                <w:sz w:val="22"/>
                <w:szCs w:val="22"/>
              </w:rPr>
            </w:pPr>
            <w:r w:rsidRPr="004A264C">
              <w:rPr>
                <w:sz w:val="22"/>
                <w:szCs w:val="22"/>
              </w:rPr>
              <w:t>Real</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Edwards</w:t>
            </w:r>
          </w:p>
        </w:tc>
        <w:tc>
          <w:tcPr>
            <w:tcW w:w="4788" w:type="dxa"/>
            <w:shd w:val="clear" w:color="auto" w:fill="auto"/>
          </w:tcPr>
          <w:p w:rsidR="00D865F3" w:rsidRPr="004A264C" w:rsidP="004A264C">
            <w:pPr>
              <w:jc w:val="both"/>
              <w:rPr>
                <w:sz w:val="22"/>
                <w:szCs w:val="22"/>
              </w:rPr>
            </w:pPr>
            <w:r w:rsidRPr="004A264C">
              <w:rPr>
                <w:sz w:val="22"/>
                <w:szCs w:val="22"/>
              </w:rPr>
              <w:t>Refugio</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Frio</w:t>
            </w:r>
          </w:p>
        </w:tc>
        <w:tc>
          <w:tcPr>
            <w:tcW w:w="4788" w:type="dxa"/>
            <w:shd w:val="clear" w:color="auto" w:fill="auto"/>
          </w:tcPr>
          <w:p w:rsidR="00D865F3" w:rsidRPr="004A264C" w:rsidP="004A264C">
            <w:pPr>
              <w:jc w:val="both"/>
              <w:rPr>
                <w:sz w:val="22"/>
                <w:szCs w:val="22"/>
              </w:rPr>
            </w:pPr>
            <w:r w:rsidRPr="004A264C">
              <w:rPr>
                <w:sz w:val="22"/>
                <w:szCs w:val="22"/>
              </w:rPr>
              <w:t>San Patricio*</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Gillespie</w:t>
            </w:r>
          </w:p>
        </w:tc>
        <w:tc>
          <w:tcPr>
            <w:tcW w:w="4788" w:type="dxa"/>
            <w:shd w:val="clear" w:color="auto" w:fill="auto"/>
          </w:tcPr>
          <w:p w:rsidR="00D865F3" w:rsidRPr="004A264C" w:rsidP="004A264C">
            <w:pPr>
              <w:jc w:val="both"/>
              <w:rPr>
                <w:sz w:val="22"/>
                <w:szCs w:val="22"/>
              </w:rPr>
            </w:pPr>
            <w:r w:rsidRPr="004A264C">
              <w:rPr>
                <w:sz w:val="22"/>
                <w:szCs w:val="22"/>
              </w:rPr>
              <w:t>Uvalde</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Goliad</w:t>
            </w:r>
          </w:p>
        </w:tc>
        <w:tc>
          <w:tcPr>
            <w:tcW w:w="4788" w:type="dxa"/>
            <w:shd w:val="clear" w:color="auto" w:fill="auto"/>
          </w:tcPr>
          <w:p w:rsidR="00D865F3" w:rsidRPr="004A264C" w:rsidP="004A264C">
            <w:pPr>
              <w:jc w:val="both"/>
              <w:rPr>
                <w:sz w:val="22"/>
                <w:szCs w:val="22"/>
              </w:rPr>
            </w:pPr>
            <w:r w:rsidRPr="004A264C">
              <w:rPr>
                <w:sz w:val="22"/>
                <w:szCs w:val="22"/>
              </w:rPr>
              <w:t>Val Verde</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Gonzales</w:t>
            </w:r>
          </w:p>
        </w:tc>
        <w:tc>
          <w:tcPr>
            <w:tcW w:w="4788" w:type="dxa"/>
            <w:shd w:val="clear" w:color="auto" w:fill="auto"/>
          </w:tcPr>
          <w:p w:rsidR="00D865F3" w:rsidRPr="004A264C" w:rsidP="004A264C">
            <w:pPr>
              <w:jc w:val="both"/>
              <w:rPr>
                <w:sz w:val="22"/>
                <w:szCs w:val="22"/>
              </w:rPr>
            </w:pPr>
            <w:r w:rsidRPr="004A264C">
              <w:rPr>
                <w:sz w:val="22"/>
                <w:szCs w:val="22"/>
              </w:rPr>
              <w:t>Victoria</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Guadalupe</w:t>
            </w:r>
          </w:p>
        </w:tc>
        <w:tc>
          <w:tcPr>
            <w:tcW w:w="4788" w:type="dxa"/>
            <w:shd w:val="clear" w:color="auto" w:fill="auto"/>
          </w:tcPr>
          <w:p w:rsidR="00D865F3" w:rsidRPr="004A264C" w:rsidP="004A264C">
            <w:pPr>
              <w:jc w:val="both"/>
              <w:rPr>
                <w:sz w:val="22"/>
                <w:szCs w:val="22"/>
              </w:rPr>
            </w:pPr>
            <w:r w:rsidRPr="004A264C">
              <w:rPr>
                <w:sz w:val="22"/>
                <w:szCs w:val="22"/>
              </w:rPr>
              <w:t>Webb*</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Jackson</w:t>
            </w:r>
          </w:p>
        </w:tc>
        <w:tc>
          <w:tcPr>
            <w:tcW w:w="4788" w:type="dxa"/>
            <w:shd w:val="clear" w:color="auto" w:fill="auto"/>
          </w:tcPr>
          <w:p w:rsidR="00D865F3" w:rsidRPr="004A264C" w:rsidP="004A264C">
            <w:pPr>
              <w:jc w:val="both"/>
              <w:rPr>
                <w:sz w:val="22"/>
                <w:szCs w:val="22"/>
              </w:rPr>
            </w:pPr>
            <w:r w:rsidRPr="004A264C">
              <w:rPr>
                <w:sz w:val="22"/>
                <w:szCs w:val="22"/>
              </w:rPr>
              <w:t>Wilson</w:t>
            </w:r>
          </w:p>
        </w:tc>
      </w:tr>
      <w:tr w:rsidTr="004A264C">
        <w:tblPrEx>
          <w:tblW w:w="0" w:type="auto"/>
          <w:tblLook w:val="04A0"/>
        </w:tblPrEx>
        <w:tc>
          <w:tcPr>
            <w:tcW w:w="4788" w:type="dxa"/>
            <w:shd w:val="clear" w:color="auto" w:fill="auto"/>
          </w:tcPr>
          <w:p w:rsidR="00D865F3" w:rsidRPr="004A264C" w:rsidP="004A264C">
            <w:pPr>
              <w:jc w:val="both"/>
              <w:rPr>
                <w:sz w:val="22"/>
                <w:szCs w:val="22"/>
              </w:rPr>
            </w:pPr>
            <w:r w:rsidRPr="004A264C">
              <w:rPr>
                <w:sz w:val="22"/>
                <w:szCs w:val="22"/>
              </w:rPr>
              <w:t>Jim Wells*</w:t>
            </w:r>
          </w:p>
        </w:tc>
        <w:tc>
          <w:tcPr>
            <w:tcW w:w="4788" w:type="dxa"/>
            <w:shd w:val="clear" w:color="auto" w:fill="auto"/>
          </w:tcPr>
          <w:p w:rsidR="00D865F3" w:rsidRPr="004A264C" w:rsidP="004A264C">
            <w:pPr>
              <w:jc w:val="both"/>
              <w:rPr>
                <w:sz w:val="22"/>
                <w:szCs w:val="22"/>
              </w:rPr>
            </w:pPr>
            <w:r w:rsidRPr="004A264C">
              <w:rPr>
                <w:sz w:val="22"/>
                <w:szCs w:val="22"/>
              </w:rPr>
              <w:t>Zavala</w:t>
            </w:r>
          </w:p>
        </w:tc>
      </w:tr>
      <w:tr w:rsidTr="004A264C">
        <w:tblPrEx>
          <w:tblW w:w="0" w:type="auto"/>
          <w:tblLook w:val="04A0"/>
        </w:tblPrEx>
        <w:tc>
          <w:tcPr>
            <w:tcW w:w="4788" w:type="dxa"/>
            <w:shd w:val="clear" w:color="auto" w:fill="auto"/>
          </w:tcPr>
          <w:p w:rsidR="002A743C" w:rsidRPr="004A264C" w:rsidP="004A264C">
            <w:pPr>
              <w:jc w:val="both"/>
              <w:rPr>
                <w:sz w:val="22"/>
                <w:szCs w:val="22"/>
              </w:rPr>
            </w:pPr>
            <w:r w:rsidRPr="004A264C">
              <w:rPr>
                <w:sz w:val="22"/>
                <w:szCs w:val="22"/>
              </w:rPr>
              <w:t>Karnes</w:t>
            </w:r>
          </w:p>
        </w:tc>
        <w:tc>
          <w:tcPr>
            <w:tcW w:w="4788" w:type="dxa"/>
            <w:shd w:val="clear" w:color="auto" w:fill="auto"/>
          </w:tcPr>
          <w:p w:rsidR="002A743C" w:rsidRPr="004A264C" w:rsidP="004A264C">
            <w:pPr>
              <w:jc w:val="both"/>
              <w:rPr>
                <w:sz w:val="22"/>
                <w:szCs w:val="22"/>
              </w:rPr>
            </w:pPr>
          </w:p>
        </w:tc>
      </w:tr>
    </w:tbl>
    <w:p w:rsidR="00631BFF" w:rsidP="005D6C0F">
      <w:pPr>
        <w:jc w:val="both"/>
        <w:rPr>
          <w:sz w:val="22"/>
          <w:szCs w:val="22"/>
        </w:rPr>
        <w:sectPr>
          <w:headerReference w:type="first" r:id="rId11"/>
          <w:pgSz w:w="12240" w:h="15840" w:code="1"/>
          <w:pgMar w:top="1987" w:right="1440" w:bottom="1440" w:left="1440" w:header="720" w:footer="720" w:gutter="0"/>
          <w:cols w:space="720"/>
          <w:titlePg/>
        </w:sectPr>
      </w:pPr>
    </w:p>
    <w:p w:rsidR="005D6C0F" w:rsidRPr="002B5F4E" w:rsidP="00631BFF">
      <w:pPr>
        <w:jc w:val="center"/>
        <w:rPr>
          <w:b/>
          <w:sz w:val="22"/>
          <w:szCs w:val="22"/>
        </w:rPr>
      </w:pPr>
      <w:r w:rsidRPr="002B5F4E">
        <w:rPr>
          <w:b/>
          <w:sz w:val="22"/>
          <w:szCs w:val="22"/>
        </w:rPr>
        <w:t>Attachment B –</w:t>
      </w:r>
      <w:r w:rsidRPr="002B5F4E" w:rsidR="008D61BA">
        <w:rPr>
          <w:b/>
          <w:sz w:val="22"/>
          <w:szCs w:val="22"/>
        </w:rPr>
        <w:t xml:space="preserve"> List of C</w:t>
      </w:r>
      <w:r w:rsidRPr="002B5F4E">
        <w:rPr>
          <w:b/>
          <w:sz w:val="22"/>
          <w:szCs w:val="22"/>
        </w:rPr>
        <w:t xml:space="preserve">ounties </w:t>
      </w:r>
      <w:r w:rsidRPr="002B5F4E" w:rsidR="008D61BA">
        <w:rPr>
          <w:b/>
          <w:sz w:val="22"/>
          <w:szCs w:val="22"/>
        </w:rPr>
        <w:t xml:space="preserve">Excluded from </w:t>
      </w:r>
      <w:r w:rsidR="00A67929">
        <w:rPr>
          <w:b/>
          <w:sz w:val="22"/>
          <w:szCs w:val="22"/>
        </w:rPr>
        <w:t>Modification Request</w:t>
      </w:r>
    </w:p>
    <w:p w:rsidR="008D61BA" w:rsidP="005D6C0F">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tblGrid>
      <w:tr w:rsidTr="004A264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788" w:type="dxa"/>
            <w:shd w:val="clear" w:color="auto" w:fill="auto"/>
          </w:tcPr>
          <w:p w:rsidR="00E45EF5" w:rsidRPr="004A264C" w:rsidP="004A264C">
            <w:pPr>
              <w:jc w:val="both"/>
              <w:rPr>
                <w:sz w:val="22"/>
                <w:szCs w:val="22"/>
              </w:rPr>
            </w:pPr>
            <w:r w:rsidRPr="004A264C">
              <w:rPr>
                <w:sz w:val="22"/>
                <w:szCs w:val="22"/>
              </w:rPr>
              <w:t>Brooks</w:t>
            </w:r>
          </w:p>
        </w:tc>
      </w:tr>
      <w:tr w:rsidTr="004A264C">
        <w:tblPrEx>
          <w:tblW w:w="0" w:type="auto"/>
          <w:jc w:val="center"/>
          <w:tblLook w:val="04A0"/>
        </w:tblPrEx>
        <w:trPr>
          <w:jc w:val="center"/>
        </w:trPr>
        <w:tc>
          <w:tcPr>
            <w:tcW w:w="4788" w:type="dxa"/>
            <w:shd w:val="clear" w:color="auto" w:fill="auto"/>
          </w:tcPr>
          <w:p w:rsidR="002A743C" w:rsidRPr="004A264C" w:rsidP="004A264C">
            <w:pPr>
              <w:jc w:val="both"/>
              <w:rPr>
                <w:sz w:val="22"/>
                <w:szCs w:val="22"/>
              </w:rPr>
            </w:pPr>
            <w:r w:rsidRPr="004A264C">
              <w:rPr>
                <w:sz w:val="22"/>
                <w:szCs w:val="22"/>
              </w:rPr>
              <w:t>Cameron</w:t>
            </w:r>
          </w:p>
        </w:tc>
      </w:tr>
      <w:tr w:rsidTr="004A264C">
        <w:tblPrEx>
          <w:tblW w:w="0" w:type="auto"/>
          <w:jc w:val="center"/>
          <w:tblLook w:val="04A0"/>
        </w:tblPrEx>
        <w:trPr>
          <w:jc w:val="center"/>
        </w:trPr>
        <w:tc>
          <w:tcPr>
            <w:tcW w:w="4788" w:type="dxa"/>
            <w:shd w:val="clear" w:color="auto" w:fill="auto"/>
          </w:tcPr>
          <w:p w:rsidR="002A743C" w:rsidRPr="004A264C" w:rsidP="004A264C">
            <w:pPr>
              <w:jc w:val="both"/>
              <w:rPr>
                <w:sz w:val="22"/>
                <w:szCs w:val="22"/>
              </w:rPr>
            </w:pPr>
            <w:r w:rsidRPr="004A264C">
              <w:rPr>
                <w:sz w:val="22"/>
                <w:szCs w:val="22"/>
              </w:rPr>
              <w:t>Hidalgo</w:t>
            </w:r>
          </w:p>
        </w:tc>
      </w:tr>
      <w:tr w:rsidTr="004A264C">
        <w:tblPrEx>
          <w:tblW w:w="0" w:type="auto"/>
          <w:jc w:val="center"/>
          <w:tblLook w:val="04A0"/>
        </w:tblPrEx>
        <w:trPr>
          <w:jc w:val="center"/>
        </w:trPr>
        <w:tc>
          <w:tcPr>
            <w:tcW w:w="4788" w:type="dxa"/>
            <w:shd w:val="clear" w:color="auto" w:fill="auto"/>
          </w:tcPr>
          <w:p w:rsidR="002A743C" w:rsidRPr="004A264C" w:rsidP="004A264C">
            <w:pPr>
              <w:jc w:val="both"/>
              <w:rPr>
                <w:sz w:val="22"/>
                <w:szCs w:val="22"/>
              </w:rPr>
            </w:pPr>
            <w:r w:rsidRPr="004A264C">
              <w:rPr>
                <w:sz w:val="22"/>
                <w:szCs w:val="22"/>
              </w:rPr>
              <w:t>Jim Hogg</w:t>
            </w:r>
          </w:p>
        </w:tc>
      </w:tr>
      <w:tr w:rsidTr="004A264C">
        <w:tblPrEx>
          <w:tblW w:w="0" w:type="auto"/>
          <w:jc w:val="center"/>
          <w:tblLook w:val="04A0"/>
        </w:tblPrEx>
        <w:trPr>
          <w:jc w:val="center"/>
        </w:trPr>
        <w:tc>
          <w:tcPr>
            <w:tcW w:w="4788" w:type="dxa"/>
            <w:shd w:val="clear" w:color="auto" w:fill="auto"/>
          </w:tcPr>
          <w:p w:rsidR="002A743C" w:rsidRPr="004A264C" w:rsidP="004A264C">
            <w:pPr>
              <w:jc w:val="both"/>
              <w:rPr>
                <w:sz w:val="22"/>
                <w:szCs w:val="22"/>
              </w:rPr>
            </w:pPr>
            <w:r w:rsidRPr="004A264C">
              <w:rPr>
                <w:sz w:val="22"/>
                <w:szCs w:val="22"/>
              </w:rPr>
              <w:t>Ken</w:t>
            </w:r>
            <w:r w:rsidR="006F4FB0">
              <w:rPr>
                <w:sz w:val="22"/>
                <w:szCs w:val="22"/>
              </w:rPr>
              <w:t>n</w:t>
            </w:r>
            <w:r w:rsidRPr="004A264C">
              <w:rPr>
                <w:sz w:val="22"/>
                <w:szCs w:val="22"/>
              </w:rPr>
              <w:t>edy</w:t>
            </w:r>
          </w:p>
        </w:tc>
      </w:tr>
      <w:tr w:rsidTr="004A264C">
        <w:tblPrEx>
          <w:tblW w:w="0" w:type="auto"/>
          <w:jc w:val="center"/>
          <w:tblLook w:val="04A0"/>
        </w:tblPrEx>
        <w:trPr>
          <w:jc w:val="center"/>
        </w:trPr>
        <w:tc>
          <w:tcPr>
            <w:tcW w:w="4788" w:type="dxa"/>
            <w:shd w:val="clear" w:color="auto" w:fill="auto"/>
          </w:tcPr>
          <w:p w:rsidR="002A743C" w:rsidRPr="004A264C" w:rsidP="004A264C">
            <w:pPr>
              <w:jc w:val="both"/>
              <w:rPr>
                <w:sz w:val="22"/>
                <w:szCs w:val="22"/>
              </w:rPr>
            </w:pPr>
            <w:r w:rsidRPr="004A264C">
              <w:rPr>
                <w:sz w:val="22"/>
                <w:szCs w:val="22"/>
              </w:rPr>
              <w:t>Kleberg</w:t>
            </w:r>
          </w:p>
        </w:tc>
      </w:tr>
      <w:tr w:rsidTr="004A264C">
        <w:tblPrEx>
          <w:tblW w:w="0" w:type="auto"/>
          <w:jc w:val="center"/>
          <w:tblLook w:val="04A0"/>
        </w:tblPrEx>
        <w:trPr>
          <w:jc w:val="center"/>
        </w:trPr>
        <w:tc>
          <w:tcPr>
            <w:tcW w:w="4788" w:type="dxa"/>
            <w:shd w:val="clear" w:color="auto" w:fill="auto"/>
          </w:tcPr>
          <w:p w:rsidR="00E45EF5" w:rsidRPr="004A264C" w:rsidP="004A264C">
            <w:pPr>
              <w:jc w:val="both"/>
              <w:rPr>
                <w:sz w:val="22"/>
                <w:szCs w:val="22"/>
              </w:rPr>
            </w:pPr>
            <w:r w:rsidRPr="004A264C">
              <w:rPr>
                <w:sz w:val="22"/>
                <w:szCs w:val="22"/>
              </w:rPr>
              <w:t>Starr</w:t>
            </w:r>
          </w:p>
        </w:tc>
      </w:tr>
      <w:tr w:rsidTr="004A264C">
        <w:tblPrEx>
          <w:tblW w:w="0" w:type="auto"/>
          <w:jc w:val="center"/>
          <w:tblLook w:val="04A0"/>
        </w:tblPrEx>
        <w:trPr>
          <w:jc w:val="center"/>
        </w:trPr>
        <w:tc>
          <w:tcPr>
            <w:tcW w:w="4788" w:type="dxa"/>
            <w:shd w:val="clear" w:color="auto" w:fill="auto"/>
          </w:tcPr>
          <w:p w:rsidR="00E45EF5" w:rsidRPr="004A264C" w:rsidP="004A264C">
            <w:pPr>
              <w:jc w:val="both"/>
              <w:rPr>
                <w:sz w:val="22"/>
                <w:szCs w:val="22"/>
              </w:rPr>
            </w:pPr>
            <w:r w:rsidRPr="004A264C">
              <w:rPr>
                <w:sz w:val="22"/>
                <w:szCs w:val="22"/>
              </w:rPr>
              <w:t>Willacy</w:t>
            </w:r>
          </w:p>
        </w:tc>
      </w:tr>
      <w:tr w:rsidTr="004A264C">
        <w:tblPrEx>
          <w:tblW w:w="0" w:type="auto"/>
          <w:jc w:val="center"/>
          <w:tblLook w:val="04A0"/>
        </w:tblPrEx>
        <w:trPr>
          <w:jc w:val="center"/>
        </w:trPr>
        <w:tc>
          <w:tcPr>
            <w:tcW w:w="4788" w:type="dxa"/>
            <w:shd w:val="clear" w:color="auto" w:fill="auto"/>
          </w:tcPr>
          <w:p w:rsidR="00E45EF5" w:rsidRPr="004A264C" w:rsidP="004A264C">
            <w:pPr>
              <w:jc w:val="both"/>
              <w:rPr>
                <w:sz w:val="22"/>
                <w:szCs w:val="22"/>
              </w:rPr>
            </w:pPr>
            <w:r w:rsidRPr="004A264C">
              <w:rPr>
                <w:sz w:val="22"/>
                <w:szCs w:val="22"/>
              </w:rPr>
              <w:t>Zapata</w:t>
            </w:r>
          </w:p>
        </w:tc>
      </w:tr>
    </w:tbl>
    <w:p w:rsidR="008D61BA" w:rsidP="005D6C0F">
      <w:pPr>
        <w:jc w:val="both"/>
        <w:rPr>
          <w:sz w:val="22"/>
          <w:szCs w:val="22"/>
        </w:rPr>
      </w:pPr>
    </w:p>
    <w:p w:rsidR="00631BFF" w:rsidP="002B5F4E">
      <w:pPr>
        <w:jc w:val="center"/>
        <w:rPr>
          <w:b/>
          <w:sz w:val="22"/>
          <w:szCs w:val="22"/>
        </w:rPr>
        <w:sectPr>
          <w:pgSz w:w="12240" w:h="15840" w:code="1"/>
          <w:pgMar w:top="1987" w:right="1440" w:bottom="1440" w:left="1440" w:header="720" w:footer="720" w:gutter="0"/>
          <w:cols w:space="720"/>
          <w:titlePg/>
        </w:sectPr>
      </w:pPr>
    </w:p>
    <w:p w:rsidR="005D6C0F" w:rsidP="00631BFF">
      <w:pPr>
        <w:jc w:val="center"/>
        <w:rPr>
          <w:b/>
          <w:sz w:val="22"/>
          <w:szCs w:val="22"/>
        </w:rPr>
      </w:pPr>
      <w:r w:rsidRPr="002B5F4E">
        <w:rPr>
          <w:b/>
          <w:sz w:val="22"/>
          <w:szCs w:val="22"/>
        </w:rPr>
        <w:t>Attachment C</w:t>
      </w:r>
      <w:r w:rsidRPr="002B5F4E" w:rsidR="008D61BA">
        <w:rPr>
          <w:b/>
          <w:sz w:val="22"/>
          <w:szCs w:val="22"/>
        </w:rPr>
        <w:t xml:space="preserve"> – List of Remaining L</w:t>
      </w:r>
      <w:r w:rsidRPr="002B5F4E">
        <w:rPr>
          <w:b/>
          <w:sz w:val="22"/>
          <w:szCs w:val="22"/>
        </w:rPr>
        <w:t xml:space="preserve">icensees in </w:t>
      </w:r>
      <w:r w:rsidRPr="002B5F4E" w:rsidR="008D61BA">
        <w:rPr>
          <w:b/>
          <w:sz w:val="22"/>
          <w:szCs w:val="22"/>
        </w:rPr>
        <w:t xml:space="preserve">the </w:t>
      </w:r>
      <w:r w:rsidR="00F036E3">
        <w:rPr>
          <w:b/>
          <w:sz w:val="22"/>
          <w:szCs w:val="22"/>
        </w:rPr>
        <w:t xml:space="preserve">San Antonio – Texas </w:t>
      </w:r>
      <w:r w:rsidRPr="002B5F4E">
        <w:rPr>
          <w:b/>
          <w:sz w:val="22"/>
          <w:szCs w:val="22"/>
        </w:rPr>
        <w:t xml:space="preserve">NPSPAC </w:t>
      </w:r>
      <w:r w:rsidRPr="002B5F4E" w:rsidR="008D61BA">
        <w:rPr>
          <w:b/>
          <w:sz w:val="22"/>
          <w:szCs w:val="22"/>
        </w:rPr>
        <w:t>R</w:t>
      </w:r>
      <w:r w:rsidRPr="002B5F4E">
        <w:rPr>
          <w:b/>
          <w:sz w:val="22"/>
          <w:szCs w:val="22"/>
        </w:rPr>
        <w:t>egion</w:t>
      </w:r>
    </w:p>
    <w:p w:rsidR="002B5F4E" w:rsidP="002B5F4E">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tblGrid>
      <w:tr w:rsidTr="004A264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788" w:type="dxa"/>
            <w:shd w:val="clear" w:color="auto" w:fill="auto"/>
          </w:tcPr>
          <w:p w:rsidR="00D96F33" w:rsidRPr="004A264C" w:rsidP="004A264C">
            <w:pPr>
              <w:jc w:val="both"/>
              <w:rPr>
                <w:sz w:val="22"/>
                <w:szCs w:val="22"/>
              </w:rPr>
            </w:pPr>
            <w:r w:rsidRPr="004A264C">
              <w:rPr>
                <w:sz w:val="22"/>
                <w:szCs w:val="22"/>
              </w:rPr>
              <w:t>City of Brownsville</w:t>
            </w:r>
          </w:p>
        </w:tc>
      </w:tr>
      <w:tr w:rsidTr="004A264C">
        <w:tblPrEx>
          <w:tblW w:w="0" w:type="auto"/>
          <w:jc w:val="center"/>
          <w:tblLook w:val="04A0"/>
        </w:tblPrEx>
        <w:trPr>
          <w:jc w:val="center"/>
        </w:trPr>
        <w:tc>
          <w:tcPr>
            <w:tcW w:w="4788" w:type="dxa"/>
            <w:shd w:val="clear" w:color="auto" w:fill="auto"/>
          </w:tcPr>
          <w:p w:rsidR="002B5F4E" w:rsidRPr="004A264C" w:rsidP="004A264C">
            <w:pPr>
              <w:jc w:val="both"/>
              <w:rPr>
                <w:sz w:val="22"/>
                <w:szCs w:val="22"/>
              </w:rPr>
            </w:pPr>
            <w:r w:rsidRPr="004A264C">
              <w:rPr>
                <w:sz w:val="22"/>
                <w:szCs w:val="22"/>
              </w:rPr>
              <w:t>Cameron County</w:t>
            </w:r>
          </w:p>
        </w:tc>
      </w:tr>
      <w:tr w:rsidTr="004A264C">
        <w:tblPrEx>
          <w:tblW w:w="0" w:type="auto"/>
          <w:jc w:val="center"/>
          <w:tblLook w:val="04A0"/>
        </w:tblPrEx>
        <w:trPr>
          <w:jc w:val="center"/>
        </w:trPr>
        <w:tc>
          <w:tcPr>
            <w:tcW w:w="4788" w:type="dxa"/>
            <w:shd w:val="clear" w:color="auto" w:fill="auto"/>
          </w:tcPr>
          <w:p w:rsidR="00D96F33" w:rsidRPr="004A264C" w:rsidP="004A264C">
            <w:pPr>
              <w:jc w:val="both"/>
              <w:rPr>
                <w:sz w:val="22"/>
                <w:szCs w:val="22"/>
              </w:rPr>
            </w:pPr>
            <w:r w:rsidRPr="004A264C">
              <w:rPr>
                <w:sz w:val="22"/>
                <w:szCs w:val="22"/>
              </w:rPr>
              <w:t>City of Edinburg</w:t>
            </w:r>
          </w:p>
        </w:tc>
      </w:tr>
      <w:tr w:rsidTr="004A264C">
        <w:tblPrEx>
          <w:tblW w:w="0" w:type="auto"/>
          <w:jc w:val="center"/>
          <w:tblLook w:val="04A0"/>
        </w:tblPrEx>
        <w:trPr>
          <w:jc w:val="center"/>
        </w:trPr>
        <w:tc>
          <w:tcPr>
            <w:tcW w:w="4788" w:type="dxa"/>
            <w:shd w:val="clear" w:color="auto" w:fill="auto"/>
          </w:tcPr>
          <w:p w:rsidR="00D96F33" w:rsidRPr="004A264C" w:rsidP="004A264C">
            <w:pPr>
              <w:jc w:val="both"/>
              <w:rPr>
                <w:sz w:val="22"/>
                <w:szCs w:val="22"/>
              </w:rPr>
            </w:pPr>
            <w:r w:rsidRPr="004A264C">
              <w:rPr>
                <w:sz w:val="22"/>
                <w:szCs w:val="22"/>
              </w:rPr>
              <w:t>City of Harlingen</w:t>
            </w:r>
          </w:p>
        </w:tc>
      </w:tr>
      <w:tr w:rsidTr="004A264C">
        <w:tblPrEx>
          <w:tblW w:w="0" w:type="auto"/>
          <w:jc w:val="center"/>
          <w:tblLook w:val="04A0"/>
        </w:tblPrEx>
        <w:trPr>
          <w:jc w:val="center"/>
        </w:trPr>
        <w:tc>
          <w:tcPr>
            <w:tcW w:w="4788" w:type="dxa"/>
            <w:shd w:val="clear" w:color="auto" w:fill="auto"/>
          </w:tcPr>
          <w:p w:rsidR="0074314A" w:rsidRPr="004A264C" w:rsidP="004A264C">
            <w:pPr>
              <w:jc w:val="both"/>
              <w:rPr>
                <w:sz w:val="22"/>
                <w:szCs w:val="22"/>
              </w:rPr>
            </w:pPr>
            <w:r w:rsidRPr="004A264C">
              <w:rPr>
                <w:sz w:val="22"/>
                <w:szCs w:val="22"/>
              </w:rPr>
              <w:t>City of Mission</w:t>
            </w:r>
          </w:p>
        </w:tc>
      </w:tr>
      <w:tr w:rsidTr="004A264C">
        <w:tblPrEx>
          <w:tblW w:w="0" w:type="auto"/>
          <w:jc w:val="center"/>
          <w:tblLook w:val="04A0"/>
        </w:tblPrEx>
        <w:trPr>
          <w:jc w:val="center"/>
        </w:trPr>
        <w:tc>
          <w:tcPr>
            <w:tcW w:w="4788" w:type="dxa"/>
            <w:shd w:val="clear" w:color="auto" w:fill="auto"/>
          </w:tcPr>
          <w:p w:rsidR="0074314A" w:rsidRPr="004A264C" w:rsidP="004A264C">
            <w:pPr>
              <w:jc w:val="both"/>
              <w:rPr>
                <w:sz w:val="22"/>
                <w:szCs w:val="22"/>
              </w:rPr>
            </w:pPr>
            <w:r w:rsidRPr="004A264C">
              <w:rPr>
                <w:sz w:val="22"/>
                <w:szCs w:val="22"/>
              </w:rPr>
              <w:t>City of Pharr</w:t>
            </w:r>
          </w:p>
        </w:tc>
      </w:tr>
      <w:tr w:rsidTr="004A264C">
        <w:tblPrEx>
          <w:tblW w:w="0" w:type="auto"/>
          <w:jc w:val="center"/>
          <w:tblLook w:val="04A0"/>
        </w:tblPrEx>
        <w:trPr>
          <w:jc w:val="center"/>
        </w:trPr>
        <w:tc>
          <w:tcPr>
            <w:tcW w:w="4788" w:type="dxa"/>
            <w:shd w:val="clear" w:color="auto" w:fill="auto"/>
          </w:tcPr>
          <w:p w:rsidR="0074314A" w:rsidRPr="004A264C" w:rsidP="004A264C">
            <w:pPr>
              <w:jc w:val="both"/>
              <w:rPr>
                <w:sz w:val="22"/>
                <w:szCs w:val="22"/>
              </w:rPr>
            </w:pPr>
            <w:r w:rsidRPr="004A264C">
              <w:rPr>
                <w:sz w:val="22"/>
                <w:szCs w:val="22"/>
              </w:rPr>
              <w:t>City of Rio Grande</w:t>
            </w:r>
          </w:p>
        </w:tc>
      </w:tr>
      <w:tr w:rsidTr="004A264C">
        <w:tblPrEx>
          <w:tblW w:w="0" w:type="auto"/>
          <w:jc w:val="center"/>
          <w:tblLook w:val="04A0"/>
        </w:tblPrEx>
        <w:trPr>
          <w:jc w:val="center"/>
        </w:trPr>
        <w:tc>
          <w:tcPr>
            <w:tcW w:w="4788" w:type="dxa"/>
            <w:shd w:val="clear" w:color="auto" w:fill="auto"/>
          </w:tcPr>
          <w:p w:rsidR="00BF7763" w:rsidRPr="004A264C" w:rsidP="004A264C">
            <w:pPr>
              <w:jc w:val="both"/>
              <w:rPr>
                <w:sz w:val="22"/>
                <w:szCs w:val="22"/>
              </w:rPr>
            </w:pPr>
            <w:r>
              <w:rPr>
                <w:sz w:val="22"/>
                <w:szCs w:val="22"/>
              </w:rPr>
              <w:t>Hidalgo County</w:t>
            </w:r>
          </w:p>
        </w:tc>
      </w:tr>
      <w:tr w:rsidTr="004A264C">
        <w:tblPrEx>
          <w:tblW w:w="0" w:type="auto"/>
          <w:jc w:val="center"/>
          <w:tblLook w:val="04A0"/>
        </w:tblPrEx>
        <w:trPr>
          <w:jc w:val="center"/>
        </w:trPr>
        <w:tc>
          <w:tcPr>
            <w:tcW w:w="4788" w:type="dxa"/>
            <w:shd w:val="clear" w:color="auto" w:fill="auto"/>
          </w:tcPr>
          <w:p w:rsidR="002B5F4E" w:rsidRPr="004A264C" w:rsidP="004A264C">
            <w:pPr>
              <w:jc w:val="both"/>
              <w:rPr>
                <w:sz w:val="22"/>
                <w:szCs w:val="22"/>
              </w:rPr>
            </w:pPr>
            <w:r w:rsidRPr="004A264C">
              <w:rPr>
                <w:sz w:val="22"/>
                <w:szCs w:val="22"/>
              </w:rPr>
              <w:t>San Benito CISD PD</w:t>
            </w:r>
          </w:p>
        </w:tc>
      </w:tr>
      <w:tr w:rsidTr="004A264C">
        <w:tblPrEx>
          <w:tblW w:w="0" w:type="auto"/>
          <w:jc w:val="center"/>
          <w:tblLook w:val="04A0"/>
        </w:tblPrEx>
        <w:trPr>
          <w:jc w:val="center"/>
        </w:trPr>
        <w:tc>
          <w:tcPr>
            <w:tcW w:w="4788" w:type="dxa"/>
            <w:shd w:val="clear" w:color="auto" w:fill="auto"/>
          </w:tcPr>
          <w:p w:rsidR="002B5F4E" w:rsidRPr="004A264C" w:rsidP="004A264C">
            <w:pPr>
              <w:jc w:val="both"/>
              <w:rPr>
                <w:sz w:val="22"/>
                <w:szCs w:val="22"/>
              </w:rPr>
            </w:pPr>
            <w:r w:rsidRPr="004A264C">
              <w:rPr>
                <w:sz w:val="22"/>
                <w:szCs w:val="22"/>
              </w:rPr>
              <w:t xml:space="preserve">Willacy County </w:t>
            </w:r>
          </w:p>
        </w:tc>
      </w:tr>
    </w:tbl>
    <w:p w:rsidR="002B5F4E" w:rsidRPr="002B5F4E" w:rsidP="002B5F4E">
      <w:pPr>
        <w:jc w:val="center"/>
        <w:rPr>
          <w:sz w:val="22"/>
          <w:szCs w:val="22"/>
        </w:rPr>
      </w:pPr>
    </w:p>
    <w:sectPr>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64C">
      <w:r>
        <w:separator/>
      </w:r>
    </w:p>
  </w:footnote>
  <w:footnote w:type="continuationSeparator" w:id="1">
    <w:p w:rsidR="004A264C">
      <w:r>
        <w:continuationSeparator/>
      </w:r>
    </w:p>
  </w:footnote>
  <w:footnote w:id="2">
    <w:p w:rsidR="002A743C" w:rsidRPr="00EC2F04" w:rsidP="000E09A1">
      <w:pPr>
        <w:pStyle w:val="FootnoteText"/>
        <w:spacing w:after="120"/>
      </w:pPr>
      <w:r w:rsidRPr="00EC2F04">
        <w:rPr>
          <w:rStyle w:val="FootnoteReference"/>
        </w:rPr>
        <w:footnoteRef/>
      </w:r>
      <w:r w:rsidRPr="00EC2F04">
        <w:t xml:space="preserve"> Sprint Corporation Request for </w:t>
      </w:r>
      <w:r>
        <w:t xml:space="preserve">Modification of </w:t>
      </w:r>
      <w:r w:rsidRPr="00EC2F04">
        <w:t xml:space="preserve">Waiver to Permit 800 MHz Wideband Operations in </w:t>
      </w:r>
      <w:r>
        <w:t xml:space="preserve">Additional </w:t>
      </w:r>
      <w:r w:rsidRPr="00EC2F04">
        <w:t xml:space="preserve">Portions of </w:t>
      </w:r>
      <w:r>
        <w:t>San Antonio – Texas (Region 53</w:t>
      </w:r>
      <w:r w:rsidRPr="00EC2F04">
        <w:t>) Prior to Completion of 800 MHz Band Reconfiguration in the En</w:t>
      </w:r>
      <w:r>
        <w:t>tire NPSPAC Region, ULS File Nos</w:t>
      </w:r>
      <w:r w:rsidRPr="00EC2F04">
        <w:t xml:space="preserve">. </w:t>
      </w:r>
      <w:r w:rsidRPr="007E2851">
        <w:t>0007885836, 0007885843, and 0007885851</w:t>
      </w:r>
      <w:r w:rsidRPr="007E2851">
        <w:t xml:space="preserve"> </w:t>
      </w:r>
      <w:r w:rsidRPr="00EC2F04">
        <w:t xml:space="preserve">(filed </w:t>
      </w:r>
      <w:r>
        <w:t>Aug</w:t>
      </w:r>
      <w:r w:rsidRPr="00EC2F04">
        <w:t xml:space="preserve">. </w:t>
      </w:r>
      <w:r>
        <w:t>10</w:t>
      </w:r>
      <w:r w:rsidRPr="00EC2F04">
        <w:t>, 201</w:t>
      </w:r>
      <w:r>
        <w:t>7)</w:t>
      </w:r>
      <w:r w:rsidRPr="00EC2F04">
        <w:t xml:space="preserve"> (</w:t>
      </w:r>
      <w:r>
        <w:t>Modification</w:t>
      </w:r>
      <w:r w:rsidRPr="00EC2F04">
        <w:t xml:space="preserve"> </w:t>
      </w:r>
      <w:r w:rsidRPr="00C100BA">
        <w:t>Request)</w:t>
      </w:r>
      <w:r w:rsidR="008E5BCD">
        <w:t xml:space="preserve">. </w:t>
      </w:r>
      <w:r w:rsidRPr="00C100BA">
        <w:t xml:space="preserve"> </w:t>
      </w:r>
      <w:r w:rsidRPr="00EC2F04">
        <w:t xml:space="preserve">The </w:t>
      </w:r>
      <w:r>
        <w:t xml:space="preserve">Modification Request </w:t>
      </w:r>
      <w:r w:rsidR="008E5BCD">
        <w:t xml:space="preserve">was filed by one of Sprint’s subsidiary corporations, NPCR, Inc., and </w:t>
      </w:r>
      <w:r>
        <w:t>covers Call Signs</w:t>
      </w:r>
      <w:r w:rsidRPr="00EC2F04">
        <w:t xml:space="preserve"> </w:t>
      </w:r>
      <w:r>
        <w:t>WPOI311, WPOK476, and WPOH315</w:t>
      </w:r>
      <w:r w:rsidR="00B724A1">
        <w:t xml:space="preserve">.  </w:t>
      </w:r>
    </w:p>
  </w:footnote>
  <w:footnote w:id="3">
    <w:p w:rsidR="002A743C" w:rsidP="00ED3C8B">
      <w:pPr>
        <w:pStyle w:val="FootnoteText"/>
        <w:spacing w:after="120"/>
      </w:pPr>
      <w:r>
        <w:rPr>
          <w:rStyle w:val="FootnoteReference"/>
        </w:rPr>
        <w:footnoteRef/>
      </w:r>
      <w:r>
        <w:t xml:space="preserve"> </w:t>
      </w:r>
      <w:r>
        <w:rPr>
          <w:i/>
        </w:rPr>
        <w:t xml:space="preserve">Sprint Corporation Request for Waiver to Permit 800 MHz Wideband Operations in Portions of Texas – San </w:t>
      </w:r>
      <w:r w:rsidRPr="00152081">
        <w:rPr>
          <w:i/>
        </w:rPr>
        <w:t xml:space="preserve">Antonio (Region 53) Prior to Completion of 800 MHz Band Reconfiguration in the Entire NPSPAC Region, </w:t>
      </w:r>
      <w:r w:rsidRPr="00152081">
        <w:t xml:space="preserve">Letter Order, </w:t>
      </w:r>
      <w:r w:rsidRPr="00D456EB" w:rsidR="008B7697">
        <w:t xml:space="preserve">32 </w:t>
      </w:r>
      <w:r w:rsidRPr="00D456EB">
        <w:t xml:space="preserve">FCC </w:t>
      </w:r>
      <w:r w:rsidRPr="00D456EB" w:rsidR="002D375A">
        <w:t>Rcd</w:t>
      </w:r>
      <w:r w:rsidR="002D375A">
        <w:t xml:space="preserve"> </w:t>
      </w:r>
      <w:r w:rsidR="002C6FE6">
        <w:t xml:space="preserve">1365 </w:t>
      </w:r>
      <w:r>
        <w:t>(WTB MD 2014) (</w:t>
      </w:r>
      <w:r w:rsidR="00AA1622">
        <w:rPr>
          <w:i/>
        </w:rPr>
        <w:t>2014 Waiver Order</w:t>
      </w:r>
      <w:r>
        <w:t>).</w:t>
      </w:r>
    </w:p>
  </w:footnote>
  <w:footnote w:id="4">
    <w:p w:rsidR="00F036E3" w:rsidP="00C64ADC">
      <w:pPr>
        <w:pStyle w:val="FootnoteText"/>
        <w:spacing w:after="120"/>
      </w:pPr>
      <w:r>
        <w:rPr>
          <w:rStyle w:val="FootnoteReference"/>
        </w:rPr>
        <w:footnoteRef/>
      </w:r>
      <w:r>
        <w:t xml:space="preserve"> Specifically, Sprint seeks to include portions of the following counties in the Modification Request:  Aransas, Duval, Jim Wells, Nueces, and Webb.  It plans to include the full county in the Modification Request with respect to La Salle, Live Oak, McMullen, and San Patricio Counties.   </w:t>
      </w:r>
    </w:p>
  </w:footnote>
  <w:footnote w:id="5">
    <w:p w:rsidR="002A743C" w:rsidRPr="00EC2F04" w:rsidP="00D639B3">
      <w:pPr>
        <w:pStyle w:val="FootnoteText"/>
        <w:spacing w:after="120"/>
      </w:pPr>
      <w:r w:rsidRPr="00EC2F04">
        <w:rPr>
          <w:rStyle w:val="FootnoteReference"/>
        </w:rPr>
        <w:footnoteRef/>
      </w:r>
      <w:r w:rsidRPr="00EC2F04">
        <w:t xml:space="preserve"> 47 </w:t>
      </w:r>
      <w:r>
        <w:t>CFR</w:t>
      </w:r>
      <w:r w:rsidRPr="00EC2F04">
        <w:t xml:space="preserve"> § 90.209(b)(7).  </w:t>
      </w:r>
      <w:r w:rsidRPr="00EC2F04">
        <w:rPr>
          <w:i/>
        </w:rPr>
        <w:t>See also</w:t>
      </w:r>
      <w:r w:rsidRPr="00EC2F04">
        <w:t xml:space="preserve"> </w:t>
      </w:r>
      <w:r w:rsidRPr="00C64ADC">
        <w:rPr>
          <w:i/>
        </w:rPr>
        <w:t xml:space="preserve">Improving Spectrum Efficiency Through Flexible Channel Spacing and Bandwidth Utilization for Economic Area-based 800 MHz Specialized Mobile Radio Licensees, </w:t>
      </w:r>
      <w:r w:rsidRPr="00C64ADC">
        <w:t>Report and Order</w:t>
      </w:r>
      <w:r w:rsidRPr="00C64ADC">
        <w:rPr>
          <w:i/>
        </w:rPr>
        <w:t>,</w:t>
      </w:r>
      <w:r w:rsidRPr="00EC2F04">
        <w:t xml:space="preserve"> WT Docket 12-64, 27 FCC Red 6489, 6495-96</w:t>
      </w:r>
      <w:r>
        <w:t>, para.</w:t>
      </w:r>
      <w:r w:rsidRPr="00EC2F04">
        <w:t xml:space="preserve"> 12 (2012) (</w:t>
      </w:r>
      <w:r w:rsidRPr="00EC2F04">
        <w:rPr>
          <w:i/>
        </w:rPr>
        <w:t>800 MHz Wideband Order</w:t>
      </w:r>
      <w:r w:rsidRPr="00EC2F04">
        <w:t xml:space="preserve">).  SMR licensees are authorized to operate in the 813.5-824/858.5-869 MHz portion of the 800 MHz band only in the Southeastern U.S. counties listed in </w:t>
      </w:r>
      <w:r>
        <w:t>Section</w:t>
      </w:r>
      <w:r w:rsidRPr="00EC2F04">
        <w:t xml:space="preserve"> 90.614(c).  </w:t>
      </w:r>
      <w:r w:rsidRPr="00EC2F04">
        <w:rPr>
          <w:i/>
        </w:rPr>
        <w:t xml:space="preserve">See </w:t>
      </w:r>
      <w:r w:rsidRPr="00EC2F04">
        <w:t xml:space="preserve">47 </w:t>
      </w:r>
      <w:r>
        <w:t>CFR</w:t>
      </w:r>
      <w:r w:rsidRPr="00EC2F04">
        <w:t xml:space="preserve"> § 90.209(b)(7); </w:t>
      </w:r>
      <w:r w:rsidRPr="00EC2F04">
        <w:rPr>
          <w:i/>
        </w:rPr>
        <w:t>800 MHz Wideband Order</w:t>
      </w:r>
      <w:r>
        <w:t xml:space="preserve">, 27 FCC </w:t>
      </w:r>
      <w:r>
        <w:t>Rcd</w:t>
      </w:r>
      <w:r>
        <w:t xml:space="preserve"> at 6490, </w:t>
      </w:r>
      <w:r w:rsidRPr="00C64ADC">
        <w:t>para. 1 n.1.  The NPSPAC Region where Sprint requests relief does not contain any of the listed counties.</w:t>
      </w:r>
    </w:p>
  </w:footnote>
  <w:footnote w:id="6">
    <w:p w:rsidR="002D375A" w:rsidRPr="00ED3C8B" w:rsidP="00ED3C8B">
      <w:pPr>
        <w:pStyle w:val="FootnoteText"/>
        <w:spacing w:after="120"/>
      </w:pPr>
      <w:r>
        <w:rPr>
          <w:rStyle w:val="FootnoteReference"/>
        </w:rPr>
        <w:footnoteRef/>
      </w:r>
      <w:r>
        <w:t xml:space="preserve"> </w:t>
      </w:r>
      <w:r>
        <w:rPr>
          <w:i/>
        </w:rPr>
        <w:t xml:space="preserve">2014 </w:t>
      </w:r>
      <w:r w:rsidR="000E52FB">
        <w:rPr>
          <w:i/>
        </w:rPr>
        <w:t>Waiver</w:t>
      </w:r>
      <w:r>
        <w:rPr>
          <w:i/>
        </w:rPr>
        <w:t xml:space="preserve"> </w:t>
      </w:r>
      <w:r w:rsidRPr="00ED3C8B">
        <w:rPr>
          <w:i/>
        </w:rPr>
        <w:t>Order</w:t>
      </w:r>
      <w:r>
        <w:rPr>
          <w:i/>
        </w:rPr>
        <w:t xml:space="preserve">, </w:t>
      </w:r>
      <w:r>
        <w:t xml:space="preserve">29 FCC </w:t>
      </w:r>
      <w:r>
        <w:t>Rcd</w:t>
      </w:r>
      <w:r>
        <w:t xml:space="preserve"> at </w:t>
      </w:r>
      <w:r w:rsidR="002C6FE6">
        <w:t>1368-69</w:t>
      </w:r>
      <w:r>
        <w:t>.</w:t>
      </w:r>
    </w:p>
  </w:footnote>
  <w:footnote w:id="7">
    <w:p w:rsidR="00E6352E" w:rsidP="00ED3C8B">
      <w:pPr>
        <w:pStyle w:val="FootnoteText"/>
        <w:spacing w:after="120"/>
      </w:pPr>
      <w:r>
        <w:rPr>
          <w:rStyle w:val="FootnoteReference"/>
        </w:rPr>
        <w:footnoteRef/>
      </w:r>
      <w:r>
        <w:t xml:space="preserve"> Modification Request at 2.  </w:t>
      </w:r>
    </w:p>
  </w:footnote>
  <w:footnote w:id="8">
    <w:p w:rsidR="002A743C" w:rsidRPr="0070019F" w:rsidP="0070019F">
      <w:pPr>
        <w:pStyle w:val="FootnoteText"/>
        <w:spacing w:after="120"/>
      </w:pPr>
      <w:r>
        <w:rPr>
          <w:rStyle w:val="FootnoteReference"/>
        </w:rPr>
        <w:footnoteRef/>
      </w:r>
      <w:r>
        <w:t xml:space="preserve"> </w:t>
      </w:r>
      <w:r>
        <w:rPr>
          <w:i/>
        </w:rPr>
        <w:t xml:space="preserve">See </w:t>
      </w:r>
      <w:r w:rsidR="00A4794B">
        <w:rPr>
          <w:i/>
        </w:rPr>
        <w:t>id.</w:t>
      </w:r>
      <w:r>
        <w:t xml:space="preserve"> at 3</w:t>
      </w:r>
      <w:r w:rsidRPr="007E22DA">
        <w:t>.</w:t>
      </w:r>
      <w:r>
        <w:t xml:space="preserve">  </w:t>
      </w:r>
    </w:p>
  </w:footnote>
  <w:footnote w:id="9">
    <w:p w:rsidR="002A743C" w:rsidRPr="00EB3371" w:rsidP="000E09A1">
      <w:pPr>
        <w:pStyle w:val="FootnoteText"/>
        <w:spacing w:after="120"/>
        <w:rPr>
          <w:i/>
        </w:rPr>
      </w:pPr>
      <w:r>
        <w:rPr>
          <w:rStyle w:val="FootnoteReference"/>
        </w:rPr>
        <w:footnoteRef/>
      </w:r>
      <w:r>
        <w:t xml:space="preserve"> </w:t>
      </w:r>
      <w:r w:rsidR="00A4794B">
        <w:rPr>
          <w:i/>
        </w:rPr>
        <w:t xml:space="preserve">Id. </w:t>
      </w:r>
      <w:r>
        <w:t xml:space="preserve">at 2.  Sprint states that, since the </w:t>
      </w:r>
      <w:r w:rsidR="00AA1622">
        <w:rPr>
          <w:i/>
        </w:rPr>
        <w:t>2014 Waiver Order</w:t>
      </w:r>
      <w:r>
        <w:t xml:space="preserve">, it and the 800 MHz incumbent licensees have made significant progress on the 800 MHz band reconfiguration initiative.  </w:t>
      </w:r>
      <w:r>
        <w:rPr>
          <w:i/>
        </w:rPr>
        <w:t xml:space="preserve">Id.  </w:t>
      </w:r>
    </w:p>
  </w:footnote>
  <w:footnote w:id="10">
    <w:p w:rsidR="002A743C" w:rsidRPr="000B374C" w:rsidP="000E09A1">
      <w:pPr>
        <w:pStyle w:val="FootnoteText"/>
        <w:spacing w:after="120"/>
      </w:pPr>
      <w:r>
        <w:rPr>
          <w:rStyle w:val="FootnoteReference"/>
        </w:rPr>
        <w:footnoteRef/>
      </w:r>
      <w:r>
        <w:t xml:space="preserve"> </w:t>
      </w:r>
      <w:r w:rsidR="00A4794B">
        <w:rPr>
          <w:i/>
        </w:rPr>
        <w:t xml:space="preserve">Id. </w:t>
      </w:r>
    </w:p>
  </w:footnote>
  <w:footnote w:id="11">
    <w:p w:rsidR="002A743C" w:rsidRPr="00E263F0" w:rsidP="000E09A1">
      <w:pPr>
        <w:pStyle w:val="FootnoteText"/>
        <w:spacing w:after="120"/>
      </w:pPr>
      <w:r w:rsidRPr="00E263F0">
        <w:rPr>
          <w:rStyle w:val="FootnoteReference"/>
        </w:rPr>
        <w:footnoteRef/>
      </w:r>
      <w:r w:rsidRPr="00E263F0">
        <w:t xml:space="preserve"> </w:t>
      </w:r>
      <w:r w:rsidR="00A4794B">
        <w:rPr>
          <w:i/>
        </w:rPr>
        <w:t xml:space="preserve">Id. </w:t>
      </w:r>
    </w:p>
  </w:footnote>
  <w:footnote w:id="12">
    <w:p w:rsidR="002A743C" w:rsidRPr="00BC55D9" w:rsidP="000E09A1">
      <w:pPr>
        <w:pStyle w:val="FootnoteText"/>
        <w:spacing w:after="120"/>
      </w:pPr>
      <w:r w:rsidRPr="00BC55D9">
        <w:rPr>
          <w:rStyle w:val="FootnoteReference"/>
        </w:rPr>
        <w:footnoteRef/>
      </w:r>
      <w:r w:rsidRPr="00BC55D9">
        <w:t xml:space="preserve"> </w:t>
      </w:r>
      <w:r w:rsidR="00A4794B">
        <w:rPr>
          <w:i/>
        </w:rPr>
        <w:t xml:space="preserve">Id. </w:t>
      </w:r>
      <w:r w:rsidRPr="00BC55D9">
        <w:t xml:space="preserve">at </w:t>
      </w:r>
      <w:r>
        <w:t>1 and 3</w:t>
      </w:r>
      <w:r w:rsidRPr="00BC55D9">
        <w:t>.</w:t>
      </w:r>
    </w:p>
  </w:footnote>
  <w:footnote w:id="13">
    <w:p w:rsidR="002A743C" w:rsidRPr="00492E7E" w:rsidP="000E09A1">
      <w:pPr>
        <w:pStyle w:val="FootnoteText"/>
        <w:spacing w:after="120"/>
        <w:rPr>
          <w:highlight w:val="yellow"/>
        </w:rPr>
      </w:pPr>
      <w:r w:rsidRPr="00C01DC8">
        <w:rPr>
          <w:rStyle w:val="FootnoteReference"/>
        </w:rPr>
        <w:footnoteRef/>
      </w:r>
      <w:r w:rsidRPr="00C01DC8">
        <w:t xml:space="preserve"> </w:t>
      </w:r>
      <w:r w:rsidRPr="00C01DC8">
        <w:rPr>
          <w:i/>
        </w:rPr>
        <w:t>See</w:t>
      </w:r>
      <w:r w:rsidRPr="00E263F0">
        <w:rPr>
          <w:i/>
        </w:rPr>
        <w:t xml:space="preserve"> </w:t>
      </w:r>
      <w:r w:rsidR="00A4794B">
        <w:rPr>
          <w:i/>
        </w:rPr>
        <w:t xml:space="preserve">id. </w:t>
      </w:r>
      <w:r>
        <w:t>at 3.</w:t>
      </w:r>
    </w:p>
  </w:footnote>
  <w:footnote w:id="14">
    <w:p w:rsidR="002A743C" w:rsidRPr="006B0671" w:rsidP="000E09A1">
      <w:pPr>
        <w:pStyle w:val="FootnoteText"/>
        <w:spacing w:after="120"/>
      </w:pPr>
      <w:r>
        <w:rPr>
          <w:rStyle w:val="FootnoteReference"/>
        </w:rPr>
        <w:footnoteRef/>
      </w:r>
      <w:r>
        <w:t xml:space="preserve"> </w:t>
      </w:r>
      <w:r w:rsidR="00521660">
        <w:rPr>
          <w:i/>
        </w:rPr>
        <w:t>Id.</w:t>
      </w:r>
      <w:r>
        <w:t xml:space="preserve">  Section 90.621(b) specifies a minimum separation distance of 70 miles, while Section 90.621(b)(4) permits 800 MHz co-channel usage at sites as close as 55 miles depending on the technical parameters of the </w:t>
      </w:r>
      <w:r w:rsidR="00571BD0">
        <w:t>proposed</w:t>
      </w:r>
      <w:r>
        <w:t xml:space="preserve"> facilities.  47 CFR §§ 90.621(b)</w:t>
      </w:r>
      <w:r w:rsidR="00135A10">
        <w:t>,</w:t>
      </w:r>
      <w:r>
        <w:t xml:space="preserve"> 90.621(b)(4).  </w:t>
      </w:r>
    </w:p>
  </w:footnote>
  <w:footnote w:id="15">
    <w:p w:rsidR="002F0402" w:rsidRPr="00D456EB" w:rsidP="00D456EB">
      <w:pPr>
        <w:pStyle w:val="FootnoteText"/>
        <w:spacing w:after="120"/>
      </w:pPr>
      <w:r>
        <w:rPr>
          <w:rStyle w:val="FootnoteReference"/>
        </w:rPr>
        <w:footnoteRef/>
      </w:r>
      <w:r>
        <w:t xml:space="preserve"> </w:t>
      </w:r>
      <w:r>
        <w:rPr>
          <w:i/>
        </w:rPr>
        <w:t>See</w:t>
      </w:r>
      <w:r w:rsidR="00FD0159">
        <w:rPr>
          <w:i/>
        </w:rPr>
        <w:t>, e.g.,</w:t>
      </w:r>
      <w:r>
        <w:rPr>
          <w:i/>
        </w:rPr>
        <w:t xml:space="preserve"> </w:t>
      </w:r>
      <w:r w:rsidRPr="00C64ADC" w:rsidR="0055130F">
        <w:t>Supplement to Sprint Waiver Modification Request for Additional Portions of San Antonio – Texas NPSPAC Region 53, ULS File Nos. 0007885836, 0007885843, and 0007885851</w:t>
      </w:r>
      <w:r w:rsidRPr="00C64ADC" w:rsidR="0055130F">
        <w:t xml:space="preserve"> </w:t>
      </w:r>
      <w:r w:rsidRPr="00C64ADC" w:rsidR="0055130F">
        <w:t xml:space="preserve">(filed Oct. 23, 2017), </w:t>
      </w:r>
      <w:r w:rsidRPr="00356388" w:rsidR="0055130F">
        <w:t>Attachments</w:t>
      </w:r>
      <w:r w:rsidRPr="00356388" w:rsidR="00FD0159">
        <w:t>.</w:t>
      </w:r>
    </w:p>
  </w:footnote>
  <w:footnote w:id="16">
    <w:p w:rsidR="002A743C" w:rsidP="000E09A1">
      <w:pPr>
        <w:pStyle w:val="FootnoteText"/>
        <w:spacing w:after="120"/>
      </w:pPr>
      <w:r w:rsidRPr="009B62B5">
        <w:rPr>
          <w:rStyle w:val="FootnoteReference"/>
        </w:rPr>
        <w:footnoteRef/>
      </w:r>
      <w:r w:rsidRPr="009B62B5">
        <w:t xml:space="preserve"> </w:t>
      </w:r>
      <w:r w:rsidR="00521660">
        <w:rPr>
          <w:i/>
        </w:rPr>
        <w:t>Id.</w:t>
      </w:r>
      <w:r>
        <w:t xml:space="preserve">  </w:t>
      </w:r>
    </w:p>
  </w:footnote>
  <w:footnote w:id="17">
    <w:p w:rsidR="00CB1FC0" w:rsidRPr="00641C91" w:rsidP="00CB1FC0">
      <w:pPr>
        <w:pStyle w:val="FootnoteText"/>
        <w:spacing w:after="120"/>
      </w:pPr>
      <w:r>
        <w:rPr>
          <w:rStyle w:val="FootnoteReference"/>
        </w:rPr>
        <w:footnoteRef/>
      </w:r>
      <w:r>
        <w:t xml:space="preserve"> </w:t>
      </w:r>
      <w:r>
        <w:rPr>
          <w:i/>
        </w:rPr>
        <w:t xml:space="preserve">See </w:t>
      </w:r>
      <w:r w:rsidRPr="00C64ADC">
        <w:t>Supplement to Sprint Waiver Modification Request for Additional Portions of San Antonio – Texas NPSPAC Region 53, ULS File Nos. 0007885836, 0007885843, and 0007885851</w:t>
      </w:r>
      <w:r w:rsidRPr="00C64ADC">
        <w:t xml:space="preserve"> </w:t>
      </w:r>
      <w:r w:rsidRPr="00C64ADC">
        <w:t xml:space="preserve">(filed Nov. 7, 2017) </w:t>
      </w:r>
      <w:r w:rsidRPr="00641C91">
        <w:t>(providing concurrences</w:t>
      </w:r>
      <w:r>
        <w:t xml:space="preserve"> from the City of Harlingen and Hidalgo County); </w:t>
      </w:r>
      <w:r w:rsidR="00F66CC4">
        <w:t xml:space="preserve">Fourth </w:t>
      </w:r>
      <w:r w:rsidRPr="00C64ADC" w:rsidR="00F66CC4">
        <w:t>Supplement to Sprint Waiver Modification Request for Additional Portions of San Antonio – Texas NPSPAC Region 53, ULS File Nos. 0007885836, 0007885843, and 0007885851</w:t>
      </w:r>
      <w:r w:rsidRPr="00C64ADC" w:rsidR="00F66CC4">
        <w:t xml:space="preserve"> </w:t>
      </w:r>
      <w:r w:rsidRPr="00C64ADC" w:rsidR="00F66CC4">
        <w:t xml:space="preserve">(filed </w:t>
      </w:r>
      <w:r w:rsidR="00F66CC4">
        <w:t>Jan</w:t>
      </w:r>
      <w:r w:rsidRPr="00C64ADC" w:rsidR="00F66CC4">
        <w:t xml:space="preserve">. </w:t>
      </w:r>
      <w:r w:rsidR="00F66CC4">
        <w:t>2</w:t>
      </w:r>
      <w:r w:rsidRPr="00C64ADC" w:rsidR="00F66CC4">
        <w:t>, 201</w:t>
      </w:r>
      <w:r w:rsidR="00F66CC4">
        <w:t>8</w:t>
      </w:r>
      <w:r w:rsidRPr="00C64ADC" w:rsidR="00F66CC4">
        <w:t xml:space="preserve">) </w:t>
      </w:r>
      <w:r w:rsidRPr="00F66CC4" w:rsidR="00F66CC4">
        <w:t>(pr</w:t>
      </w:r>
      <w:r w:rsidR="00F66CC4">
        <w:t>oviding</w:t>
      </w:r>
      <w:r w:rsidRPr="00EC2F04">
        <w:t xml:space="preserve"> </w:t>
      </w:r>
      <w:r w:rsidR="00F66CC4">
        <w:t xml:space="preserve">the Lower Rio Grande Valley Development Council concurrence); Fifth </w:t>
      </w:r>
      <w:r w:rsidRPr="00D641E0" w:rsidR="00F66CC4">
        <w:t>Supplement to Sprint Waiver Modification Request for Additional Portions of San Antonio – Texas NPSPAC Region 53, ULS File Nos. 0007885836, 0007885843, and 0007885851</w:t>
      </w:r>
      <w:r w:rsidRPr="00D641E0" w:rsidR="00F66CC4">
        <w:t xml:space="preserve"> </w:t>
      </w:r>
      <w:r w:rsidRPr="00D641E0" w:rsidR="00F66CC4">
        <w:t xml:space="preserve">(filed </w:t>
      </w:r>
      <w:r w:rsidR="00F66CC4">
        <w:t>Jan</w:t>
      </w:r>
      <w:r w:rsidRPr="00D641E0" w:rsidR="00F66CC4">
        <w:t>. 2</w:t>
      </w:r>
      <w:r w:rsidR="00F66CC4">
        <w:t>5</w:t>
      </w:r>
      <w:r w:rsidRPr="00D641E0" w:rsidR="00F66CC4">
        <w:t>, 2018) (pr</w:t>
      </w:r>
      <w:r w:rsidR="00F66CC4">
        <w:t>oviding</w:t>
      </w:r>
      <w:r w:rsidRPr="00EC2F04" w:rsidR="00F66CC4">
        <w:t xml:space="preserve"> </w:t>
      </w:r>
      <w:r w:rsidR="00F66CC4">
        <w:t xml:space="preserve">the City of Pharr concurrence); Sixth </w:t>
      </w:r>
      <w:r w:rsidRPr="00D641E0" w:rsidR="00F66CC4">
        <w:t>Supplement to Sprint Waiver Modification Request for Additional Portions of San Antonio – Texas NPSPAC Region 53, ULS File Nos. 0007885836, 0007885843, and 0007885851</w:t>
      </w:r>
      <w:r w:rsidRPr="00D641E0" w:rsidR="00F66CC4">
        <w:t xml:space="preserve"> </w:t>
      </w:r>
      <w:r w:rsidRPr="00D641E0" w:rsidR="00F66CC4">
        <w:t xml:space="preserve">(filed </w:t>
      </w:r>
      <w:r w:rsidR="00F66CC4">
        <w:t>Feb</w:t>
      </w:r>
      <w:r w:rsidRPr="00D641E0" w:rsidR="00F66CC4">
        <w:t xml:space="preserve">. </w:t>
      </w:r>
      <w:r w:rsidR="00F66CC4">
        <w:t>13</w:t>
      </w:r>
      <w:r w:rsidRPr="00D641E0" w:rsidR="00F66CC4">
        <w:t>, 2018) (pr</w:t>
      </w:r>
      <w:r w:rsidR="00F66CC4">
        <w:t>oviding</w:t>
      </w:r>
      <w:r w:rsidRPr="00EC2F04" w:rsidR="00F66CC4">
        <w:t xml:space="preserve"> </w:t>
      </w:r>
      <w:r w:rsidR="00F66CC4">
        <w:t>concurrences from the City of Brown</w:t>
      </w:r>
      <w:r w:rsidR="00F036E3">
        <w:t>sville and the City of Mission);</w:t>
      </w:r>
      <w:r w:rsidRPr="00C64ADC" w:rsidR="00F036E3">
        <w:t xml:space="preserve"> </w:t>
      </w:r>
      <w:r w:rsidR="00F036E3">
        <w:t xml:space="preserve">Eighth </w:t>
      </w:r>
      <w:r w:rsidRPr="00D641E0" w:rsidR="00F036E3">
        <w:t>Supplement to Sprint Waiver Modification Request for Additional Portions of San Antonio – Texas NPSPAC Region 53, ULS File Nos. 0007885836, 0007885843, and 0007885851</w:t>
      </w:r>
      <w:r w:rsidRPr="00D641E0" w:rsidR="00F036E3">
        <w:t xml:space="preserve"> </w:t>
      </w:r>
      <w:r w:rsidRPr="00D641E0" w:rsidR="00F036E3">
        <w:t xml:space="preserve">(filed </w:t>
      </w:r>
      <w:r w:rsidR="00F036E3">
        <w:t>Apr</w:t>
      </w:r>
      <w:r w:rsidRPr="00D641E0" w:rsidR="00F036E3">
        <w:t xml:space="preserve">. </w:t>
      </w:r>
      <w:r w:rsidR="00F036E3">
        <w:t>3</w:t>
      </w:r>
      <w:r w:rsidRPr="00D641E0" w:rsidR="00F036E3">
        <w:t>, 2018) (pr</w:t>
      </w:r>
      <w:r w:rsidR="00F036E3">
        <w:t>oviding</w:t>
      </w:r>
      <w:r w:rsidRPr="00EC2F04" w:rsidR="00F036E3">
        <w:t xml:space="preserve"> </w:t>
      </w:r>
      <w:r w:rsidR="00F036E3">
        <w:t>the City of Edinburg concurrence).</w:t>
      </w:r>
    </w:p>
  </w:footnote>
  <w:footnote w:id="18">
    <w:p w:rsidR="003E0F95" w:rsidRPr="00C64ADC" w:rsidP="00C64ADC">
      <w:pPr>
        <w:pStyle w:val="FootnoteText"/>
        <w:spacing w:after="120"/>
        <w:rPr>
          <w:b/>
        </w:rPr>
      </w:pPr>
      <w:r>
        <w:rPr>
          <w:rStyle w:val="FootnoteReference"/>
        </w:rPr>
        <w:footnoteRef/>
      </w:r>
      <w:r>
        <w:t xml:space="preserve"> </w:t>
      </w:r>
      <w:r w:rsidRPr="00C64ADC" w:rsidR="00480CB9">
        <w:rPr>
          <w:i/>
        </w:rPr>
        <w:t xml:space="preserve">See </w:t>
      </w:r>
      <w:r w:rsidRPr="00C64ADC" w:rsidR="00B32C97">
        <w:t>Seventh Supplement to Sprint Waiver Modification Request for Additional Portions of San Antonio – Texas NPSPAC Region 53, ULS File Nos. 0007885836, 0007885843, and 0007885851</w:t>
      </w:r>
      <w:r w:rsidRPr="00C64ADC" w:rsidR="00B32C97">
        <w:t xml:space="preserve"> </w:t>
      </w:r>
      <w:r w:rsidRPr="00C64ADC" w:rsidR="00B32C97">
        <w:t>(filed Apr.</w:t>
      </w:r>
      <w:r w:rsidR="00BF7763">
        <w:t xml:space="preserve"> </w:t>
      </w:r>
      <w:r w:rsidRPr="00C64ADC" w:rsidR="00B32C97">
        <w:t>3, 2018)</w:t>
      </w:r>
      <w:r w:rsidRPr="00C64ADC" w:rsidR="007C73B8">
        <w:t xml:space="preserve">.  </w:t>
      </w:r>
      <w:r w:rsidRPr="00C64ADC" w:rsidR="00480CB9">
        <w:t>We note that Sprint erred in including Harlingen CISD and the City of McAllen, as both are non-NPSPAC public safety entities.  The Texas – San Antonio NPSPAC licensees are listed in Attachment C</w:t>
      </w:r>
      <w:r w:rsidRPr="00C64ADC" w:rsidR="00F036E3">
        <w:rPr>
          <w:b/>
        </w:rPr>
        <w:t>.</w:t>
      </w:r>
    </w:p>
  </w:footnote>
  <w:footnote w:id="19">
    <w:p w:rsidR="002A743C" w:rsidRPr="00EC2F04" w:rsidP="000E09A1">
      <w:pPr>
        <w:pStyle w:val="FootnoteText"/>
        <w:spacing w:after="120"/>
      </w:pPr>
      <w:r w:rsidRPr="00EC2F04">
        <w:rPr>
          <w:rStyle w:val="FootnoteReference"/>
        </w:rPr>
        <w:footnoteRef/>
      </w:r>
      <w:r w:rsidRPr="00EC2F04">
        <w:t xml:space="preserve"> 47 </w:t>
      </w:r>
      <w:r>
        <w:t>CFR</w:t>
      </w:r>
      <w:r w:rsidRPr="00EC2F04">
        <w:t xml:space="preserve"> § 1.925.</w:t>
      </w:r>
    </w:p>
  </w:footnote>
  <w:footnote w:id="20">
    <w:p w:rsidR="002A743C" w:rsidRPr="00EC2F04" w:rsidP="000E09A1">
      <w:pPr>
        <w:pStyle w:val="FootnoteText"/>
        <w:spacing w:after="120"/>
        <w:rPr>
          <w:i/>
        </w:rPr>
      </w:pPr>
      <w:r w:rsidRPr="00EC2F04">
        <w:rPr>
          <w:rStyle w:val="FootnoteReference"/>
        </w:rPr>
        <w:footnoteRef/>
      </w:r>
      <w:r w:rsidRPr="00EC2F04">
        <w:t xml:space="preserve"> </w:t>
      </w:r>
      <w:r w:rsidRPr="00EC2F04">
        <w:rPr>
          <w:i/>
        </w:rPr>
        <w:t>See 800 MHz Wideband Order</w:t>
      </w:r>
      <w:r>
        <w:rPr>
          <w:i/>
        </w:rPr>
        <w:t xml:space="preserve">, </w:t>
      </w:r>
      <w:r>
        <w:t xml:space="preserve">27 FCC </w:t>
      </w:r>
      <w:r>
        <w:t>Rcd</w:t>
      </w:r>
      <w:r>
        <w:t xml:space="preserve"> at 6495, para. </w:t>
      </w:r>
      <w:r w:rsidRPr="00EC2F04">
        <w:t>14.</w:t>
      </w:r>
    </w:p>
  </w:footnote>
  <w:footnote w:id="21">
    <w:p w:rsidR="002A743C" w:rsidP="000E09A1">
      <w:pPr>
        <w:pStyle w:val="FootnoteText"/>
        <w:spacing w:after="120"/>
      </w:pPr>
      <w:r w:rsidRPr="00A069AD">
        <w:rPr>
          <w:rStyle w:val="FootnoteReference"/>
        </w:rPr>
        <w:footnoteRef/>
      </w:r>
      <w:r w:rsidRPr="00A069AD">
        <w:t xml:space="preserve"> </w:t>
      </w:r>
      <w:r>
        <w:rPr>
          <w:i/>
        </w:rPr>
        <w:t xml:space="preserve">See, e.g., Sprint Corporation Request for Waiver to Permit 800 MHz Wideband Operations in Portions of Arizona Prior to Completion of 800 MHz Band Reconfiguration in the Entire NPSPAC Region, </w:t>
      </w:r>
      <w:r>
        <w:t xml:space="preserve">Letter Order, 32 FCC </w:t>
      </w:r>
      <w:r>
        <w:t>Rcd</w:t>
      </w:r>
      <w:r>
        <w:t xml:space="preserve"> 1365 (WTB MD 2017)</w:t>
      </w:r>
      <w:r w:rsidRPr="00A069AD">
        <w:t>.</w:t>
      </w:r>
      <w:r>
        <w:t xml:space="preserve">  </w:t>
      </w:r>
    </w:p>
  </w:footnote>
  <w:footnote w:id="22">
    <w:p w:rsidR="002A743C" w:rsidP="000E09A1">
      <w:pPr>
        <w:pStyle w:val="FootnoteText"/>
        <w:spacing w:after="120"/>
      </w:pPr>
      <w:r>
        <w:rPr>
          <w:rStyle w:val="FootnoteReference"/>
        </w:rPr>
        <w:footnoteRef/>
      </w:r>
      <w:r>
        <w:t xml:space="preserve"> </w:t>
      </w:r>
      <w:r w:rsidRPr="00EC2F04">
        <w:rPr>
          <w:i/>
        </w:rPr>
        <w:t xml:space="preserve">See </w:t>
      </w:r>
      <w:r w:rsidRPr="00EC2F04">
        <w:t xml:space="preserve">47 </w:t>
      </w:r>
      <w:r>
        <w:t>CFR</w:t>
      </w:r>
      <w:r w:rsidRPr="00EC2F04">
        <w:t xml:space="preserve"> §§ 90.672, 90.673, 90.674 and 90.675.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43C" w:rsidRPr="00E45EF5" w:rsidP="008D61BA">
    <w:pPr>
      <w:pStyle w:val="Header"/>
      <w:tabs>
        <w:tab w:val="clear" w:pos="8640"/>
        <w:tab w:val="right" w:pos="9360"/>
      </w:tabs>
    </w:pPr>
    <w:r w:rsidRPr="00E45EF5">
      <w:t>James B. Goldstein</w:t>
    </w:r>
  </w:p>
  <w:p w:rsidR="002A743C" w:rsidRPr="00E45EF5" w:rsidP="008D61BA">
    <w:pPr>
      <w:pStyle w:val="Header"/>
      <w:tabs>
        <w:tab w:val="clear" w:pos="8640"/>
        <w:tab w:val="right" w:pos="9360"/>
      </w:tabs>
      <w:rPr>
        <w:szCs w:val="24"/>
      </w:rPr>
    </w:pPr>
    <w:r>
      <w:rPr>
        <w:szCs w:val="24"/>
      </w:rPr>
      <w:t>May 24, 2018</w:t>
    </w:r>
  </w:p>
  <w:p w:rsidR="002A743C" w:rsidRPr="00E45EF5" w:rsidP="008D61BA">
    <w:pPr>
      <w:pStyle w:val="Header"/>
      <w:tabs>
        <w:tab w:val="clear" w:pos="8640"/>
        <w:tab w:val="right" w:pos="9360"/>
      </w:tabs>
    </w:pPr>
    <w:r w:rsidRPr="00E45EF5">
      <w:t xml:space="preserve">Page </w:t>
    </w:r>
    <w:r w:rsidRPr="00E45EF5">
      <w:fldChar w:fldCharType="begin"/>
    </w:r>
    <w:r w:rsidRPr="00E45EF5">
      <w:instrText xml:space="preserve"> PAGE   \* MERGEFORMAT </w:instrText>
    </w:r>
    <w:r w:rsidRPr="00E45EF5">
      <w:fldChar w:fldCharType="separate"/>
    </w:r>
    <w:r w:rsidR="0092420B">
      <w:rPr>
        <w:noProof/>
      </w:rPr>
      <w:t>5</w:t>
    </w:r>
    <w:r w:rsidRPr="00E45EF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43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8657901" r:id="rId2"/>
      </w:pict>
    </w:r>
    <w:r>
      <w:rPr>
        <w:rFonts w:ascii="CG Times (W1)" w:hAnsi="CG Times (W1)"/>
        <w:sz w:val="28"/>
      </w:rPr>
      <w:t>Federal Communications Commission</w:t>
    </w:r>
  </w:p>
  <w:p w:rsidR="002A743C">
    <w:pPr>
      <w:jc w:val="center"/>
    </w:pPr>
    <w:r>
      <w:rPr>
        <w:rFonts w:ascii="CG Times (W1)" w:hAnsi="CG Times (W1)"/>
        <w:sz w:val="28"/>
      </w:rPr>
      <w:t>Washington, D.C. 20554</w:t>
    </w:r>
  </w:p>
  <w:p w:rsidR="002A743C">
    <w:pPr>
      <w:pStyle w:val="Header"/>
      <w:tabs>
        <w:tab w:val="clear" w:pos="4320"/>
      </w:tabs>
      <w:jc w:val="center"/>
      <w:rPr>
        <w:sz w:val="22"/>
      </w:rPr>
    </w:pPr>
  </w:p>
  <w:p w:rsidR="002A743C">
    <w:pPr>
      <w:pStyle w:val="Header"/>
      <w:tabs>
        <w:tab w:val="clear" w:pos="4320"/>
      </w:tabs>
      <w:jc w:val="center"/>
      <w:rPr>
        <w:sz w:val="22"/>
      </w:rPr>
    </w:pPr>
  </w:p>
  <w:p w:rsidR="002A743C">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Pr>
        <w:sz w:val="24"/>
      </w:rPr>
      <w:t>May 24, 2018</w:t>
    </w:r>
    <w:r>
      <w:rPr>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43C" w:rsidP="00631BFF">
    <w:pPr>
      <w:pStyle w:val="Header"/>
      <w:tabs>
        <w:tab w:val="clear" w:pos="432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E17D69"/>
    <w:multiLevelType w:val="hybridMultilevel"/>
    <w:tmpl w:val="D6ECBCD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6535F3"/>
  </w:style>
  <w:style w:type="character" w:customStyle="1" w:styleId="FootnoteTextChar">
    <w:name w:val="Footnote Text Char"/>
    <w:basedOn w:val="DefaultParagraphFont"/>
    <w:link w:val="FootnoteText"/>
    <w:uiPriority w:val="99"/>
    <w:semiHidden/>
    <w:rsid w:val="006535F3"/>
  </w:style>
  <w:style w:type="character" w:styleId="FootnoteReference">
    <w:name w:val="footnote reference"/>
    <w:aliases w:val="(NECG) Footnote Reference,Appel note de bas de p,FR,Footnote Reference/,Style 12,Style 124,Style 13,Style 17,Style 3,Style 6,fr,o"/>
    <w:rsid w:val="006535F3"/>
    <w:rPr>
      <w:vertAlign w:val="superscript"/>
    </w:rPr>
  </w:style>
  <w:style w:type="paragraph" w:customStyle="1" w:styleId="ParaNum">
    <w:name w:val="ParaNum"/>
    <w:basedOn w:val="Normal"/>
    <w:link w:val="ParaNumChar"/>
    <w:rsid w:val="00BB3CEF"/>
    <w:pPr>
      <w:widowControl w:val="0"/>
      <w:numPr>
        <w:numId w:val="1"/>
      </w:numPr>
      <w:tabs>
        <w:tab w:val="left" w:pos="1440"/>
      </w:tabs>
      <w:spacing w:after="220"/>
      <w:jc w:val="both"/>
    </w:pPr>
    <w:rPr>
      <w:sz w:val="22"/>
    </w:rPr>
  </w:style>
  <w:style w:type="character" w:customStyle="1" w:styleId="ParaNumChar">
    <w:name w:val="ParaNum Char"/>
    <w:link w:val="ParaNum"/>
    <w:rsid w:val="00BB3CEF"/>
    <w:rPr>
      <w:sz w:val="22"/>
    </w:rPr>
  </w:style>
  <w:style w:type="paragraph" w:styleId="ListParagraph">
    <w:name w:val="List Paragraph"/>
    <w:basedOn w:val="Normal"/>
    <w:uiPriority w:val="34"/>
    <w:qFormat/>
    <w:rsid w:val="00DA392E"/>
    <w:pPr>
      <w:ind w:left="720"/>
    </w:pPr>
  </w:style>
  <w:style w:type="paragraph" w:styleId="BalloonText">
    <w:name w:val="Balloon Text"/>
    <w:basedOn w:val="Normal"/>
    <w:link w:val="BalloonTextChar"/>
    <w:uiPriority w:val="99"/>
    <w:semiHidden/>
    <w:unhideWhenUsed/>
    <w:rsid w:val="00F172F2"/>
    <w:rPr>
      <w:rFonts w:ascii="Segoe UI" w:hAnsi="Segoe UI" w:cs="Segoe UI"/>
      <w:sz w:val="18"/>
      <w:szCs w:val="18"/>
    </w:rPr>
  </w:style>
  <w:style w:type="character" w:customStyle="1" w:styleId="BalloonTextChar">
    <w:name w:val="Balloon Text Char"/>
    <w:link w:val="BalloonText"/>
    <w:uiPriority w:val="99"/>
    <w:semiHidden/>
    <w:rsid w:val="00F172F2"/>
    <w:rPr>
      <w:rFonts w:ascii="Segoe UI" w:hAnsi="Segoe UI" w:cs="Segoe UI"/>
      <w:sz w:val="18"/>
      <w:szCs w:val="18"/>
    </w:rPr>
  </w:style>
  <w:style w:type="character" w:customStyle="1" w:styleId="HeaderChar">
    <w:name w:val="Header Char"/>
    <w:link w:val="Header"/>
    <w:uiPriority w:val="99"/>
    <w:locked/>
    <w:rsid w:val="008D61BA"/>
  </w:style>
  <w:style w:type="table" w:styleId="TableGrid">
    <w:name w:val="Table Grid"/>
    <w:basedOn w:val="TableNormal"/>
    <w:uiPriority w:val="59"/>
    <w:rsid w:val="00E4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