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Pr>
                <w:spacing w:val="-2"/>
              </w:rPr>
              <w:t>Protecting Against National Security Threats to the Communications Supply Chain Through FCC Programs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1F2CEF">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t>WC Docket No. 18-89</w:t>
            </w:r>
          </w:p>
        </w:tc>
      </w:tr>
    </w:tbl>
    <w:p w:rsidR="004C2EE3" w:rsidP="0070224F"/>
    <w:p w:rsidR="00841AB1" w:rsidP="00F021FA">
      <w:pPr>
        <w:pStyle w:val="StyleBoldCentered"/>
      </w:pPr>
      <w:r>
        <w:t>Protective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F2CEF">
        <w:rPr>
          <w:b/>
          <w:spacing w:val="-2"/>
        </w:rPr>
        <w:t>May 23,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2CEF">
        <w:rPr>
          <w:b/>
          <w:spacing w:val="-2"/>
        </w:rPr>
        <w:t>May 23, 2018</w:t>
      </w:r>
    </w:p>
    <w:p w:rsidR="00822CE0"/>
    <w:p w:rsidR="004C2EE3">
      <w:pPr>
        <w:rPr>
          <w:spacing w:val="-2"/>
        </w:rPr>
      </w:pPr>
      <w:r>
        <w:t xml:space="preserve">By </w:t>
      </w:r>
      <w:r w:rsidR="004E4A22">
        <w:t>the</w:t>
      </w:r>
      <w:r w:rsidR="002A2D2E">
        <w:t xml:space="preserve"> </w:t>
      </w:r>
      <w:r w:rsidR="001F2CEF">
        <w:rPr>
          <w:spacing w:val="-2"/>
        </w:rPr>
        <w:t>Chief, Wireline Competition Bureau</w:t>
      </w:r>
      <w:r>
        <w:rPr>
          <w:spacing w:val="-2"/>
        </w:rPr>
        <w:t>:</w:t>
      </w:r>
    </w:p>
    <w:p w:rsidR="00412FC5" w:rsidP="00412FC5"/>
    <w:p w:rsidR="001F2CEF" w:rsidRPr="00492BD3" w:rsidP="001F2CEF">
      <w:pPr>
        <w:pStyle w:val="ParaNum"/>
        <w:numPr>
          <w:ilvl w:val="0"/>
          <w:numId w:val="9"/>
        </w:numPr>
        <w:tabs>
          <w:tab w:val="clear" w:pos="1080"/>
          <w:tab w:val="num" w:pos="1440"/>
        </w:tabs>
      </w:pPr>
      <w:r>
        <w:t>The Wireline Competition Bureau (Bureau) of the Federal Communications Commission (Commission) adopts the following Protective Order in connection with our rulemaking, which seeks comment on a rule to prohibit, going forward, the use of universal service support to purchase equipment or services from any communications equipment or service providers identified as posing a national security risk to communications networks or the communications supply chain.</w:t>
      </w:r>
      <w:r>
        <w:rPr>
          <w:rStyle w:val="FootnoteReference"/>
        </w:rPr>
        <w:footnoteReference w:id="3"/>
      </w:r>
      <w:r>
        <w:t xml:space="preserve">  </w:t>
      </w:r>
      <w:r w:rsidRPr="00492BD3">
        <w:t>In this Protective Order, we set forth procedures to (i) limit access to proprietary or confidential information that 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submitted </w:t>
      </w:r>
      <w:r>
        <w:t>in WC Docket No. 18-89 c</w:t>
      </w:r>
      <w:r w:rsidRPr="00492BD3">
        <w:t>onstitute</w:t>
      </w:r>
      <w:r>
        <w:t>s</w:t>
      </w:r>
      <w:r w:rsidRPr="00492BD3">
        <w:t xml:space="preserve"> the record on which the Commission must base </w:t>
      </w:r>
      <w:r>
        <w:t>any</w:t>
      </w:r>
      <w:r w:rsidRPr="00492BD3">
        <w:t xml:space="preserve"> determination</w:t>
      </w:r>
      <w:r>
        <w:t>s in this proceeding</w:t>
      </w:r>
      <w:r w:rsidRPr="00492BD3">
        <w: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4"/>
      </w:r>
      <w:r w:rsidRPr="00492BD3">
        <w:t xml:space="preserve">  </w:t>
      </w:r>
      <w:bookmarkStart w:id="0" w:name="_Ref287958855"/>
    </w:p>
    <w:p w:rsidR="001F2CEF" w:rsidRPr="001106B2" w:rsidP="001F2CEF">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0"/>
    </w:p>
    <w:p w:rsidR="001F2CEF" w:rsidRPr="001106B2" w:rsidP="001F2CEF">
      <w:pPr>
        <w:snapToGrid w:val="0"/>
        <w:spacing w:after="120" w:line="259" w:lineRule="auto"/>
        <w:ind w:firstLine="720"/>
      </w:pPr>
      <w:r w:rsidRPr="001106B2">
        <w:t>“Acknowledgment” means the Acknowledgment of Confidentiality attached as Appendix B hereto.</w:t>
      </w:r>
    </w:p>
    <w:p w:rsidR="001F2CEF" w:rsidRPr="001106B2" w:rsidP="001F2CEF">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1F2CEF" w:rsidRPr="001106B2" w:rsidP="001F2CEF">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rsidR="001F2CEF" w:rsidRPr="001106B2" w:rsidP="001F2CEF">
      <w:pPr>
        <w:widowControl/>
        <w:snapToGrid w:val="0"/>
        <w:spacing w:after="120" w:line="259" w:lineRule="auto"/>
        <w:ind w:firstLine="720"/>
      </w:pPr>
      <w:r w:rsidRPr="001106B2">
        <w:t>“Counsel” means In-House Counsel and Outside Counsel of Record.</w:t>
      </w:r>
    </w:p>
    <w:p w:rsidR="001F2CEF" w:rsidRPr="001106B2" w:rsidP="001F2CEF">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1F2CEF" w:rsidRPr="001106B2" w:rsidP="001F2CEF">
      <w:pPr>
        <w:widowControl/>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Pr="001106B2">
        <w:t>.</w:t>
      </w:r>
    </w:p>
    <w:p w:rsidR="001F2CEF" w:rsidRPr="001106B2" w:rsidP="001F2CEF">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1F2CEF" w:rsidRPr="001106B2" w:rsidP="001F2CEF">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w:t>
      </w:r>
      <w:r w:rsidRPr="001106B2">
        <w:rPr>
          <w:color w:val="000000"/>
        </w:rPr>
        <w:t xml:space="preserve">, as the </w:t>
      </w:r>
      <w:r w:rsidRPr="001106B2">
        <w:rPr>
          <w:rStyle w:val="StyleParaNum11ptCharCharCharCharCharCharCharCharCharCharCharCharChar"/>
          <w:rFonts w:ascii="Times New Roman" w:hAnsi="Times New Roman"/>
        </w:rPr>
        <w:t>case</w:t>
      </w:r>
      <w:r w:rsidRPr="001106B2">
        <w:rPr>
          <w:color w:val="000000"/>
        </w:rPr>
        <w:t xml:space="preserve"> may be, retained</w:t>
      </w:r>
      <w:r w:rsidRPr="001106B2">
        <w:rPr>
          <w:color w:val="000000"/>
        </w:rPr>
        <w:t xml:space="preserve">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1F2CEF" w:rsidRPr="001106B2" w:rsidP="001F2CEF">
      <w:pPr>
        <w:snapToGrid w:val="0"/>
        <w:spacing w:after="120" w:line="259" w:lineRule="auto"/>
        <w:ind w:firstLine="720"/>
      </w:pPr>
      <w:r w:rsidRPr="001106B2">
        <w:t xml:space="preserve">“Outside Consultant” means a consultant or expert retained </w:t>
      </w:r>
      <w:r w:rsidRPr="001106B2">
        <w:t>for the purpose of</w:t>
      </w:r>
      <w:r w:rsidRPr="001106B2">
        <w:t xml:space="preserve">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1F2CEF" w:rsidRPr="001106B2" w:rsidP="001F2CEF">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1F2CEF" w:rsidRPr="001106B2" w:rsidP="001F2CEF">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1F2CEF" w:rsidRPr="001106B2" w:rsidP="001F2CEF">
      <w:pPr>
        <w:snapToGrid w:val="0"/>
        <w:spacing w:after="120" w:line="259" w:lineRule="auto"/>
        <w:ind w:firstLine="720"/>
      </w:pPr>
      <w:r w:rsidRPr="001106B2">
        <w:t>“Redacted Confidential Document” means a copy of a Stamped Confidential Document where the Confidential Information has been redacted.</w:t>
      </w:r>
    </w:p>
    <w:p w:rsidR="001F2CEF" w:rsidRPr="001106B2" w:rsidP="001F2CEF">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1F2CEF" w:rsidRPr="001106B2" w:rsidP="001F2CEF">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1F2CEF" w:rsidRPr="001106B2" w:rsidP="001F2CEF">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DOCKET</w:t>
      </w:r>
      <w:r w:rsidRPr="001106B2">
        <w:rPr>
          <w:caps/>
        </w:rPr>
        <w:t xml:space="preserve"> No</w:t>
      </w:r>
      <w:r>
        <w:rPr>
          <w:rStyle w:val="StyleParaNum11ptCharCharCharCharCharCharCharCharCharCharCharCharChar"/>
          <w:rFonts w:ascii="Times New Roman" w:hAnsi="Times New Roman"/>
        </w:rPr>
        <w:t>. 18-89</w:t>
      </w:r>
      <w:r w:rsidRPr="001106B2">
        <w:t xml:space="preserve"> </w:t>
      </w:r>
      <w:r w:rsidRPr="001106B2">
        <w:rPr>
          <w:rStyle w:val="StyleParaNum11ptCharCharCharCharCharCharCharCharCharCharCharCharChar"/>
          <w:rFonts w:ascii="Times New Roman" w:hAnsi="Times New Roman"/>
        </w:rPr>
        <w:t xml:space="preserve">BEFORE THE </w:t>
      </w:r>
      <w:r w:rsidRPr="001106B2">
        <w:rPr>
          <w:rStyle w:val="StyleParaNum11ptCharCharCharCharCharCharCharCharCharCharCharCharChar"/>
          <w:rFonts w:ascii="Times New Roman" w:hAnsi="Times New Roman"/>
        </w:rPr>
        <w:t xml:space="preserve">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Pr>
          <w:rStyle w:val="FootnoteReference"/>
        </w:rPr>
        <w:footnoteReference w:id="5"/>
      </w:r>
      <w:r w:rsidRPr="001106B2">
        <w:rPr>
          <w:rStyle w:val="StyleParaNum11ptCharCharCharCharCharCharCharCharCharCharCharCharChar"/>
          <w:rFonts w:ascii="Times New Roman" w:hAnsi="Times New Roman"/>
        </w:rPr>
        <w:t xml:space="preserve"> that any such document is not entitled to confidential treatment.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Confidential Document,” a Submitting Party signifies and represents that it contains Confidential Information.  </w:t>
      </w:r>
    </w:p>
    <w:p w:rsidR="001F2CEF" w:rsidRPr="001106B2" w:rsidP="001F2CEF">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w:t>
      </w:r>
      <w:r w:rsidRPr="001106B2">
        <w:rPr>
          <w:caps/>
        </w:rPr>
        <w:t>Docket No</w:t>
      </w:r>
      <w:r>
        <w:rPr>
          <w:rStyle w:val="StyleParaNum11ptCharCharCharCharCharCharCharCharCharCharCharCharChar"/>
          <w:rFonts w:ascii="Times New Roman" w:hAnsi="Times New Roman"/>
        </w:rPr>
        <w:t>. 18-89</w:t>
      </w:r>
      <w:r w:rsidRPr="001106B2">
        <w:rPr>
          <w:rStyle w:val="StyleParaNum11ptCharCharCharCharCharCharCharCharCharCharCharCharChar"/>
          <w:rFonts w:ascii="Times New Roman" w:hAnsi="Times New Roman"/>
        </w:rPr>
        <w:t xml:space="preserve"> 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 xml:space="preserve">ections 0.459 or 0.461 of its rules, that any such document is not entitled to highly confidential treatment.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1F2CEF" w:rsidRPr="001106B2" w:rsidP="001F2CEF">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1F2CEF" w:rsidRPr="001106B2" w:rsidP="001F2CEF">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1F2CEF" w:rsidRPr="001106B2" w:rsidP="001F2CEF">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1F2CEF" w:rsidRPr="001106B2" w:rsidP="001F2CEF">
      <w:pPr>
        <w:pStyle w:val="ParaNum"/>
      </w:pPr>
      <w:bookmarkStart w:id="1" w:name="_Ref287958858"/>
      <w:r w:rsidRPr="001106B2">
        <w:rPr>
          <w:i/>
        </w:rPr>
        <w:t>Designation of Information as Highly Confidential.</w:t>
      </w:r>
      <w:r w:rsidRPr="001106B2">
        <w:t xml:space="preserve">  </w:t>
      </w:r>
      <w:bookmarkEnd w:id="1"/>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w:t>
      </w:r>
      <w:r w:rsidRPr="001106B2">
        <w:t>particular documents</w:t>
      </w:r>
      <w:r w:rsidRPr="001106B2">
        <w:t xml:space="preserve">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6"/>
      </w:r>
      <w:r w:rsidRPr="001106B2">
        <w:t xml:space="preserve">   </w:t>
      </w:r>
    </w:p>
    <w:p w:rsidR="001F2CEF" w:rsidRPr="001106B2" w:rsidP="001F2CEF">
      <w:pPr>
        <w:pStyle w:val="ParaNum"/>
      </w:pPr>
      <w:bookmarkStart w:id="2"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w:t>
      </w:r>
      <w:r w:rsidRPr="001106B2">
        <w:rPr>
          <w:szCs w:val="22"/>
        </w:rPr>
        <w:t>has been acted upon.</w:t>
      </w:r>
      <w:r>
        <w:rPr>
          <w:szCs w:val="22"/>
          <w:vertAlign w:val="superscript"/>
        </w:rPr>
        <w:footnoteReference w:id="7"/>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8"/>
      </w:r>
      <w:bookmarkEnd w:id="2"/>
      <w:r w:rsidRPr="001106B2">
        <w:t xml:space="preserve">  </w:t>
      </w:r>
    </w:p>
    <w:p w:rsidR="001F2CEF" w:rsidRPr="001106B2" w:rsidP="001F2CEF">
      <w:pPr>
        <w:pStyle w:val="ParaNum"/>
      </w:pPr>
      <w:bookmarkStart w:id="3"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WC DOCKET NO. 18-89 BEFORE THE FEDERAL </w:t>
      </w:r>
      <w:r w:rsidRPr="001106B2">
        <w:t>COMMUNICATIONS COMMISSION” or “HIGHLY CONFIDENTIAL INFORMATION – SUBJECT TO PROTECTI</w:t>
      </w:r>
      <w:r>
        <w:t>VE ORDER IN WC DOCKET NO. 18-89</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9"/>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two copies of each Stamped Confidential Document and Stamped Highly Confidential Document and the accompanying cover letter shall be delivered, as directed by Commission staff, </w:t>
      </w:r>
      <w:r w:rsidRPr="007E2872">
        <w:t>to</w:t>
      </w:r>
      <w:r w:rsidRPr="007E2872">
        <w:rPr>
          <w:szCs w:val="22"/>
        </w:rPr>
        <w:t xml:space="preserve"> </w:t>
      </w:r>
      <w:r>
        <w:rPr>
          <w:szCs w:val="22"/>
        </w:rPr>
        <w:t>John Visclosky</w:t>
      </w:r>
      <w:r w:rsidRPr="007E2872">
        <w:rPr>
          <w:szCs w:val="22"/>
        </w:rPr>
        <w:t xml:space="preserve">, </w:t>
      </w:r>
      <w:r>
        <w:rPr>
          <w:szCs w:val="22"/>
        </w:rPr>
        <w:t>John</w:t>
      </w:r>
      <w:r w:rsidRPr="007E2872">
        <w:rPr>
          <w:szCs w:val="22"/>
        </w:rPr>
        <w:t>.</w:t>
      </w:r>
      <w:r>
        <w:rPr>
          <w:szCs w:val="22"/>
        </w:rPr>
        <w:t>Visclosky</w:t>
      </w:r>
      <w:r w:rsidRPr="007E2872">
        <w:rPr>
          <w:szCs w:val="22"/>
        </w:rPr>
        <w:t>@fcc.gov</w:t>
      </w:r>
      <w:r w:rsidRPr="007E2872">
        <w:t>, (202) 418-</w:t>
      </w:r>
      <w:r>
        <w:t>0825</w:t>
      </w:r>
      <w:r w:rsidRPr="007E2872">
        <w:t xml:space="preserve">, </w:t>
      </w:r>
      <w:r>
        <w:t>Wireline Competition Bureau</w:t>
      </w:r>
      <w:r w:rsidRPr="007E2872">
        <w:t>, Federal</w:t>
      </w:r>
      <w:r w:rsidRPr="001106B2">
        <w:t xml:space="preserve"> Communications Commission, 445 12</w:t>
      </w:r>
      <w:r w:rsidRPr="001106B2">
        <w:rPr>
          <w:vertAlign w:val="superscript"/>
        </w:rPr>
        <w:t>th</w:t>
      </w:r>
      <w:r>
        <w:t xml:space="preserve"> Street, S.W., Room 5-C111</w:t>
      </w:r>
      <w:r w:rsidRPr="001106B2">
        <w:t>, Washington, D.C. 20554</w:t>
      </w:r>
      <w:r>
        <w:t>.</w:t>
      </w:r>
      <w:r w:rsidRPr="001106B2">
        <w:rPr>
          <w:rStyle w:val="StyleParaNum11ptCharCharCharCharCharCharCharCharCharCharCharCharChar"/>
          <w:rFonts w:ascii="Times New Roman" w:hAnsi="Times New Roman"/>
          <w:szCs w:val="22"/>
        </w:rPr>
        <w:t xml:space="preserve">  </w:t>
      </w:r>
      <w:r w:rsidRPr="001106B2">
        <w:t> </w:t>
      </w:r>
    </w:p>
    <w:p w:rsidR="001F2CEF" w:rsidRPr="001106B2" w:rsidP="001F2CEF">
      <w:pPr>
        <w:pStyle w:val="ParaNum"/>
      </w:pPr>
      <w:bookmarkStart w:id="4" w:name="_Ref424658924"/>
      <w:r w:rsidRPr="001106B2">
        <w:rPr>
          <w:i/>
        </w:rPr>
        <w:t>Copying Sensitive Documents</w:t>
      </w:r>
      <w:r w:rsidRPr="001106B2">
        <w:t xml:space="preserve">.  </w:t>
      </w:r>
      <w:bookmarkEnd w:id="3"/>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rsidR="001F2CEF" w:rsidRPr="001106B2" w:rsidP="001F2CEF">
      <w:pPr>
        <w:pStyle w:val="ParaNum"/>
        <w:rPr>
          <w:szCs w:val="22"/>
        </w:rPr>
      </w:pPr>
      <w:bookmarkStart w:id="5" w:name="_Ref287447223"/>
      <w:bookmarkStart w:id="6" w:name="_Ref379362673"/>
      <w:bookmarkStart w:id="7" w:name="_Ref133212377"/>
      <w:bookmarkStart w:id="8"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5"/>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w:t>
      </w:r>
      <w:r w:rsidRPr="001106B2">
        <w:t xml:space="preserve">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w:t>
      </w:r>
      <w:r w:rsidRPr="001106B2">
        <w:t>time period</w:t>
      </w:r>
      <w:r w:rsidRPr="001106B2">
        <w:t xml:space="preserve"> stated above.  </w:t>
      </w:r>
    </w:p>
    <w:p w:rsidR="001F2CEF" w:rsidRPr="001106B2" w:rsidP="001F2CEF">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10"/>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Cs w:val="22"/>
        </w:rPr>
        <w:footnoteReference w:id="11"/>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  </w:t>
      </w:r>
    </w:p>
    <w:p w:rsidR="001F2CEF" w:rsidRPr="001106B2" w:rsidP="001F2CEF">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t>21</w:t>
      </w:r>
      <w:r w:rsidRPr="001106B2">
        <w:fldChar w:fldCharType="end"/>
      </w:r>
      <w:r w:rsidRPr="001106B2">
        <w:t>.</w:t>
      </w:r>
      <w:bookmarkEnd w:id="8"/>
    </w:p>
    <w:p w:rsidR="001F2CEF" w:rsidRPr="001106B2" w:rsidP="001F2CEF">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proceedings at the Commission are complete.  The original disk or other storage medium shall be stored securely and a record kept of any persons given access to it.</w:t>
      </w:r>
      <w:bookmarkEnd w:id="10"/>
      <w:r w:rsidRPr="001106B2">
        <w:t xml:space="preserve">  </w:t>
      </w:r>
      <w:bookmarkEnd w:id="11"/>
    </w:p>
    <w:p w:rsidR="001F2CEF" w:rsidRPr="001106B2" w:rsidP="001F2CEF">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rely upon or otherwise </w:t>
      </w:r>
      <w:r w:rsidRPr="001106B2">
        <w:t>make reference</w:t>
      </w:r>
      <w:r w:rsidRPr="001106B2">
        <w:t xml:space="preserv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1F2CEF" w:rsidRPr="001106B2" w:rsidP="001F2CEF">
      <w:pPr>
        <w:pStyle w:val="ParaNum"/>
      </w:pPr>
      <w:bookmarkStart w:id="13"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and Highly Confidential Information may be disclosed to employees and Counsel of the Third-Party Interest Holder.  </w:t>
      </w:r>
      <w:bookmarkEnd w:id="13"/>
      <w:r w:rsidRPr="001106B2">
        <w:rPr>
          <w:rStyle w:val="StyleParaNum11ptCharCharCharCharCharCharCharCharCharCharCharCharChar"/>
          <w:rFonts w:ascii="Times New Roman" w:hAnsi="Times New Roman"/>
        </w:rPr>
        <w:t xml:space="preserve">  </w:t>
      </w:r>
    </w:p>
    <w:p w:rsidR="001F2CEF" w:rsidRPr="001106B2" w:rsidP="001F2CEF">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ubject to Protective Order in WC</w:t>
      </w:r>
      <w:r w:rsidRPr="001106B2">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DOCKET NO. 18-89</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ve Order in WC DOCKET NO. 18-89</w:t>
      </w:r>
      <w:r w:rsidRPr="001106B2">
        <w:rPr>
          <w:rStyle w:val="StyleParaNum11ptCharCharCharCharCharCharCharCharCharCharCharCharChar"/>
          <w:rFonts w:ascii="Times New Roman" w:hAnsi="Times New Roman"/>
        </w:rPr>
        <w:t xml:space="preserve"> BEFORE THE FEDERAL </w:t>
      </w:r>
      <w:r w:rsidRPr="001106B2">
        <w:rPr>
          <w:rStyle w:val="StyleParaNum11ptCharCharCharCharCharCharCharCharCharCharCharCharChar"/>
          <w:rFonts w:ascii="Times New Roman" w:hAnsi="Times New Roman"/>
        </w:rPr>
        <w:t xml:space="preserve">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via ECFS.</w:t>
      </w:r>
      <w:r>
        <w:rPr>
          <w:rStyle w:val="FootnoteReference"/>
          <w:szCs w:val="22"/>
        </w:rPr>
        <w:footnoteReference w:id="12"/>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Pr>
          <w:szCs w:val="22"/>
        </w:rPr>
        <w:t>John Visclosky</w:t>
      </w:r>
      <w:r w:rsidRPr="007E2872">
        <w:rPr>
          <w:szCs w:val="22"/>
        </w:rPr>
        <w:t xml:space="preserve">, </w:t>
      </w:r>
      <w:r>
        <w:rPr>
          <w:szCs w:val="22"/>
        </w:rPr>
        <w:t>John</w:t>
      </w:r>
      <w:r w:rsidRPr="007E2872">
        <w:rPr>
          <w:szCs w:val="22"/>
        </w:rPr>
        <w:t>.</w:t>
      </w:r>
      <w:r>
        <w:rPr>
          <w:szCs w:val="22"/>
        </w:rPr>
        <w:t>Visclosky</w:t>
      </w:r>
      <w:r w:rsidRPr="007E2872">
        <w:rPr>
          <w:szCs w:val="22"/>
        </w:rPr>
        <w:t>@fcc.gov</w:t>
      </w:r>
      <w:r w:rsidRPr="007E2872">
        <w:t>, (202) 418-</w:t>
      </w:r>
      <w:r>
        <w:t>0825</w:t>
      </w:r>
      <w:r w:rsidRPr="007E2872">
        <w:t xml:space="preserve">, </w:t>
      </w:r>
      <w:r>
        <w:t>Wireline Competition Bureau</w:t>
      </w:r>
      <w:r w:rsidRPr="007E2872">
        <w:t>, Federal</w:t>
      </w:r>
      <w:r w:rsidRPr="001106B2">
        <w:t xml:space="preserve"> Communications Commission, 445 12</w:t>
      </w:r>
      <w:r w:rsidRPr="001106B2">
        <w:rPr>
          <w:vertAlign w:val="superscript"/>
        </w:rPr>
        <w:t>th</w:t>
      </w:r>
      <w:r>
        <w:t xml:space="preserve"> Street, S.W., Room 5-C111</w:t>
      </w:r>
      <w:r w:rsidRPr="001106B2">
        <w:t>, Washington, D.C. 20554</w:t>
      </w:r>
      <w:r>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4"/>
    </w:p>
    <w:p w:rsidR="001F2CEF" w:rsidRPr="001106B2" w:rsidP="001F2CE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1F2CEF" w:rsidRPr="001106B2" w:rsidP="001F2CE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1F2CEF" w:rsidRPr="001106B2" w:rsidP="001F2CEF">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3"/>
      </w:r>
    </w:p>
    <w:p w:rsidR="001F2CEF" w:rsidRPr="001106B2" w:rsidP="001F2CEF">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1F2CEF" w:rsidRPr="001106B2" w:rsidP="001F2CEF">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w:t>
      </w:r>
      <w:r w:rsidRPr="001106B2">
        <w:t>:  (</w:t>
      </w:r>
      <w:r w:rsidRPr="001106B2">
        <w:t xml:space="preserve">1) not to assert any such waiver; (2) not to use Confidential or Highly Confidential Information to seek disclosure in any other proceeding; and (3) that accidental disclosure of Confidential or Highly Confidential Information by a Submitting </w:t>
      </w:r>
      <w:r w:rsidRPr="001106B2">
        <w:t>Party to a Reviewing Party shall not be deemed a waiver of any privilege or entitlement provided that the Submitting Party takes prompt remedial action.</w:t>
      </w:r>
    </w:p>
    <w:p w:rsidR="001F2CEF" w:rsidRPr="001106B2" w:rsidP="001F2CE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1F2CEF" w:rsidRPr="001106B2" w:rsidP="001F2CE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1F2CEF" w:rsidRPr="001106B2" w:rsidP="001F2CEF">
      <w:pPr>
        <w:pStyle w:val="ParaNum"/>
      </w:pPr>
      <w:bookmarkStart w:id="16" w:name="_Ref379362621"/>
      <w:r w:rsidRPr="001106B2">
        <w:rPr>
          <w:i/>
          <w:iCs/>
        </w:rPr>
        <w:t>Termination of Proceeding</w:t>
      </w:r>
      <w:r w:rsidRPr="001106B2">
        <w:t xml:space="preserve">.  The provisions of this Protective Order shall not terminate </w:t>
      </w:r>
      <w:r w:rsidRPr="001106B2">
        <w:t>at the conclusion of</w:t>
      </w:r>
      <w:r w:rsidRPr="001106B2">
        <w:t xml:space="preserve">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1F2CEF" w:rsidP="001F2CEF">
      <w:pPr>
        <w:pStyle w:val="ParaNum"/>
      </w:pPr>
      <w:r w:rsidRPr="001106B2">
        <w:rPr>
          <w:i/>
          <w:iCs/>
        </w:rPr>
        <w:t>Questions</w:t>
      </w:r>
      <w:r w:rsidRPr="001106B2">
        <w:t xml:space="preserve">.  Questions concerning this Protective Order should be addressed to </w:t>
      </w:r>
      <w:r>
        <w:t>John Visclosky</w:t>
      </w:r>
      <w:r w:rsidRPr="001106B2">
        <w:t xml:space="preserve">, </w:t>
      </w:r>
      <w:r>
        <w:t>John</w:t>
      </w:r>
      <w:r w:rsidRPr="001106B2">
        <w:t>.</w:t>
      </w:r>
      <w:r>
        <w:t>Visclosky@fcc.gov, (202) 418-0825</w:t>
      </w:r>
      <w:r w:rsidRPr="001106B2">
        <w:t xml:space="preserve">, </w:t>
      </w:r>
      <w:r>
        <w:t>Competition Policy Division</w:t>
      </w:r>
      <w:r w:rsidRPr="001106B2">
        <w:t xml:space="preserve">, </w:t>
      </w:r>
      <w:r>
        <w:t>Wireline Competition Bureau</w:t>
      </w:r>
      <w:r w:rsidRPr="001106B2">
        <w:t>.</w:t>
      </w:r>
      <w:bookmarkEnd w:id="15"/>
    </w:p>
    <w:p w:rsidR="001F2CEF" w:rsidRPr="009F024F" w:rsidP="001F2CEF">
      <w:pPr>
        <w:pStyle w:val="ParaNum"/>
        <w:keepNext/>
        <w:keepLines/>
        <w:widowControl/>
      </w:pPr>
      <w:bookmarkStart w:id="17" w:name="_Hlk514763029"/>
      <w:r>
        <w:rPr>
          <w:i/>
          <w:iCs/>
        </w:rPr>
        <w:t>Authority</w:t>
      </w:r>
      <w:r w:rsidRPr="005E78C9">
        <w:t>.</w:t>
      </w:r>
      <w:r>
        <w:t xml:space="preserve">  The Bureau issues this Protective Order</w:t>
      </w:r>
      <w:r w:rsidRPr="009F024F">
        <w:t xml:space="preserve"> pursuant to sections 4(i),</w:t>
      </w:r>
      <w:r>
        <w:t xml:space="preserve"> 4(j),</w:t>
      </w:r>
      <w:r w:rsidRPr="009F024F">
        <w:t xml:space="preserve"> 201(b)</w:t>
      </w:r>
      <w:r>
        <w:t>,</w:t>
      </w:r>
      <w:r w:rsidRPr="009F024F">
        <w:t xml:space="preserve"> and 254 of the Communications Act of 1934, as amended, 47 U.S.C. §§ 154(i),</w:t>
      </w:r>
      <w:r>
        <w:t xml:space="preserve"> 154(j),</w:t>
      </w:r>
      <w:r w:rsidRPr="009F024F">
        <w:t xml:space="preserve"> 201(b)</w:t>
      </w:r>
      <w:r>
        <w:t>,</w:t>
      </w:r>
      <w:r w:rsidRPr="009F024F">
        <w:t xml:space="preserve"> and 254, Section 4 of the Freedom of Information Act, 5 U.S.C. § 552(b)(4), and authority delegated under section</w:t>
      </w:r>
      <w:r>
        <w:t>s 0.91 and</w:t>
      </w:r>
      <w:r w:rsidRPr="009F024F">
        <w:t xml:space="preserve"> 0.291 </w:t>
      </w:r>
      <w:r>
        <w:t>of the Commission’s rules, 47 CFR</w:t>
      </w:r>
      <w:r w:rsidRPr="009F024F">
        <w:t xml:space="preserve"> §§ </w:t>
      </w:r>
      <w:r>
        <w:t>0.91, and</w:t>
      </w:r>
      <w:r w:rsidRPr="009F024F">
        <w:t> 0.291, and is effective upon its adoption.</w:t>
      </w:r>
    </w:p>
    <w:p w:rsidR="001F2CEF" w:rsidP="001F2CEF">
      <w:pPr>
        <w:keepNext/>
        <w:keepLines/>
        <w:widowControl/>
      </w:pPr>
      <w:bookmarkEnd w:id="17"/>
    </w:p>
    <w:p w:rsidR="001F2CEF" w:rsidP="001F2CEF">
      <w:pPr>
        <w:keepNext/>
        <w:keepLines/>
        <w:widowControl/>
      </w:pPr>
      <w:r>
        <w:tab/>
      </w:r>
      <w:r>
        <w:tab/>
      </w:r>
      <w:r>
        <w:tab/>
      </w:r>
      <w:r>
        <w:tab/>
      </w:r>
      <w:r>
        <w:tab/>
      </w:r>
      <w:r>
        <w:tab/>
        <w:t>FEDERAL COMMUNICATIONS COMMISSION</w:t>
      </w:r>
    </w:p>
    <w:p w:rsidR="001F2CEF" w:rsidP="001F2CEF">
      <w:pPr>
        <w:keepNext/>
        <w:keepLines/>
        <w:widowControl/>
      </w:pPr>
    </w:p>
    <w:p w:rsidR="001F2CEF" w:rsidP="001F2CEF">
      <w:pPr>
        <w:keepNext/>
        <w:keepLines/>
        <w:widowControl/>
      </w:pPr>
    </w:p>
    <w:p w:rsidR="001F2CEF" w:rsidP="001F2CEF">
      <w:pPr>
        <w:keepNext/>
        <w:keepLines/>
        <w:widowControl/>
      </w:pPr>
    </w:p>
    <w:p w:rsidR="001F2CEF" w:rsidP="001F2CEF">
      <w:pPr>
        <w:keepNext/>
        <w:keepLines/>
        <w:widowControl/>
      </w:pPr>
    </w:p>
    <w:p w:rsidR="001F2CEF" w:rsidP="001F2CEF">
      <w:pPr>
        <w:keepNext/>
        <w:keepLines/>
        <w:widowControl/>
      </w:pPr>
      <w:r>
        <w:tab/>
      </w:r>
      <w:r>
        <w:tab/>
      </w:r>
      <w:r>
        <w:tab/>
      </w:r>
      <w:r>
        <w:tab/>
      </w:r>
      <w:r>
        <w:tab/>
      </w:r>
      <w:r>
        <w:tab/>
        <w:t xml:space="preserve">Kris Anne Monteith </w:t>
      </w:r>
    </w:p>
    <w:p w:rsidR="001F2CEF" w:rsidP="001F2CEF">
      <w:pPr>
        <w:keepNext/>
        <w:keepLines/>
        <w:widowControl/>
      </w:pPr>
      <w:r>
        <w:tab/>
      </w:r>
      <w:r>
        <w:tab/>
      </w:r>
      <w:r>
        <w:tab/>
      </w:r>
      <w:r>
        <w:tab/>
      </w:r>
      <w:r>
        <w:tab/>
      </w:r>
      <w:r>
        <w:tab/>
        <w:t>Chief</w:t>
      </w:r>
    </w:p>
    <w:p w:rsidR="001F2CEF" w:rsidP="001F2CEF">
      <w:pPr>
        <w:keepNext/>
        <w:keepLines/>
        <w:widowControl/>
        <w:ind w:left="3600" w:firstLine="720"/>
      </w:pPr>
      <w:r>
        <w:t>Wireline Competition Bureau</w:t>
      </w:r>
    </w:p>
    <w:p w:rsidR="001F2CEF" w:rsidP="001F2CEF">
      <w:pPr>
        <w:snapToGrid w:val="0"/>
        <w:sectPr w:rsidSect="009A396A">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docGrid w:linePitch="299"/>
        </w:sectPr>
      </w:pPr>
    </w:p>
    <w:p w:rsidR="001F2CEF" w:rsidRPr="001106B2" w:rsidP="001F2CEF">
      <w:pPr>
        <w:snapToGrid w:val="0"/>
        <w:spacing w:after="120"/>
        <w:jc w:val="center"/>
        <w:rPr>
          <w:b/>
          <w:bCs/>
        </w:rPr>
      </w:pPr>
      <w:r w:rsidRPr="001106B2">
        <w:rPr>
          <w:b/>
          <w:bCs/>
        </w:rPr>
        <w:t>APPENDIX A</w:t>
      </w:r>
    </w:p>
    <w:p w:rsidR="001F2CEF" w:rsidRPr="001106B2" w:rsidP="001F2CEF">
      <w:pPr>
        <w:snapToGrid w:val="0"/>
        <w:spacing w:after="120"/>
        <w:jc w:val="center"/>
        <w:rPr>
          <w:b/>
          <w:bCs/>
        </w:rPr>
      </w:pPr>
      <w:r w:rsidRPr="001106B2">
        <w:rPr>
          <w:b/>
          <w:bCs/>
        </w:rPr>
        <w:t>Highly Confidential Information and Documents</w:t>
      </w:r>
    </w:p>
    <w:p w:rsidR="001F2CEF" w:rsidRPr="001106B2" w:rsidP="001F2CEF">
      <w:pPr>
        <w:snapToGrid w:val="0"/>
        <w:spacing w:after="120"/>
        <w:rPr>
          <w:b/>
          <w:bCs/>
        </w:rPr>
      </w:pPr>
    </w:p>
    <w:p w:rsidR="001F2CEF" w:rsidRPr="001106B2" w:rsidP="001F2CEF">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bookmarkStart w:id="18" w:name="_GoBack"/>
      <w:bookmarkEnd w:id="18"/>
    </w:p>
    <w:p w:rsidR="001F2CEF" w:rsidP="001F2CEF">
      <w:pPr>
        <w:numPr>
          <w:ilvl w:val="0"/>
          <w:numId w:val="8"/>
        </w:numPr>
        <w:snapToGrid w:val="0"/>
        <w:spacing w:after="120"/>
      </w:pPr>
      <w:r w:rsidRPr="001106B2">
        <w:t xml:space="preserve">Information that discloses </w:t>
      </w:r>
      <w:r>
        <w:t>details regarding</w:t>
      </w:r>
      <w:r w:rsidRPr="001106B2">
        <w:t xml:space="preserve"> </w:t>
      </w:r>
      <w:r>
        <w:t xml:space="preserve">the </w:t>
      </w:r>
      <w:r w:rsidRPr="001106B2">
        <w:t xml:space="preserve">identity or characteristics of </w:t>
      </w:r>
      <w:r>
        <w:t xml:space="preserve">a Submitting Party’s </w:t>
      </w:r>
      <w:r w:rsidRPr="001106B2">
        <w:t>specific</w:t>
      </w:r>
      <w:r>
        <w:t xml:space="preserve"> equipment (including components), services purchased, and/or suppliers of such equipment or services,</w:t>
      </w:r>
      <w:r w:rsidRPr="001106B2">
        <w:t xml:space="preserve"> including</w:t>
      </w:r>
      <w:r>
        <w:t xml:space="preserve"> but not limited to:</w:t>
      </w:r>
    </w:p>
    <w:p w:rsidR="001F2CEF" w:rsidP="001F2CEF">
      <w:pPr>
        <w:numPr>
          <w:ilvl w:val="1"/>
          <w:numId w:val="8"/>
        </w:numPr>
        <w:snapToGrid w:val="0"/>
        <w:spacing w:after="120"/>
      </w:pPr>
      <w:r>
        <w:t>Information detailing suppliers’ service or product agreements or copies of such agreements; and</w:t>
      </w:r>
    </w:p>
    <w:p w:rsidR="001F2CEF" w:rsidP="001F2CEF">
      <w:pPr>
        <w:numPr>
          <w:ilvl w:val="1"/>
          <w:numId w:val="8"/>
        </w:numPr>
        <w:snapToGrid w:val="0"/>
        <w:spacing w:after="120"/>
      </w:pPr>
      <w:r>
        <w:t>I</w:t>
      </w:r>
      <w:r w:rsidRPr="001106B2">
        <w:t>nformation</w:t>
      </w:r>
      <w:r>
        <w:t xml:space="preserve"> regarding the specific type, cost, and quantity of equipment and/or services that the Submitting Party receives from specific suppliers</w:t>
      </w:r>
      <w:r w:rsidRPr="00A641F4">
        <w:t>, including information regarding suppliers broken down by geographic area or by type of services and/or equipment provided.</w:t>
      </w:r>
    </w:p>
    <w:p w:rsidR="001F2CEF" w:rsidRPr="00A21B51" w:rsidP="001F2CEF">
      <w:pPr>
        <w:numPr>
          <w:ilvl w:val="0"/>
          <w:numId w:val="8"/>
        </w:numPr>
        <w:snapToGrid w:val="0"/>
        <w:spacing w:after="120"/>
      </w:pPr>
      <w:r w:rsidRPr="00A21B51">
        <w:t xml:space="preserve">Information that provides specific details regarding the Submitting Party’s negotiations with suppliers, current and previously-existing contracts between the Submitting Party and suppliers, </w:t>
      </w:r>
      <w:r>
        <w:t>and/</w:t>
      </w:r>
      <w:r w:rsidRPr="00A21B51">
        <w:t>or the Submitting Party’s procurement procedures.</w:t>
      </w:r>
    </w:p>
    <w:p w:rsidR="001F2CEF" w:rsidRPr="001106B2" w:rsidP="001F2CEF">
      <w:pPr>
        <w:numPr>
          <w:ilvl w:val="0"/>
          <w:numId w:val="8"/>
        </w:numPr>
        <w:snapToGrid w:val="0"/>
        <w:spacing w:after="120"/>
      </w:pPr>
      <w:r w:rsidRPr="001106B2">
        <w:t>Information that provides numbers of</w:t>
      </w:r>
      <w:r>
        <w:t xml:space="preserve"> </w:t>
      </w:r>
      <w:r w:rsidRPr="001106B2">
        <w:t>customers</w:t>
      </w:r>
      <w:r>
        <w:t>,</w:t>
      </w:r>
      <w:r w:rsidRPr="001106B2">
        <w:t xml:space="preserve"> and</w:t>
      </w:r>
      <w:r>
        <w:t xml:space="preserve">/or </w:t>
      </w:r>
      <w:r w:rsidRPr="001106B2">
        <w:t>revenues broken down by customer</w:t>
      </w:r>
      <w:r>
        <w:t xml:space="preserve"> </w:t>
      </w:r>
      <w:r w:rsidRPr="001106B2">
        <w:t>type (</w:t>
      </w:r>
      <w:r w:rsidRPr="00B22827">
        <w:t>e.g.,</w:t>
      </w:r>
      <w:r w:rsidRPr="001106B2">
        <w:t xml:space="preserve"> business) and</w:t>
      </w:r>
      <w:r>
        <w:t>/or</w:t>
      </w:r>
      <w:r w:rsidRPr="001106B2">
        <w:t xml:space="preserve"> zip code or market area (</w:t>
      </w:r>
      <w:r w:rsidRPr="00B22827">
        <w:t>e.g.,</w:t>
      </w:r>
      <w:r w:rsidRPr="001106B2">
        <w:t xml:space="preserve"> CMA/MSA/RSA, DMA, state, regional cluster).</w:t>
      </w:r>
      <w:r>
        <w:t xml:space="preserve">  </w:t>
      </w:r>
      <w:r w:rsidRPr="001106B2">
        <w:t>Information that provides granular information about a Submitting Party’s costs, revenues, marginal revenues, market share</w:t>
      </w:r>
      <w:r>
        <w:t xml:space="preserve">, </w:t>
      </w:r>
      <w:r w:rsidRPr="001106B2">
        <w:t>or customers.</w:t>
      </w:r>
    </w:p>
    <w:p w:rsidR="001F2CEF" w:rsidP="001F2CEF">
      <w:pPr>
        <w:numPr>
          <w:ilvl w:val="0"/>
          <w:numId w:val="8"/>
        </w:numPr>
        <w:snapToGrid w:val="0"/>
        <w:spacing w:after="120"/>
      </w:pPr>
      <w:r w:rsidRPr="001106B2">
        <w:t>Information that provides detailed or granular engineering capacity information or information about specific facilities</w:t>
      </w:r>
      <w:r>
        <w:t xml:space="preserve"> of a Submitting Party or its suppliers</w:t>
      </w:r>
      <w:r w:rsidRPr="001106B2">
        <w:t>, including collocation sites, cell sites, or maps of network facilities.</w:t>
      </w:r>
    </w:p>
    <w:p w:rsidR="001F2CEF" w:rsidP="001F2CEF">
      <w:pPr>
        <w:numPr>
          <w:ilvl w:val="0"/>
          <w:numId w:val="8"/>
        </w:numPr>
        <w:snapToGrid w:val="0"/>
        <w:spacing w:after="120"/>
      </w:pPr>
      <w:r w:rsidRPr="001106B2">
        <w:t>Information that provides detailed technical performance data and test results.</w:t>
      </w:r>
    </w:p>
    <w:p w:rsidR="001F2CEF" w:rsidRPr="00550DA9" w:rsidP="001F2CEF">
      <w:pPr>
        <w:numPr>
          <w:ilvl w:val="0"/>
          <w:numId w:val="8"/>
        </w:numPr>
        <w:snapToGrid w:val="0"/>
        <w:spacing w:after="120"/>
        <w:rPr>
          <w:bCs/>
        </w:rPr>
      </w:pPr>
      <w:r w:rsidRPr="001106B2">
        <w:t xml:space="preserve">Information that </w:t>
      </w:r>
      <w:r w:rsidRPr="001106B2">
        <w:rPr>
          <w:bCs/>
        </w:rPr>
        <w:t>discusses</w:t>
      </w:r>
      <w:r w:rsidRPr="001106B2">
        <w:t xml:space="preserve"> in detail current or </w:t>
      </w:r>
      <w:r w:rsidRPr="001106B2">
        <w:t>future plans</w:t>
      </w:r>
      <w:r w:rsidRPr="001106B2">
        <w:t xml:space="preserve"> to </w:t>
      </w:r>
      <w:r>
        <w:t>engage with a specific supplier</w:t>
      </w:r>
      <w:r w:rsidRPr="001106B2">
        <w:t xml:space="preserve">, including </w:t>
      </w:r>
      <w:r>
        <w:t xml:space="preserve">the identities of suppliers which the Submitting Party plans to engage, </w:t>
      </w:r>
      <w:r w:rsidRPr="001106B2">
        <w:t>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w:t>
      </w:r>
    </w:p>
    <w:p w:rsidR="001F2CEF" w:rsidRPr="001106B2" w:rsidP="001F2CEF">
      <w:pPr>
        <w:numPr>
          <w:ilvl w:val="0"/>
          <w:numId w:val="8"/>
        </w:numPr>
        <w:snapToGrid w:val="0"/>
        <w:spacing w:after="120"/>
        <w:rPr>
          <w:bCs/>
        </w:rPr>
      </w:pPr>
      <w:r>
        <w:t>Information that provides specific details about or information relating to the Submitting Party’s discussion and analysis of the potential impact that the availability, or lack thereof, of specific equipment or services would have on such Party’s business and operations.</w:t>
      </w:r>
    </w:p>
    <w:p w:rsidR="001F2CEF" w:rsidP="001F2CEF">
      <w:pPr>
        <w:snapToGrid w:val="0"/>
        <w:spacing w:after="120"/>
        <w:jc w:val="center"/>
        <w:rPr>
          <w:bCs/>
        </w:rPr>
      </w:pPr>
    </w:p>
    <w:p w:rsidR="001F2CEF" w:rsidRPr="001106B2" w:rsidP="001F2CEF">
      <w:pPr>
        <w:snapToGrid w:val="0"/>
        <w:spacing w:after="120"/>
        <w:jc w:val="center"/>
        <w:rPr>
          <w:bCs/>
        </w:rPr>
        <w:sectPr w:rsidSect="009A396A">
          <w:footerReference w:type="default" r:id="rId8"/>
          <w:headerReference w:type="first" r:id="rId9"/>
          <w:footerReference w:type="first" r:id="rId10"/>
          <w:pgSz w:w="12240" w:h="15840" w:code="1"/>
          <w:pgMar w:top="1440" w:right="1440" w:bottom="720" w:left="1440" w:header="720" w:footer="720" w:gutter="0"/>
          <w:cols w:space="720"/>
          <w:noEndnote/>
          <w:titlePg/>
        </w:sectPr>
      </w:pPr>
    </w:p>
    <w:p w:rsidR="001F2CEF" w:rsidRPr="001106B2" w:rsidP="001F2CEF">
      <w:pPr>
        <w:snapToGrid w:val="0"/>
        <w:spacing w:after="120"/>
        <w:jc w:val="center"/>
      </w:pPr>
      <w:r w:rsidRPr="001106B2">
        <w:rPr>
          <w:b/>
          <w:bCs/>
        </w:rPr>
        <w:t>APPENDIX B</w:t>
      </w:r>
    </w:p>
    <w:p w:rsidR="001F2CEF" w:rsidRPr="001106B2" w:rsidP="001F2CEF">
      <w:pPr>
        <w:snapToGrid w:val="0"/>
        <w:spacing w:after="120"/>
        <w:jc w:val="center"/>
        <w:rPr>
          <w:b/>
          <w:bCs/>
        </w:rPr>
      </w:pPr>
      <w:r w:rsidRPr="001106B2">
        <w:rPr>
          <w:b/>
          <w:bCs/>
        </w:rPr>
        <w:t>Acknowledgment of Confidentiality</w:t>
      </w:r>
    </w:p>
    <w:p w:rsidR="001F2CEF" w:rsidRPr="001106B2" w:rsidP="001F2CEF">
      <w:pPr>
        <w:snapToGrid w:val="0"/>
        <w:jc w:val="center"/>
      </w:pPr>
      <w:r>
        <w:rPr>
          <w:b/>
          <w:bCs/>
        </w:rPr>
        <w:t>WC Docket No. 18-89</w:t>
      </w:r>
    </w:p>
    <w:p w:rsidR="001F2CEF" w:rsidRPr="001106B2" w:rsidP="001F2CEF">
      <w:pPr>
        <w:snapToGrid w:val="0"/>
      </w:pPr>
      <w:r w:rsidRPr="001106B2">
        <w:t> </w:t>
      </w:r>
    </w:p>
    <w:p w:rsidR="001F2CEF" w:rsidRPr="001106B2" w:rsidP="001F2CEF">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1F2CEF" w:rsidRPr="001106B2" w:rsidP="001F2CEF">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1F2CEF" w:rsidRPr="001106B2" w:rsidP="001F2CEF">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1F2CEF" w:rsidRPr="001106B2" w:rsidP="001F2CEF">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F2CEF" w:rsidRPr="001106B2" w:rsidP="001F2CEF">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1F2CEF" w:rsidRPr="001106B2" w:rsidP="001F2CEF">
      <w:pPr>
        <w:snapToGrid w:val="0"/>
        <w:spacing w:after="120" w:line="259" w:lineRule="auto"/>
        <w:ind w:firstLine="720"/>
      </w:pPr>
      <w:r w:rsidRPr="001106B2">
        <w:t>I certify that I am not involved in Competitive Decision-Making.</w:t>
      </w:r>
    </w:p>
    <w:p w:rsidR="001F2CEF" w:rsidRPr="001106B2" w:rsidP="001F2CEF">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1F2CEF" w:rsidRPr="001106B2" w:rsidP="001F2CEF">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1F2CEF" w:rsidRPr="001106B2" w:rsidP="001F2CEF">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1F2CEF" w:rsidRPr="001106B2" w:rsidP="001F2CEF">
      <w:pPr>
        <w:snapToGrid w:val="0"/>
        <w:spacing w:after="120" w:line="259" w:lineRule="auto"/>
        <w:ind w:firstLine="720"/>
      </w:pPr>
      <w:r w:rsidRPr="001106B2">
        <w:t>Capitalized terms used herein and not otherwise defined shall have the meanings ascribed to them in the Protective Order. </w:t>
      </w:r>
    </w:p>
    <w:p w:rsidR="001F2CEF" w:rsidRPr="001106B2" w:rsidP="001F2CEF">
      <w:pPr>
        <w:snapToGrid w:val="0"/>
        <w:spacing w:after="120" w:line="200" w:lineRule="exact"/>
        <w:ind w:left="3600" w:firstLine="720"/>
      </w:pPr>
      <w:r w:rsidRPr="001106B2">
        <w:t>Executed this ___ day of _____________, 20__.</w:t>
      </w:r>
    </w:p>
    <w:p w:rsidR="001F2CEF" w:rsidRPr="001106B2" w:rsidP="001F2CEF">
      <w:pPr>
        <w:snapToGrid w:val="0"/>
        <w:spacing w:after="120" w:line="200" w:lineRule="exact"/>
      </w:pPr>
      <w:r w:rsidRPr="001106B2">
        <w:t> </w:t>
      </w:r>
    </w:p>
    <w:p w:rsidR="001F2CEF" w:rsidRPr="001106B2" w:rsidP="001F2CEF">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1F2CEF" w:rsidRPr="001106B2" w:rsidP="001F2CEF">
      <w:pPr>
        <w:snapToGrid w:val="0"/>
        <w:spacing w:line="200" w:lineRule="exact"/>
      </w:pPr>
      <w:r w:rsidRPr="001106B2">
        <w:tab/>
      </w:r>
      <w:r w:rsidRPr="001106B2">
        <w:tab/>
      </w:r>
      <w:r w:rsidRPr="001106B2">
        <w:tab/>
      </w:r>
      <w:r w:rsidRPr="001106B2">
        <w:tab/>
      </w:r>
      <w:r w:rsidRPr="001106B2">
        <w:tab/>
      </w:r>
      <w:r w:rsidRPr="001106B2">
        <w:tab/>
        <w:t>[Name]</w:t>
      </w:r>
    </w:p>
    <w:p w:rsidR="001F2CEF" w:rsidRPr="001106B2" w:rsidP="001F2CEF">
      <w:pPr>
        <w:snapToGrid w:val="0"/>
        <w:spacing w:line="200" w:lineRule="exact"/>
      </w:pPr>
      <w:r w:rsidRPr="001106B2">
        <w:tab/>
      </w:r>
      <w:r w:rsidRPr="001106B2">
        <w:tab/>
      </w:r>
      <w:r w:rsidRPr="001106B2">
        <w:tab/>
      </w:r>
      <w:r w:rsidRPr="001106B2">
        <w:tab/>
      </w:r>
      <w:r w:rsidRPr="001106B2">
        <w:tab/>
      </w:r>
      <w:r w:rsidRPr="001106B2">
        <w:tab/>
        <w:t>[Position]</w:t>
      </w:r>
    </w:p>
    <w:p w:rsidR="001F2CEF" w:rsidRPr="001106B2" w:rsidP="001F2CEF">
      <w:pPr>
        <w:snapToGrid w:val="0"/>
        <w:spacing w:line="200" w:lineRule="exact"/>
      </w:pPr>
      <w:r w:rsidRPr="001106B2">
        <w:tab/>
      </w:r>
      <w:r w:rsidRPr="001106B2">
        <w:tab/>
      </w:r>
      <w:r w:rsidRPr="001106B2">
        <w:tab/>
      </w:r>
      <w:r w:rsidRPr="001106B2">
        <w:tab/>
      </w:r>
      <w:r w:rsidRPr="001106B2">
        <w:tab/>
      </w:r>
      <w:r w:rsidRPr="001106B2">
        <w:tab/>
        <w:t>[Firm]</w:t>
      </w:r>
    </w:p>
    <w:p w:rsidR="001F2CEF" w:rsidRPr="001106B2" w:rsidP="001F2CEF">
      <w:pPr>
        <w:snapToGrid w:val="0"/>
        <w:spacing w:line="200" w:lineRule="exact"/>
        <w:ind w:left="3600" w:firstLine="720"/>
      </w:pPr>
      <w:r w:rsidRPr="001106B2">
        <w:t>[Telephone]</w:t>
      </w:r>
    </w:p>
    <w:p w:rsidR="001F2CEF" w:rsidRPr="002C00E8" w:rsidP="001F2CEF">
      <w:pPr>
        <w:snapToGrid w:val="0"/>
        <w:spacing w:line="200" w:lineRule="exact"/>
        <w:ind w:left="3600" w:firstLine="720"/>
      </w:pPr>
      <w:r w:rsidRPr="001106B2">
        <w:t>[Party]</w:t>
      </w:r>
      <w:r>
        <w:t xml:space="preserve"> </w:t>
      </w:r>
    </w:p>
    <w:p w:rsidR="002C00E8" w:rsidRPr="002C00E8" w:rsidP="001F2CEF"/>
    <w:sectPr w:rsidSect="001F2CEF">
      <w:headerReference w:type="default" r:id="rId11"/>
      <w:footerReference w:type="even" r:id="rId12"/>
      <w:footerReference w:type="default" r:id="rId13"/>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C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CEF" w:rsidP="00521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CEF">
    <w:pPr>
      <w:pStyle w:val="Footer"/>
      <w:jc w:val="center"/>
    </w:pPr>
    <w:r>
      <w:fldChar w:fldCharType="begin"/>
    </w:r>
    <w:r>
      <w:instrText xml:space="preserve"> PAGE   \* MERGEFORMAT </w:instrText>
    </w:r>
    <w:r>
      <w:fldChar w:fldCharType="separate"/>
    </w:r>
    <w:r w:rsidR="00B54123">
      <w:rPr>
        <w:noProof/>
      </w:rPr>
      <w:t>11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2CEF">
      <w:r>
        <w:separator/>
      </w:r>
    </w:p>
  </w:footnote>
  <w:footnote w:type="continuationSeparator" w:id="1">
    <w:p w:rsidR="001F2CEF" w:rsidP="00C721AC">
      <w:pPr>
        <w:spacing w:before="120"/>
        <w:rPr>
          <w:sz w:val="20"/>
        </w:rPr>
      </w:pPr>
      <w:r>
        <w:rPr>
          <w:sz w:val="20"/>
        </w:rPr>
        <w:t xml:space="preserve">(Continued from previous page)  </w:t>
      </w:r>
      <w:r>
        <w:rPr>
          <w:sz w:val="20"/>
        </w:rPr>
        <w:separator/>
      </w:r>
    </w:p>
  </w:footnote>
  <w:footnote w:type="continuationNotice" w:id="2">
    <w:p w:rsidR="001F2CEF" w:rsidP="00C721AC">
      <w:pPr>
        <w:jc w:val="right"/>
        <w:rPr>
          <w:sz w:val="20"/>
        </w:rPr>
      </w:pPr>
      <w:r>
        <w:rPr>
          <w:sz w:val="20"/>
        </w:rPr>
        <w:t>(continued….)</w:t>
      </w:r>
    </w:p>
  </w:footnote>
  <w:footnote w:id="3">
    <w:p w:rsidR="001F2CEF" w:rsidRPr="003C4E37" w:rsidP="001F2CEF">
      <w:pPr>
        <w:pStyle w:val="FootnoteText"/>
      </w:pPr>
      <w:r>
        <w:rPr>
          <w:rStyle w:val="FootnoteReference"/>
        </w:rPr>
        <w:footnoteRef/>
      </w:r>
      <w:r>
        <w:t xml:space="preserve"> </w:t>
      </w:r>
      <w:r>
        <w:rPr>
          <w:i/>
        </w:rPr>
        <w:t>See Protecting Against National Security Threats to the Communications Supply Chain Through FCC Programs</w:t>
      </w:r>
      <w:r>
        <w:t>, WC Docket No. 18-89, Notice of Proposed Rulemaking, FCC 18-42 at 1, para. 2 (2018).</w:t>
      </w:r>
    </w:p>
  </w:footnote>
  <w:footnote w:id="4">
    <w:p w:rsidR="001F2CEF" w:rsidRPr="001106B2" w:rsidP="001F2CEF">
      <w:pPr>
        <w:pStyle w:val="FootnoteText"/>
      </w:pPr>
      <w:r w:rsidRPr="001106B2">
        <w:rPr>
          <w:rStyle w:val="FootnoteReference"/>
        </w:rPr>
        <w:footnoteRef/>
      </w:r>
      <w:r w:rsidRPr="001106B2">
        <w:t xml:space="preserve"> 47 U.S.C. § 154(j).</w:t>
      </w:r>
    </w:p>
  </w:footnote>
  <w:footnote w:id="5">
    <w:p w:rsidR="001F2CEF" w:rsidRPr="001106B2" w:rsidP="001F2CEF">
      <w:pPr>
        <w:pStyle w:val="FootnoteText"/>
      </w:pPr>
      <w:r w:rsidRPr="001106B2">
        <w:rPr>
          <w:rStyle w:val="FootnoteReference"/>
        </w:rPr>
        <w:footnoteRef/>
      </w:r>
      <w:r w:rsidRPr="001106B2">
        <w:t xml:space="preserve"> </w:t>
      </w:r>
      <w:r w:rsidRPr="001106B2">
        <w:rPr>
          <w:snapToGrid w:val="0"/>
        </w:rPr>
        <w:t>47 CFR §§ 0.459, 0.461.</w:t>
      </w:r>
    </w:p>
  </w:footnote>
  <w:footnote w:id="6">
    <w:p w:rsidR="001F2CEF" w:rsidRPr="001106B2" w:rsidP="001F2CEF">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7">
    <w:p w:rsidR="001F2CEF" w:rsidRPr="001106B2" w:rsidP="001F2CEF">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8">
    <w:p w:rsidR="001F2CEF" w:rsidRPr="001106B2" w:rsidP="001F2CEF">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9">
    <w:p w:rsidR="001F2CEF" w:rsidRPr="001106B2" w:rsidP="001F2CEF">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0">
    <w:p w:rsidR="001F2CEF" w:rsidP="001F2CEF">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w:t>
      </w:r>
      <w:r w:rsidRPr="00C50B7B">
        <w:t>reques</w:t>
      </w:r>
      <w:r>
        <w:t>ts</w:t>
      </w:r>
      <w:r w:rsidRPr="00C50B7B">
        <w:t xml:space="preserve"> that certain information be entirely withheld from review by </w:t>
      </w:r>
      <w:r w:rsidRPr="00C50B7B">
        <w:rPr>
          <w:i/>
        </w:rPr>
        <w:t>any</w:t>
      </w:r>
      <w:r w:rsidRPr="00C50B7B">
        <w:t xml:space="preserve"> individual under the Protective Order, we will not require that the information at issue be disclosed under the Protective Order until the Commission resolves the objection, and if a timely motion for judicial stay is filed, until the court rules upon the stay motion.</w:t>
      </w:r>
      <w:r>
        <w:t xml:space="preserve">  </w:t>
      </w:r>
      <w:r w:rsidRPr="005E78C9">
        <w:rPr>
          <w:i/>
        </w:rPr>
        <w:t xml:space="preserve">See </w:t>
      </w:r>
      <w:bookmarkStart w:id="9" w:name="_Hlk514763078"/>
      <w:r>
        <w:rPr>
          <w:i/>
        </w:rPr>
        <w:t>CenturyLink, Inc. and Level 3 Communications</w:t>
      </w:r>
      <w:bookmarkEnd w:id="9"/>
      <w:r>
        <w:rPr>
          <w:i/>
        </w:rPr>
        <w:t>, Inc. Consolidated Applications for Consent to Transfer Control of Domestic and International Authorizations Pursuant to Section 214 of the Communications Act of 1934, As Amended</w:t>
      </w:r>
      <w:r>
        <w:t>, WC Docket No. 16-403, Protective Order, 32 FCC Rcd 519, 523, para. 8 n.7 (WCB 2017).</w:t>
      </w:r>
    </w:p>
    <w:p w:rsidR="001F2CEF" w:rsidRPr="001106B2" w:rsidP="001F2CEF">
      <w:pPr>
        <w:pStyle w:val="FootnoteText"/>
      </w:pPr>
      <w:r w:rsidRPr="00B76127">
        <w:t xml:space="preserve">Further, where information is Classified or national security considerations otherwise dictate, we may not place the information in the record or make it available for review, and, in any event, would permit review only by persons who have the appropriate security clearance.  </w:t>
      </w:r>
      <w:r w:rsidRPr="00B76127">
        <w:rPr>
          <w:i/>
        </w:rPr>
        <w:t>See</w:t>
      </w:r>
      <w:r w:rsidRPr="00B76127">
        <w:t xml:space="preserve"> 47 CFR § 1.1204 (describing </w:t>
      </w:r>
      <w:r w:rsidRPr="00B76127">
        <w:rPr>
          <w:i/>
        </w:rPr>
        <w:t xml:space="preserve">ex </w:t>
      </w:r>
      <w:r w:rsidRPr="00B76127">
        <w:rPr>
          <w:i/>
        </w:rPr>
        <w:t>parte</w:t>
      </w:r>
      <w:r w:rsidRPr="00B76127">
        <w:t xml:space="preserve"> presentations that are exempt from the general prohibition and disclosure requirements of the Commission’s rules); </w:t>
      </w:r>
      <w:r w:rsidRPr="00B76127">
        <w:rPr>
          <w:i/>
        </w:rPr>
        <w:t>Ralls Corp. v. Committee on Foreign Investment in the United States</w:t>
      </w:r>
      <w:r w:rsidRPr="00B76127">
        <w:t xml:space="preserve">, 758 F.3d </w:t>
      </w:r>
      <w:r>
        <w:t>296,</w:t>
      </w:r>
      <w:r w:rsidRPr="00B76127">
        <w:t xml:space="preserve"> 319</w:t>
      </w:r>
      <w:r>
        <w:t xml:space="preserve"> (D.C. Cir. 2014)</w:t>
      </w:r>
      <w:r w:rsidRPr="00B76127">
        <w:t xml:space="preserve"> (and cases cited therein) (due process does not require that classified material be made available for review).</w:t>
      </w:r>
      <w:r>
        <w:t xml:space="preserve"> </w:t>
      </w:r>
    </w:p>
  </w:footnote>
  <w:footnote w:id="11">
    <w:p w:rsidR="001F2CEF" w:rsidRPr="001106B2" w:rsidP="001F2CEF">
      <w:pPr>
        <w:pStyle w:val="FootnoteText"/>
      </w:pPr>
      <w:r w:rsidRPr="00C50B7B">
        <w:rPr>
          <w:rStyle w:val="FootnoteReference"/>
        </w:rPr>
        <w:footnoteRef/>
      </w:r>
      <w:r w:rsidRPr="00C50B7B">
        <w:t xml:space="preserve"> An objection ordinarily will first be ruled upon by the Wireline Competition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r w:rsidRPr="001106B2">
        <w:t xml:space="preserve">  </w:t>
      </w:r>
    </w:p>
  </w:footnote>
  <w:footnote w:id="12">
    <w:p w:rsidR="001F2CEF" w:rsidRPr="00693FDE" w:rsidP="001F2CEF">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3">
    <w:p w:rsidR="001F2CEF" w:rsidP="001F2CEF">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CEF" w:rsidRPr="0069679C" w:rsidP="00521484">
    <w:pPr>
      <w:pStyle w:val="Header"/>
    </w:pPr>
    <w:r>
      <w:rPr>
        <w:noProof/>
      </w:rPr>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tab/>
      <w:t xml:space="preserve">Federal </w:t>
    </w:r>
    <w:r w:rsidR="009F16C8">
      <w:t>Communications Commission</w:t>
    </w:r>
    <w:r w:rsidR="009F16C8">
      <w:tab/>
      <w:t>DA 18-</w:t>
    </w:r>
    <w:r w:rsidR="00B54123">
      <w:t>544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CEF" w:rsidRPr="0069679C" w:rsidP="00521484">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 xml:space="preserve">Federal </w:t>
    </w:r>
    <w:r w:rsidR="009F16C8">
      <w:t>Communications Commission</w:t>
    </w:r>
    <w:r w:rsidR="009F16C8">
      <w:tab/>
      <w:t>DA 18-544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CEF" w:rsidRPr="0069679C" w:rsidP="00521484">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 xml:space="preserve">Federal </w:t>
    </w:r>
    <w:r w:rsidR="00B54123">
      <w:t>Communications Commission</w:t>
    </w:r>
    <w:r w:rsidR="00B54123">
      <w:tab/>
      <w:t>DA 18-544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1F2CEF"/>
  </w:style>
  <w:style w:type="paragraph" w:customStyle="1" w:styleId="ParaNumChar">
    <w:name w:val="ParaNum Char"/>
    <w:basedOn w:val="Normal"/>
    <w:rsid w:val="001F2CEF"/>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F2CEF"/>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F2CEF"/>
    <w:rPr>
      <w:rFonts w:ascii="Calibri" w:hAnsi="Calibri"/>
      <w:kern w:val="28"/>
      <w:sz w:val="22"/>
    </w:rPr>
  </w:style>
  <w:style w:type="character" w:customStyle="1" w:styleId="FooterChar">
    <w:name w:val="Footer Char"/>
    <w:link w:val="Footer"/>
    <w:rsid w:val="001F2CEF"/>
    <w:rPr>
      <w:snapToGrid w:val="0"/>
      <w:kern w:val="28"/>
      <w:sz w:val="22"/>
    </w:rPr>
  </w:style>
  <w:style w:type="character" w:customStyle="1" w:styleId="HeaderChar">
    <w:name w:val="Header Char"/>
    <w:link w:val="Header"/>
    <w:rsid w:val="001F2CE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