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CD6EF6">
      <w:pPr>
        <w:pStyle w:val="Header"/>
        <w:tabs>
          <w:tab w:val="clear" w:pos="4320"/>
          <w:tab w:val="clear" w:pos="8640"/>
        </w:tabs>
        <w:sectPr w:rsidSect="00E21FFF">
          <w:footerReference w:type="default" r:id="rId5"/>
          <w:headerReference w:type="first" r:id="rId6"/>
          <w:footerReference w:type="first" r:id="rId7"/>
          <w:pgSz w:w="12240" w:h="15840" w:code="1"/>
          <w:pgMar w:top="720" w:right="1440" w:bottom="720" w:left="1440" w:header="720" w:footer="720" w:gutter="0"/>
          <w:cols w:space="720"/>
          <w:titlePg/>
        </w:sectPr>
      </w:pPr>
      <w:bookmarkStart w:id="0" w:name="_GoBack"/>
      <w:bookmarkEnd w:id="0"/>
    </w:p>
    <w:p w:rsidR="003778AA" w:rsidRPr="003778AA" w:rsidP="003778AA">
      <w:pPr>
        <w:tabs>
          <w:tab w:val="left" w:pos="5162"/>
          <w:tab w:val="right" w:pos="9360"/>
        </w:tabs>
        <w:spacing w:before="60"/>
        <w:jc w:val="right"/>
        <w:rPr>
          <w:b/>
        </w:rPr>
      </w:pPr>
      <w:r w:rsidRPr="003778AA">
        <w:rPr>
          <w:b/>
        </w:rPr>
        <w:t>DA 18-</w:t>
      </w:r>
      <w:r w:rsidR="009F685A">
        <w:rPr>
          <w:b/>
        </w:rPr>
        <w:t>550</w:t>
      </w:r>
    </w:p>
    <w:p w:rsidR="00602577" w:rsidRPr="003778AA" w:rsidP="003778AA">
      <w:pPr>
        <w:tabs>
          <w:tab w:val="left" w:pos="5162"/>
          <w:tab w:val="right" w:pos="9360"/>
        </w:tabs>
        <w:spacing w:before="60"/>
        <w:rPr>
          <w:b/>
        </w:rPr>
      </w:pPr>
      <w:r w:rsidRPr="00CD6EF6">
        <w:tab/>
      </w:r>
      <w:r w:rsidRPr="00CD6EF6">
        <w:tab/>
      </w:r>
      <w:r w:rsidR="003778AA">
        <w:rPr>
          <w:b/>
        </w:rPr>
        <w:t>May 25, 2018</w:t>
      </w:r>
    </w:p>
    <w:p w:rsidR="00602577" w:rsidRPr="00CD6EF6">
      <w:pPr>
        <w:jc w:val="right"/>
      </w:pPr>
    </w:p>
    <w:p w:rsidR="005E3FC7" w:rsidRPr="00CD6EF6">
      <w:pPr>
        <w:spacing w:after="240"/>
        <w:jc w:val="center"/>
        <w:rPr>
          <w:b/>
        </w:rPr>
      </w:pPr>
      <w:r w:rsidRPr="00CD6EF6">
        <w:rPr>
          <w:b/>
        </w:rPr>
        <w:t xml:space="preserve">WIRELSS TELECOMMUNICATIONS BUREAU ANNOUNCES CONVERSION OF </w:t>
      </w:r>
      <w:r w:rsidR="00943824">
        <w:rPr>
          <w:b/>
        </w:rPr>
        <w:t xml:space="preserve">INCUMBENT </w:t>
      </w:r>
      <w:r w:rsidRPr="00CD6EF6">
        <w:rPr>
          <w:b/>
        </w:rPr>
        <w:t>28</w:t>
      </w:r>
      <w:r w:rsidRPr="00CD6EF6" w:rsidR="008B394D">
        <w:rPr>
          <w:b/>
        </w:rPr>
        <w:t xml:space="preserve"> </w:t>
      </w:r>
      <w:r w:rsidRPr="00CD6EF6">
        <w:rPr>
          <w:b/>
        </w:rPr>
        <w:t>GHZ AND 39</w:t>
      </w:r>
      <w:r w:rsidRPr="00CD6EF6" w:rsidR="008B394D">
        <w:rPr>
          <w:b/>
        </w:rPr>
        <w:t xml:space="preserve"> </w:t>
      </w:r>
      <w:r w:rsidRPr="00CD6EF6">
        <w:rPr>
          <w:b/>
        </w:rPr>
        <w:t xml:space="preserve">GHZ LICENSES TO </w:t>
      </w:r>
      <w:r w:rsidRPr="00CD6EF6" w:rsidR="008B394D">
        <w:rPr>
          <w:b/>
        </w:rPr>
        <w:t xml:space="preserve">THE </w:t>
      </w:r>
      <w:r w:rsidR="00943824">
        <w:rPr>
          <w:b/>
        </w:rPr>
        <w:t xml:space="preserve">                                                         </w:t>
      </w:r>
      <w:r w:rsidRPr="00CD6EF6" w:rsidR="008B394D">
        <w:rPr>
          <w:b/>
        </w:rPr>
        <w:t>UPPER MICROWAVE FLEXIBLE USE SERVICE</w:t>
      </w:r>
    </w:p>
    <w:p w:rsidR="00602577" w:rsidRPr="00CD6EF6">
      <w:pPr>
        <w:spacing w:after="240"/>
        <w:jc w:val="center"/>
        <w:rPr>
          <w:b/>
        </w:rPr>
      </w:pPr>
      <w:r w:rsidRPr="00CD6EF6">
        <w:rPr>
          <w:b/>
          <w:i/>
        </w:rPr>
        <w:t>GN</w:t>
      </w:r>
      <w:r w:rsidRPr="00CD6EF6" w:rsidR="009B0E22">
        <w:rPr>
          <w:b/>
          <w:i/>
        </w:rPr>
        <w:t xml:space="preserve"> Docket No. 1</w:t>
      </w:r>
      <w:r w:rsidRPr="00CD6EF6">
        <w:rPr>
          <w:b/>
          <w:i/>
        </w:rPr>
        <w:t>4</w:t>
      </w:r>
      <w:r w:rsidRPr="00CD6EF6" w:rsidR="009B0E22">
        <w:rPr>
          <w:b/>
          <w:i/>
        </w:rPr>
        <w:t>-1</w:t>
      </w:r>
      <w:r w:rsidRPr="00CD6EF6">
        <w:rPr>
          <w:b/>
          <w:i/>
        </w:rPr>
        <w:t>77</w:t>
      </w:r>
    </w:p>
    <w:p w:rsidR="00381873" w:rsidRPr="00381873" w:rsidP="002C3CBC">
      <w:pPr>
        <w:spacing w:after="120"/>
      </w:pPr>
      <w:r w:rsidRPr="00CD6EF6">
        <w:tab/>
      </w:r>
      <w:r w:rsidRPr="00CD6EF6" w:rsidR="00143C22">
        <w:t xml:space="preserve">By this </w:t>
      </w:r>
      <w:r w:rsidRPr="00CD6EF6" w:rsidR="003020C1">
        <w:t>P</w:t>
      </w:r>
      <w:r w:rsidRPr="00CD6EF6" w:rsidR="00143C22">
        <w:t xml:space="preserve">ublic </w:t>
      </w:r>
      <w:r w:rsidRPr="00CD6EF6" w:rsidR="003020C1">
        <w:t>N</w:t>
      </w:r>
      <w:r w:rsidRPr="00CD6EF6" w:rsidR="00143C22">
        <w:t xml:space="preserve">otice, </w:t>
      </w:r>
      <w:r w:rsidRPr="00CD6EF6" w:rsidR="0015044B">
        <w:t xml:space="preserve">the </w:t>
      </w:r>
      <w:r w:rsidRPr="00CD6EF6" w:rsidR="00143C22">
        <w:t>Wireless Telecommunications</w:t>
      </w:r>
      <w:r w:rsidRPr="00CD6EF6" w:rsidR="00E51762">
        <w:t xml:space="preserve"> </w:t>
      </w:r>
      <w:r w:rsidRPr="00CD6EF6" w:rsidR="0015044B">
        <w:t>Bureau (Bureau</w:t>
      </w:r>
      <w:r w:rsidRPr="00CD6EF6" w:rsidR="00143C22">
        <w:t>) announce</w:t>
      </w:r>
      <w:r w:rsidRPr="00CD6EF6" w:rsidR="0015044B">
        <w:t xml:space="preserve">s that </w:t>
      </w:r>
      <w:r w:rsidRPr="00CD6EF6" w:rsidR="000D05EF">
        <w:t xml:space="preserve">incumbent </w:t>
      </w:r>
      <w:r w:rsidR="00F350C0">
        <w:t xml:space="preserve">licenses </w:t>
      </w:r>
      <w:r w:rsidR="00020462">
        <w:t xml:space="preserve">and leases </w:t>
      </w:r>
      <w:r w:rsidR="00F350C0">
        <w:t xml:space="preserve">in the </w:t>
      </w:r>
      <w:r w:rsidRPr="00CD6EF6" w:rsidR="0015044B">
        <w:t>28</w:t>
      </w:r>
      <w:r w:rsidR="00B013AA">
        <w:t xml:space="preserve"> </w:t>
      </w:r>
      <w:r w:rsidRPr="00CD6EF6" w:rsidR="0015044B">
        <w:t xml:space="preserve">GHz </w:t>
      </w:r>
      <w:r w:rsidR="00F350C0">
        <w:t xml:space="preserve">band </w:t>
      </w:r>
      <w:r w:rsidRPr="00CD6EF6" w:rsidR="00264224">
        <w:t>(27.5 – 28.35 GHz)</w:t>
      </w:r>
      <w:r w:rsidR="00264224">
        <w:t xml:space="preserve"> </w:t>
      </w:r>
      <w:r w:rsidRPr="005E5160" w:rsidR="000D05EF">
        <w:t>have been converted</w:t>
      </w:r>
      <w:r w:rsidRPr="00CD6EF6" w:rsidR="000D05EF">
        <w:t xml:space="preserve"> to </w:t>
      </w:r>
      <w:r w:rsidRPr="00CD6EF6" w:rsidR="008B394D">
        <w:t>the Upper Microwave Flexible Use Service (UMFUS)</w:t>
      </w:r>
      <w:r w:rsidRPr="00CD6EF6" w:rsidR="000D05EF">
        <w:t xml:space="preserve"> in</w:t>
      </w:r>
      <w:r w:rsidRPr="00CD6EF6" w:rsidR="0015044B">
        <w:t xml:space="preserve"> the Universal Licensing System (ULS).  </w:t>
      </w:r>
      <w:r w:rsidR="004E7441">
        <w:t>For administrative efficiency, i</w:t>
      </w:r>
      <w:r w:rsidR="005E5160">
        <w:t xml:space="preserve">ncumbent licenses </w:t>
      </w:r>
      <w:r w:rsidR="00020462">
        <w:t xml:space="preserve">and leases </w:t>
      </w:r>
      <w:r w:rsidR="005E5160">
        <w:t>in</w:t>
      </w:r>
      <w:r w:rsidRPr="005E5160" w:rsidR="005E5160">
        <w:t xml:space="preserve"> the 39 GHz band (38.6 – 40.0 GHz)</w:t>
      </w:r>
      <w:r w:rsidR="004E7441">
        <w:t xml:space="preserve"> also have been converted in ULS to the geographic areas defined for UMFUS in that band.</w:t>
      </w:r>
      <w:r>
        <w:t xml:space="preserve">  </w:t>
      </w:r>
      <w:r w:rsidRPr="00381873">
        <w:t>We encourag</w:t>
      </w:r>
      <w:r w:rsidRPr="00381873">
        <w:t>e licensees to review new</w:t>
      </w:r>
      <w:r w:rsidR="00020462">
        <w:t>ly-converted</w:t>
      </w:r>
      <w:r w:rsidRPr="00381873">
        <w:t xml:space="preserve"> UMFUS licenses and leases to ensure that they properly reflect the spectrum </w:t>
      </w:r>
      <w:r w:rsidR="00020462">
        <w:t xml:space="preserve">frequencies </w:t>
      </w:r>
      <w:r w:rsidRPr="00381873">
        <w:t xml:space="preserve">and market areas previously authorized under either the </w:t>
      </w:r>
      <w:r w:rsidRPr="001873DB" w:rsidR="001873DB">
        <w:t>Local Multipoint Distribution Service (LMDS)</w:t>
      </w:r>
      <w:r w:rsidRPr="00381873">
        <w:t xml:space="preserve"> or 39 GHz licenses</w:t>
      </w:r>
      <w:r w:rsidR="00074BF6">
        <w:t>.</w:t>
      </w:r>
      <w:r w:rsidRPr="00381873">
        <w:t xml:space="preserve"> </w:t>
      </w:r>
      <w:r w:rsidR="0098115A">
        <w:t xml:space="preserve"> </w:t>
      </w:r>
      <w:r w:rsidR="00074BF6">
        <w:t>L</w:t>
      </w:r>
      <w:r w:rsidR="00C67EEF">
        <w:t xml:space="preserve">icensees </w:t>
      </w:r>
      <w:r w:rsidR="00656A44">
        <w:t xml:space="preserve">should </w:t>
      </w:r>
      <w:r w:rsidRPr="00381873">
        <w:t>report any discrepancies</w:t>
      </w:r>
      <w:r w:rsidR="00C67EEF">
        <w:t xml:space="preserve"> to the contacts provided below</w:t>
      </w:r>
      <w:r w:rsidRPr="00381873">
        <w:t>.</w:t>
      </w:r>
    </w:p>
    <w:p w:rsidR="0015044B" w:rsidRPr="00CD6EF6" w:rsidP="002C3CBC">
      <w:pPr>
        <w:spacing w:after="120"/>
        <w:rPr>
          <w:b/>
          <w:u w:val="single"/>
        </w:rPr>
      </w:pPr>
      <w:r w:rsidRPr="00CD6EF6">
        <w:rPr>
          <w:b/>
          <w:u w:val="single"/>
        </w:rPr>
        <w:t>Bac</w:t>
      </w:r>
      <w:r w:rsidRPr="00CD6EF6" w:rsidR="003020C1">
        <w:rPr>
          <w:b/>
          <w:u w:val="single"/>
        </w:rPr>
        <w:t>kgroun</w:t>
      </w:r>
      <w:r w:rsidRPr="00CD6EF6" w:rsidR="00041D3D">
        <w:rPr>
          <w:b/>
          <w:u w:val="single"/>
        </w:rPr>
        <w:t>d</w:t>
      </w:r>
    </w:p>
    <w:p w:rsidR="00DA4B2A" w:rsidRPr="00CD6EF6" w:rsidP="002C3CBC">
      <w:pPr>
        <w:spacing w:after="120"/>
      </w:pPr>
      <w:r w:rsidRPr="00CD6EF6">
        <w:tab/>
      </w:r>
      <w:r w:rsidR="00943824">
        <w:t>In the</w:t>
      </w:r>
      <w:r w:rsidRPr="00CD6EF6" w:rsidR="0015044B">
        <w:t xml:space="preserve"> </w:t>
      </w:r>
      <w:r w:rsidRPr="00CD6EF6" w:rsidR="005A7734">
        <w:t>Report and Order</w:t>
      </w:r>
      <w:r w:rsidR="00943824">
        <w:t xml:space="preserve"> in the </w:t>
      </w:r>
      <w:r w:rsidRPr="00E32F67" w:rsidR="00943824">
        <w:rPr>
          <w:i/>
        </w:rPr>
        <w:t xml:space="preserve">Spectrum Frontiers </w:t>
      </w:r>
      <w:r w:rsidR="00943824">
        <w:t>proceeding,</w:t>
      </w:r>
      <w:r w:rsidRPr="00CD6EF6" w:rsidR="0015044B">
        <w:t xml:space="preserve"> </w:t>
      </w:r>
      <w:r w:rsidRPr="00CD6EF6" w:rsidR="005A7734">
        <w:t xml:space="preserve">the Commission </w:t>
      </w:r>
      <w:r w:rsidR="00943824">
        <w:t>determined that</w:t>
      </w:r>
      <w:r w:rsidRPr="00CD6EF6" w:rsidR="005A7734">
        <w:t xml:space="preserve"> UMFUS in the </w:t>
      </w:r>
      <w:r w:rsidRPr="00CD6EF6">
        <w:t xml:space="preserve">28 GHz </w:t>
      </w:r>
      <w:r w:rsidRPr="00CD6EF6" w:rsidR="005A7734">
        <w:t>band</w:t>
      </w:r>
      <w:r w:rsidR="0053108E">
        <w:t xml:space="preserve"> will be licensed on a county basis</w:t>
      </w:r>
      <w:r w:rsidR="00943824">
        <w:t>,</w:t>
      </w:r>
      <w:r w:rsidRPr="00CD6EF6">
        <w:t xml:space="preserve"> and </w:t>
      </w:r>
      <w:r w:rsidR="00943824">
        <w:t>that</w:t>
      </w:r>
      <w:r w:rsidRPr="00CD6EF6" w:rsidR="005A7734">
        <w:t xml:space="preserve"> existing LMDS licenses </w:t>
      </w:r>
      <w:r w:rsidR="00943824">
        <w:t>in that band w</w:t>
      </w:r>
      <w:r w:rsidR="0053108E">
        <w:t>ill</w:t>
      </w:r>
      <w:r w:rsidR="00943824">
        <w:t xml:space="preserve"> be subdivided </w:t>
      </w:r>
      <w:r w:rsidR="00806DE6">
        <w:t xml:space="preserve">from Basic Trading Areas (BTAs) </w:t>
      </w:r>
      <w:r w:rsidR="0053108E">
        <w:t>in</w:t>
      </w:r>
      <w:r w:rsidR="00806DE6">
        <w:t xml:space="preserve">to </w:t>
      </w:r>
      <w:r w:rsidRPr="00CD6EF6" w:rsidR="005A7734">
        <w:t>count</w:t>
      </w:r>
      <w:r w:rsidR="00806DE6">
        <w:t>ies</w:t>
      </w:r>
      <w:r w:rsidRPr="00CD6EF6" w:rsidR="005A7734">
        <w:t>.</w:t>
      </w:r>
      <w:r>
        <w:rPr>
          <w:rStyle w:val="FootnoteReference"/>
        </w:rPr>
        <w:footnoteReference w:id="3"/>
      </w:r>
      <w:r w:rsidRPr="00CD6EF6" w:rsidR="005A7734">
        <w:t xml:space="preserve"> </w:t>
      </w:r>
      <w:r w:rsidRPr="00CD6EF6">
        <w:t xml:space="preserve"> In </w:t>
      </w:r>
      <w:r w:rsidR="00656A44">
        <w:t xml:space="preserve">that order, </w:t>
      </w:r>
      <w:r w:rsidRPr="00CD6EF6">
        <w:t xml:space="preserve">the Commission </w:t>
      </w:r>
      <w:r w:rsidR="002624EB">
        <w:t xml:space="preserve">also </w:t>
      </w:r>
      <w:r w:rsidR="00181F2F">
        <w:t>determined</w:t>
      </w:r>
      <w:r w:rsidR="00806DE6">
        <w:t xml:space="preserve"> that</w:t>
      </w:r>
      <w:r w:rsidRPr="00CD6EF6">
        <w:t xml:space="preserve"> UMFUS licenses in the 39 GHz band</w:t>
      </w:r>
      <w:r w:rsidR="0053108E">
        <w:t xml:space="preserve"> will be licensed on a </w:t>
      </w:r>
      <w:r w:rsidRPr="0053108E" w:rsidR="0053108E">
        <w:t>Partial Economic Areas (PEAs)</w:t>
      </w:r>
      <w:r w:rsidR="0053108E">
        <w:t xml:space="preserve"> basis</w:t>
      </w:r>
      <w:r w:rsidRPr="00CD6EF6">
        <w:t xml:space="preserve"> and </w:t>
      </w:r>
      <w:r w:rsidR="00253329">
        <w:t>that</w:t>
      </w:r>
      <w:r w:rsidRPr="00CD6EF6">
        <w:t xml:space="preserve"> existing 39 GHz </w:t>
      </w:r>
      <w:r w:rsidR="00253329">
        <w:t>licenses w</w:t>
      </w:r>
      <w:r w:rsidR="0053108E">
        <w:t>ill</w:t>
      </w:r>
      <w:r w:rsidR="00253329">
        <w:t xml:space="preserve"> be subdivided from </w:t>
      </w:r>
      <w:r w:rsidRPr="00CD6EF6" w:rsidR="008B394D">
        <w:t>Economic Area</w:t>
      </w:r>
      <w:r w:rsidR="00253329">
        <w:t>s</w:t>
      </w:r>
      <w:r w:rsidRPr="00CD6EF6" w:rsidR="008B394D">
        <w:t xml:space="preserve"> (</w:t>
      </w:r>
      <w:r w:rsidRPr="00CD6EF6">
        <w:t>EA</w:t>
      </w:r>
      <w:r w:rsidR="00253329">
        <w:t>s</w:t>
      </w:r>
      <w:r w:rsidRPr="00CD6EF6" w:rsidR="008B394D">
        <w:t>)</w:t>
      </w:r>
      <w:r w:rsidRPr="00CD6EF6">
        <w:t xml:space="preserve"> </w:t>
      </w:r>
      <w:r w:rsidR="0053108E">
        <w:t>in</w:t>
      </w:r>
      <w:r w:rsidR="00253329">
        <w:t>to</w:t>
      </w:r>
      <w:r w:rsidRPr="00CD6EF6">
        <w:t xml:space="preserve"> PEA</w:t>
      </w:r>
      <w:r w:rsidR="00253329">
        <w:t>s</w:t>
      </w:r>
      <w:r w:rsidRPr="00CD6EF6">
        <w:t>.</w:t>
      </w:r>
      <w:r>
        <w:rPr>
          <w:rStyle w:val="FootnoteReference"/>
        </w:rPr>
        <w:footnoteReference w:id="4"/>
      </w:r>
      <w:r w:rsidRPr="00CD6EF6">
        <w:t xml:space="preserve">  </w:t>
      </w:r>
      <w:r w:rsidR="00DC508E">
        <w:t>In addition</w:t>
      </w:r>
      <w:r w:rsidR="0080513C">
        <w:t>,</w:t>
      </w:r>
      <w:r w:rsidRPr="00CD6EF6">
        <w:t xml:space="preserve"> the Commission granted mobile operating rights to existing active </w:t>
      </w:r>
      <w:r w:rsidR="0053108E">
        <w:t xml:space="preserve">LMDS and </w:t>
      </w:r>
      <w:r w:rsidRPr="00CD6EF6">
        <w:t>39</w:t>
      </w:r>
      <w:r w:rsidRPr="00CD6EF6" w:rsidR="008B394D">
        <w:t xml:space="preserve"> </w:t>
      </w:r>
      <w:r w:rsidRPr="00CD6EF6">
        <w:t>GHz incumbent license</w:t>
      </w:r>
      <w:r w:rsidR="0080513C">
        <w:t>e</w:t>
      </w:r>
      <w:r w:rsidRPr="00CD6EF6">
        <w:t>s.</w:t>
      </w:r>
      <w:r>
        <w:rPr>
          <w:rStyle w:val="FootnoteReference"/>
        </w:rPr>
        <w:footnoteReference w:id="5"/>
      </w:r>
      <w:r w:rsidRPr="00CD6EF6">
        <w:t xml:space="preserve"> </w:t>
      </w:r>
    </w:p>
    <w:p w:rsidR="000D05EF" w:rsidRPr="002C3CBC" w:rsidP="002C3CBC">
      <w:pPr>
        <w:spacing w:after="120"/>
        <w:rPr>
          <w:b/>
          <w:u w:val="single"/>
        </w:rPr>
      </w:pPr>
      <w:r w:rsidRPr="002C3CBC">
        <w:rPr>
          <w:b/>
          <w:u w:val="single"/>
        </w:rPr>
        <w:t>28</w:t>
      </w:r>
      <w:r w:rsidRPr="002C3CBC" w:rsidR="00B013AA">
        <w:rPr>
          <w:b/>
          <w:u w:val="single"/>
        </w:rPr>
        <w:t xml:space="preserve"> </w:t>
      </w:r>
      <w:r w:rsidRPr="002C3CBC">
        <w:rPr>
          <w:b/>
          <w:u w:val="single"/>
        </w:rPr>
        <w:t>GHz licenses</w:t>
      </w:r>
    </w:p>
    <w:p w:rsidR="0016799F" w:rsidRPr="00CD6EF6" w:rsidP="002C3CBC">
      <w:pPr>
        <w:spacing w:after="120"/>
      </w:pPr>
      <w:r w:rsidRPr="00CD6EF6">
        <w:tab/>
        <w:t xml:space="preserve">Existing </w:t>
      </w:r>
      <w:r w:rsidR="00430B2B">
        <w:t xml:space="preserve">LMDS </w:t>
      </w:r>
      <w:r w:rsidRPr="00CD6EF6">
        <w:t xml:space="preserve">licenses </w:t>
      </w:r>
      <w:r w:rsidR="00427031">
        <w:t xml:space="preserve">were authorized under </w:t>
      </w:r>
      <w:r w:rsidRPr="00CD6EF6">
        <w:t>LMDS radio service</w:t>
      </w:r>
      <w:r w:rsidR="00A24AA2">
        <w:t xml:space="preserve"> (code “LD”)</w:t>
      </w:r>
      <w:r w:rsidRPr="00CD6EF6">
        <w:t xml:space="preserve"> </w:t>
      </w:r>
      <w:r w:rsidRPr="00CD6EF6" w:rsidR="0060093D">
        <w:t xml:space="preserve">on a BTA market area basis for </w:t>
      </w:r>
      <w:r w:rsidR="00430B2B">
        <w:t xml:space="preserve">multiple channels, including </w:t>
      </w:r>
      <w:r w:rsidR="00303AC1">
        <w:t>C</w:t>
      </w:r>
      <w:r w:rsidRPr="00CD6EF6" w:rsidR="0060093D">
        <w:t>hannel A</w:t>
      </w:r>
      <w:r w:rsidR="00427031">
        <w:t>1</w:t>
      </w:r>
      <w:r w:rsidR="0000158F">
        <w:t xml:space="preserve"> (27.5 – 28.35 GHz)</w:t>
      </w:r>
      <w:r w:rsidR="00430B2B">
        <w:t>, which is coextensive with the 28 GHz band</w:t>
      </w:r>
      <w:r w:rsidRPr="00CD6EF6" w:rsidR="0060093D">
        <w:t xml:space="preserve">.  </w:t>
      </w:r>
      <w:r w:rsidR="00427031">
        <w:t>Consistent with</w:t>
      </w:r>
      <w:r w:rsidR="00080B14">
        <w:t xml:space="preserve"> the </w:t>
      </w:r>
      <w:r w:rsidRPr="00EC553A" w:rsidR="00042C31">
        <w:rPr>
          <w:i/>
        </w:rPr>
        <w:t xml:space="preserve">Spectrum Frontiers </w:t>
      </w:r>
      <w:r w:rsidRPr="00EC553A" w:rsidR="00080B14">
        <w:rPr>
          <w:i/>
        </w:rPr>
        <w:t>R&amp;O</w:t>
      </w:r>
      <w:r w:rsidRPr="00CD6EF6" w:rsidR="00EC4207">
        <w:t xml:space="preserve">, </w:t>
      </w:r>
      <w:r w:rsidRPr="00CD6EF6" w:rsidR="00D07AF3">
        <w:t xml:space="preserve">new </w:t>
      </w:r>
      <w:r w:rsidRPr="00427031" w:rsidR="00427031">
        <w:t>UMFUS radio service (code “UU”)</w:t>
      </w:r>
      <w:r w:rsidRPr="00CD6EF6" w:rsidR="00D07AF3">
        <w:t xml:space="preserve"> licenses have been created for </w:t>
      </w:r>
      <w:r w:rsidR="00303AC1">
        <w:t>Channel</w:t>
      </w:r>
      <w:r w:rsidRPr="00CD6EF6" w:rsidR="00D07AF3">
        <w:t xml:space="preserve"> L1 </w:t>
      </w:r>
      <w:r w:rsidRPr="00427031" w:rsidR="00427031">
        <w:t>(27</w:t>
      </w:r>
      <w:r w:rsidR="0000158F">
        <w:t>.</w:t>
      </w:r>
      <w:r w:rsidRPr="00427031" w:rsidR="00427031">
        <w:t>5</w:t>
      </w:r>
      <w:r w:rsidR="0000158F">
        <w:t>00</w:t>
      </w:r>
      <w:r w:rsidRPr="00427031" w:rsidR="00427031">
        <w:t xml:space="preserve"> – 27</w:t>
      </w:r>
      <w:r w:rsidR="0000158F">
        <w:t>.</w:t>
      </w:r>
      <w:r w:rsidRPr="00427031" w:rsidR="00427031">
        <w:t xml:space="preserve">925 </w:t>
      </w:r>
      <w:r w:rsidR="0000158F">
        <w:t>G</w:t>
      </w:r>
      <w:r w:rsidRPr="00427031" w:rsidR="00427031">
        <w:t>Hz</w:t>
      </w:r>
      <w:r w:rsidR="00427031">
        <w:t>)</w:t>
      </w:r>
      <w:r w:rsidRPr="00427031" w:rsidR="00427031">
        <w:t xml:space="preserve"> </w:t>
      </w:r>
      <w:r w:rsidRPr="00CD6EF6" w:rsidR="00D07AF3">
        <w:t xml:space="preserve">and </w:t>
      </w:r>
      <w:r w:rsidR="00303AC1">
        <w:t xml:space="preserve">Channel </w:t>
      </w:r>
      <w:r w:rsidRPr="00CD6EF6" w:rsidR="00D07AF3">
        <w:t xml:space="preserve">L2 </w:t>
      </w:r>
      <w:r w:rsidRPr="00427031" w:rsidR="00427031">
        <w:t>(27</w:t>
      </w:r>
      <w:r w:rsidR="0000158F">
        <w:t>.</w:t>
      </w:r>
      <w:r w:rsidRPr="00427031" w:rsidR="00427031">
        <w:t>925 – 28</w:t>
      </w:r>
      <w:r w:rsidR="0000158F">
        <w:t>.</w:t>
      </w:r>
      <w:r w:rsidRPr="00427031" w:rsidR="00427031">
        <w:t xml:space="preserve">350 </w:t>
      </w:r>
      <w:r w:rsidR="0000158F">
        <w:t>G</w:t>
      </w:r>
      <w:r w:rsidRPr="00427031" w:rsidR="00427031">
        <w:t>Hz)</w:t>
      </w:r>
      <w:r w:rsidR="00427031">
        <w:t xml:space="preserve"> </w:t>
      </w:r>
      <w:r w:rsidRPr="00CD6EF6" w:rsidR="00D07AF3">
        <w:t xml:space="preserve">in each county </w:t>
      </w:r>
      <w:r w:rsidRPr="00CD6EF6" w:rsidR="00082E83">
        <w:t xml:space="preserve">corresponding to the counties within the existing LMDS </w:t>
      </w:r>
      <w:r w:rsidR="0000158F">
        <w:t xml:space="preserve">A1 </w:t>
      </w:r>
      <w:r w:rsidRPr="00CD6EF6" w:rsidR="00082E83">
        <w:t>licensed BTAs.</w:t>
      </w:r>
      <w:r>
        <w:rPr>
          <w:rStyle w:val="FootnoteReference"/>
        </w:rPr>
        <w:footnoteReference w:id="6"/>
      </w:r>
      <w:r w:rsidRPr="00CD6EF6" w:rsidR="00EC4207">
        <w:t xml:space="preserve">  </w:t>
      </w:r>
      <w:r w:rsidRPr="00CD6EF6" w:rsidR="001B059D">
        <w:t xml:space="preserve">LMDS </w:t>
      </w:r>
      <w:r w:rsidR="00DC508E">
        <w:t xml:space="preserve">A1 </w:t>
      </w:r>
      <w:r w:rsidRPr="00CD6EF6" w:rsidR="001B059D">
        <w:t>l</w:t>
      </w:r>
      <w:r w:rsidRPr="00CD6EF6" w:rsidR="00D07AF3">
        <w:t xml:space="preserve">icenses that were previously partitioned or disaggregated have likewise been converted to new licenses </w:t>
      </w:r>
      <w:r w:rsidRPr="00CD6EF6" w:rsidR="00082E83">
        <w:t xml:space="preserve">based on the previously authorized </w:t>
      </w:r>
      <w:r w:rsidR="00DC508E">
        <w:t xml:space="preserve">geographic </w:t>
      </w:r>
      <w:r w:rsidRPr="00CD6EF6" w:rsidR="00082E83">
        <w:t>area</w:t>
      </w:r>
      <w:r w:rsidR="00DC508E">
        <w:t>s</w:t>
      </w:r>
      <w:r w:rsidRPr="00CD6EF6" w:rsidR="00082E83">
        <w:t xml:space="preserve"> and spectrum</w:t>
      </w:r>
      <w:r w:rsidR="00DC508E">
        <w:t xml:space="preserve"> frequencies</w:t>
      </w:r>
      <w:r w:rsidRPr="00CD6EF6" w:rsidR="00082E83">
        <w:t>.</w:t>
      </w:r>
      <w:r>
        <w:rPr>
          <w:rStyle w:val="FootnoteReference"/>
        </w:rPr>
        <w:footnoteReference w:id="7"/>
      </w:r>
      <w:r w:rsidR="00AA6973">
        <w:t xml:space="preserve">  Further, </w:t>
      </w:r>
      <w:r w:rsidRPr="00CD6EF6" w:rsidR="00082E83">
        <w:t xml:space="preserve">leases associated with incumbent LMDS </w:t>
      </w:r>
      <w:r w:rsidR="00AA6973">
        <w:t xml:space="preserve">A1 </w:t>
      </w:r>
      <w:r w:rsidRPr="00CD6EF6" w:rsidR="00082E83">
        <w:t>licenses</w:t>
      </w:r>
      <w:r w:rsidRPr="00CD6EF6" w:rsidR="00B2188E">
        <w:t xml:space="preserve"> </w:t>
      </w:r>
      <w:r w:rsidRPr="00CD6EF6" w:rsidR="00082E83">
        <w:t>have been converted and associated with the corresponding UMFUS county</w:t>
      </w:r>
      <w:r w:rsidR="00181F2F">
        <w:t>-</w:t>
      </w:r>
      <w:r w:rsidRPr="00CD6EF6" w:rsidR="00082E83">
        <w:t>based license</w:t>
      </w:r>
      <w:r w:rsidR="00AA6973">
        <w:t>s</w:t>
      </w:r>
      <w:r w:rsidRPr="00CD6EF6" w:rsidR="00082E83">
        <w:t>.</w:t>
      </w:r>
      <w:r>
        <w:rPr>
          <w:rStyle w:val="FootnoteReference"/>
        </w:rPr>
        <w:footnoteReference w:id="8"/>
      </w:r>
      <w:r w:rsidRPr="00CD6EF6" w:rsidR="00082E83">
        <w:t xml:space="preserve"> </w:t>
      </w:r>
      <w:r w:rsidR="00C02330">
        <w:t xml:space="preserve"> </w:t>
      </w:r>
      <w:r w:rsidR="00664E90">
        <w:t xml:space="preserve">In </w:t>
      </w:r>
      <w:r w:rsidR="00181F2F">
        <w:t>addition</w:t>
      </w:r>
      <w:r w:rsidR="00664E90">
        <w:t>, c</w:t>
      </w:r>
      <w:r w:rsidRPr="00C02330" w:rsidR="00C02330">
        <w:t>onsistent with the Commission</w:t>
      </w:r>
      <w:r w:rsidR="009E38A7">
        <w:t>’s</w:t>
      </w:r>
      <w:r w:rsidRPr="00C02330" w:rsidR="00C02330">
        <w:t xml:space="preserve"> grant</w:t>
      </w:r>
      <w:r w:rsidR="009E38A7">
        <w:t xml:space="preserve"> of</w:t>
      </w:r>
      <w:r w:rsidRPr="00C02330" w:rsidR="00C02330">
        <w:t xml:space="preserve"> mobile rights to the incumbent licenses</w:t>
      </w:r>
      <w:r w:rsidRPr="009E38A7" w:rsidR="009E38A7">
        <w:t xml:space="preserve"> </w:t>
      </w:r>
      <w:r w:rsidR="009E38A7">
        <w:t>i</w:t>
      </w:r>
      <w:r w:rsidRPr="009E38A7" w:rsidR="009E38A7">
        <w:t xml:space="preserve">n the </w:t>
      </w:r>
      <w:r w:rsidRPr="009E38A7" w:rsidR="009E38A7">
        <w:rPr>
          <w:i/>
        </w:rPr>
        <w:t>Spectrum Frontiers R&amp;O</w:t>
      </w:r>
      <w:r w:rsidRPr="009E38A7" w:rsidR="009E38A7">
        <w:t xml:space="preserve">, </w:t>
      </w:r>
      <w:r w:rsidRPr="00C02330" w:rsidR="00C02330">
        <w:t>“Mobile” has been added to the permissible Radio Service Types for each UMFUS license</w:t>
      </w:r>
      <w:r w:rsidR="007B4019">
        <w:t xml:space="preserve"> in the 28 GHz band</w:t>
      </w:r>
      <w:r w:rsidRPr="00C02330" w:rsidR="00C02330">
        <w:t xml:space="preserve">.  </w:t>
      </w:r>
    </w:p>
    <w:p w:rsidR="00C02330" w:rsidP="002C3CBC">
      <w:pPr>
        <w:spacing w:after="120"/>
        <w:ind w:firstLine="720"/>
      </w:pPr>
      <w:r>
        <w:t xml:space="preserve">LMDS </w:t>
      </w:r>
      <w:r w:rsidRPr="007B4019" w:rsidR="007B4019">
        <w:t xml:space="preserve">Channel A1 has been removed from the original </w:t>
      </w:r>
      <w:r>
        <w:t xml:space="preserve">LMDS </w:t>
      </w:r>
      <w:r w:rsidRPr="007B4019" w:rsidR="007B4019">
        <w:t xml:space="preserve">Channel Block A licenses, </w:t>
      </w:r>
      <w:r w:rsidR="00D31103">
        <w:t xml:space="preserve">which include </w:t>
      </w:r>
      <w:r w:rsidR="002C15B4">
        <w:t xml:space="preserve">LMDS </w:t>
      </w:r>
      <w:r w:rsidRPr="007B4019" w:rsidR="007B4019">
        <w:t xml:space="preserve">Channels A2 and A3 </w:t>
      </w:r>
      <w:r w:rsidR="00D31103">
        <w:t>that are outside of the 28 GHz UMFUS band.</w:t>
      </w:r>
      <w:r>
        <w:rPr>
          <w:vertAlign w:val="superscript"/>
        </w:rPr>
        <w:footnoteReference w:id="9"/>
      </w:r>
      <w:r w:rsidR="00D31103">
        <w:t xml:space="preserve">  </w:t>
      </w:r>
      <w:r w:rsidR="002C15B4">
        <w:t xml:space="preserve">LMDS Channels A2 and A3 </w:t>
      </w:r>
      <w:r w:rsidRPr="007B4019" w:rsidR="007B4019">
        <w:t xml:space="preserve">remain authorized under the original LMDS </w:t>
      </w:r>
      <w:r w:rsidR="00303AC1">
        <w:t xml:space="preserve">Channel Block A </w:t>
      </w:r>
      <w:r w:rsidRPr="007B4019" w:rsidR="007B4019">
        <w:t>licenses within the original market area.  Existing LMDS licenses on Channel Block B</w:t>
      </w:r>
      <w:r w:rsidR="002C15B4">
        <w:t>, which also is outside the 28 GHz UMFUS band,</w:t>
      </w:r>
      <w:r w:rsidRPr="007B4019" w:rsidR="007B4019">
        <w:t xml:space="preserve"> </w:t>
      </w:r>
      <w:r w:rsidR="002C15B4">
        <w:t xml:space="preserve">similarly </w:t>
      </w:r>
      <w:r w:rsidRPr="007B4019" w:rsidR="007B4019">
        <w:t>are not affected by the conversion</w:t>
      </w:r>
      <w:r w:rsidR="00303AC1">
        <w:t xml:space="preserve"> of Channel A1 to UMFUS</w:t>
      </w:r>
      <w:r w:rsidRPr="007B4019" w:rsidR="007B4019">
        <w:t>.</w:t>
      </w:r>
      <w:r>
        <w:rPr>
          <w:vertAlign w:val="superscript"/>
        </w:rPr>
        <w:footnoteReference w:id="10"/>
      </w:r>
      <w:r w:rsidRPr="007B4019" w:rsidR="007B4019">
        <w:t xml:space="preserve">   </w:t>
      </w:r>
    </w:p>
    <w:p w:rsidR="00423EC8" w:rsidRPr="00CD6EF6" w:rsidP="002C3CBC">
      <w:pPr>
        <w:spacing w:after="120"/>
        <w:ind w:firstLine="720"/>
      </w:pPr>
      <w:r w:rsidRPr="00CD6EF6">
        <w:t xml:space="preserve">The main </w:t>
      </w:r>
      <w:r w:rsidR="00AD6434">
        <w:t xml:space="preserve">ULS </w:t>
      </w:r>
      <w:r w:rsidRPr="00CD6EF6">
        <w:t>license tab for each UMFUS license reflect</w:t>
      </w:r>
      <w:r w:rsidR="00656A44">
        <w:t>s</w:t>
      </w:r>
      <w:r w:rsidRPr="00CD6EF6">
        <w:t xml:space="preserve"> </w:t>
      </w:r>
      <w:r w:rsidRPr="00CD6EF6" w:rsidR="00B82245">
        <w:t xml:space="preserve">the original BTA </w:t>
      </w:r>
      <w:r w:rsidR="00381873">
        <w:t>m</w:t>
      </w:r>
      <w:r w:rsidRPr="00CD6EF6" w:rsidR="00B82245">
        <w:t xml:space="preserve">arket area.   The county and spectrum </w:t>
      </w:r>
      <w:r w:rsidRPr="00CD6EF6" w:rsidR="005805D3">
        <w:t xml:space="preserve">authorized under the </w:t>
      </w:r>
      <w:r w:rsidRPr="00CD6EF6" w:rsidR="00B82245">
        <w:t xml:space="preserve">new UU license </w:t>
      </w:r>
      <w:r w:rsidR="00EC553A">
        <w:t xml:space="preserve">are </w:t>
      </w:r>
      <w:r w:rsidRPr="00CD6EF6" w:rsidR="00B82245">
        <w:t xml:space="preserve">shown </w:t>
      </w:r>
      <w:r w:rsidRPr="00CD6EF6" w:rsidR="00B2188E">
        <w:t>on</w:t>
      </w:r>
      <w:r w:rsidRPr="00CD6EF6" w:rsidR="00B82245">
        <w:t xml:space="preserve"> the </w:t>
      </w:r>
      <w:r w:rsidRPr="00CD6EF6">
        <w:t xml:space="preserve">market tab under “Spectrum </w:t>
      </w:r>
      <w:r w:rsidRPr="00CD6EF6" w:rsidR="005805D3">
        <w:t>and Market Area” information.</w:t>
      </w:r>
      <w:r>
        <w:rPr>
          <w:rStyle w:val="FootnoteReference"/>
        </w:rPr>
        <w:footnoteReference w:id="11"/>
      </w:r>
      <w:r w:rsidRPr="00CD6EF6" w:rsidR="005805D3">
        <w:t xml:space="preserve"> </w:t>
      </w:r>
    </w:p>
    <w:p w:rsidR="000D05EF" w:rsidRPr="002C3CBC" w:rsidP="002C3CBC">
      <w:pPr>
        <w:spacing w:after="120"/>
        <w:rPr>
          <w:b/>
          <w:u w:val="single"/>
        </w:rPr>
      </w:pPr>
      <w:r w:rsidRPr="002C3CBC">
        <w:rPr>
          <w:b/>
          <w:u w:val="single"/>
        </w:rPr>
        <w:t>39</w:t>
      </w:r>
      <w:r w:rsidRPr="002C3CBC" w:rsidR="008B394D">
        <w:rPr>
          <w:b/>
          <w:u w:val="single"/>
        </w:rPr>
        <w:t xml:space="preserve"> </w:t>
      </w:r>
      <w:r w:rsidRPr="002C3CBC">
        <w:rPr>
          <w:b/>
          <w:u w:val="single"/>
        </w:rPr>
        <w:t>GHz licenses</w:t>
      </w:r>
      <w:r w:rsidRPr="002C3CBC" w:rsidR="00646E01">
        <w:rPr>
          <w:b/>
          <w:u w:val="single"/>
        </w:rPr>
        <w:t xml:space="preserve"> (EA market based and RSA)</w:t>
      </w:r>
    </w:p>
    <w:p w:rsidR="00423EC8" w:rsidRPr="00CD6EF6" w:rsidP="002C3CBC">
      <w:pPr>
        <w:spacing w:after="120"/>
      </w:pPr>
      <w:r w:rsidRPr="00CD6EF6">
        <w:tab/>
        <w:t xml:space="preserve">Existing licenses in the </w:t>
      </w:r>
      <w:r w:rsidR="00B013AA">
        <w:t>39 GHz</w:t>
      </w:r>
      <w:r w:rsidRPr="00CD6EF6">
        <w:t xml:space="preserve"> radio service </w:t>
      </w:r>
      <w:r w:rsidR="00F9503E">
        <w:t xml:space="preserve">(code “TN”) </w:t>
      </w:r>
      <w:r w:rsidRPr="00CD6EF6">
        <w:t xml:space="preserve">were authorized on </w:t>
      </w:r>
      <w:r w:rsidRPr="00CD6EF6" w:rsidR="00646E01">
        <w:t>an</w:t>
      </w:r>
      <w:r w:rsidRPr="00CD6EF6">
        <w:t xml:space="preserve"> </w:t>
      </w:r>
      <w:r w:rsidR="00F9503E">
        <w:t>Economic Area (</w:t>
      </w:r>
      <w:r w:rsidRPr="00CD6EF6">
        <w:t>EA</w:t>
      </w:r>
      <w:r w:rsidR="00F9503E">
        <w:t>)</w:t>
      </w:r>
      <w:r w:rsidRPr="00CD6EF6">
        <w:t xml:space="preserve"> basis for </w:t>
      </w:r>
      <w:r w:rsidR="00F9503E">
        <w:t>fourteen</w:t>
      </w:r>
      <w:r w:rsidRPr="00CD6EF6" w:rsidR="00F9503E">
        <w:t xml:space="preserve"> </w:t>
      </w:r>
      <w:r w:rsidRPr="00CD6EF6" w:rsidR="008B394D">
        <w:t>p</w:t>
      </w:r>
      <w:r w:rsidRPr="00CD6EF6">
        <w:t xml:space="preserve">aired </w:t>
      </w:r>
      <w:r w:rsidRPr="00CD6EF6" w:rsidR="008B394D">
        <w:t>c</w:t>
      </w:r>
      <w:r w:rsidRPr="00CD6EF6">
        <w:t xml:space="preserve">hannel </w:t>
      </w:r>
      <w:r w:rsidRPr="00CD6EF6" w:rsidR="008B394D">
        <w:t>b</w:t>
      </w:r>
      <w:r w:rsidRPr="00CD6EF6">
        <w:t>locks (A – N)</w:t>
      </w:r>
      <w:r w:rsidR="00F9503E">
        <w:t>, each 2 x 50 megahertz</w:t>
      </w:r>
      <w:r w:rsidRPr="00CD6EF6">
        <w:t xml:space="preserve">.  </w:t>
      </w:r>
      <w:r w:rsidR="00B013AA">
        <w:t>39 GHz</w:t>
      </w:r>
      <w:r w:rsidRPr="00CD6EF6">
        <w:t xml:space="preserve"> licenses in the new UMFUS radio service </w:t>
      </w:r>
      <w:r w:rsidR="00F9503E">
        <w:t xml:space="preserve">(code “UU”) </w:t>
      </w:r>
      <w:r w:rsidRPr="00CD6EF6">
        <w:t xml:space="preserve">are licensed on a </w:t>
      </w:r>
      <w:r w:rsidRPr="00CD6EF6" w:rsidR="00646E01">
        <w:t>PEA</w:t>
      </w:r>
      <w:r w:rsidRPr="00CD6EF6">
        <w:t xml:space="preserve"> market basis</w:t>
      </w:r>
      <w:r w:rsidRPr="00CD6EF6" w:rsidR="00646E01">
        <w:t xml:space="preserve">.  </w:t>
      </w:r>
      <w:r w:rsidRPr="00F9503E" w:rsidR="00F9503E">
        <w:t xml:space="preserve">Consistent with the </w:t>
      </w:r>
      <w:r w:rsidRPr="00F9503E" w:rsidR="00F9503E">
        <w:rPr>
          <w:i/>
        </w:rPr>
        <w:t>Spectrum Frontiers R&amp;O</w:t>
      </w:r>
      <w:r w:rsidRPr="00F9503E" w:rsidR="00F9503E">
        <w:t xml:space="preserve">, </w:t>
      </w:r>
      <w:r w:rsidRPr="00CD6EF6">
        <w:t xml:space="preserve">new </w:t>
      </w:r>
      <w:r w:rsidRPr="00CD6EF6" w:rsidR="008B394D">
        <w:t xml:space="preserve">UMFUS </w:t>
      </w:r>
      <w:r w:rsidRPr="00CD6EF6">
        <w:t xml:space="preserve">licenses have been created for </w:t>
      </w:r>
      <w:r w:rsidRPr="00CD6EF6" w:rsidR="00646E01">
        <w:t xml:space="preserve">each </w:t>
      </w:r>
      <w:r w:rsidRPr="00CD6EF6" w:rsidR="00B2188E">
        <w:t xml:space="preserve">individual </w:t>
      </w:r>
      <w:r w:rsidRPr="00CD6EF6" w:rsidR="00646E01">
        <w:t>50</w:t>
      </w:r>
      <w:r w:rsidRPr="00CD6EF6" w:rsidR="008B394D">
        <w:t xml:space="preserve"> megahertz </w:t>
      </w:r>
      <w:r w:rsidRPr="00CD6EF6" w:rsidR="00646E01">
        <w:t xml:space="preserve">channel in </w:t>
      </w:r>
      <w:r w:rsidRPr="00CD6EF6">
        <w:t xml:space="preserve">each </w:t>
      </w:r>
      <w:r w:rsidRPr="00CD6EF6" w:rsidR="00646E01">
        <w:t>PEA within the</w:t>
      </w:r>
      <w:r w:rsidRPr="00CD6EF6" w:rsidR="00B2188E">
        <w:t xml:space="preserve"> existing</w:t>
      </w:r>
      <w:r w:rsidRPr="00CD6EF6" w:rsidR="00646E01">
        <w:t xml:space="preserve"> 39</w:t>
      </w:r>
      <w:r w:rsidRPr="00CD6EF6" w:rsidR="008B394D">
        <w:t xml:space="preserve"> </w:t>
      </w:r>
      <w:r w:rsidRPr="00CD6EF6" w:rsidR="00646E01">
        <w:t>GHz</w:t>
      </w:r>
      <w:r w:rsidRPr="00CD6EF6">
        <w:t xml:space="preserve"> licensed </w:t>
      </w:r>
      <w:r w:rsidRPr="00CD6EF6" w:rsidR="00646E01">
        <w:t>EA</w:t>
      </w:r>
      <w:r w:rsidRPr="00CD6EF6">
        <w:t>s</w:t>
      </w:r>
      <w:r w:rsidRPr="00CD6EF6" w:rsidR="00646E01">
        <w:t>.</w:t>
      </w:r>
      <w:r w:rsidRPr="00CD6EF6">
        <w:t xml:space="preserve">  </w:t>
      </w:r>
      <w:r w:rsidRPr="00CD6EF6" w:rsidR="00B2188E">
        <w:t>The corresponding</w:t>
      </w:r>
      <w:r w:rsidRPr="00CD6EF6" w:rsidR="0011673B">
        <w:t xml:space="preserve"> 39</w:t>
      </w:r>
      <w:r w:rsidRPr="00CD6EF6" w:rsidR="008B394D">
        <w:t xml:space="preserve"> </w:t>
      </w:r>
      <w:r w:rsidRPr="00CD6EF6" w:rsidR="0011673B">
        <w:t xml:space="preserve">GHz (TN) licenses have been terminated. </w:t>
      </w:r>
      <w:r w:rsidRPr="00CD6EF6">
        <w:t xml:space="preserve"> All le</w:t>
      </w:r>
      <w:r w:rsidRPr="00CD6EF6" w:rsidR="00646E01">
        <w:t>ases associated with incumbent 39</w:t>
      </w:r>
      <w:r w:rsidRPr="00CD6EF6" w:rsidR="008B394D">
        <w:t xml:space="preserve"> </w:t>
      </w:r>
      <w:r w:rsidRPr="00CD6EF6" w:rsidR="00646E01">
        <w:t xml:space="preserve">GHz </w:t>
      </w:r>
      <w:r w:rsidRPr="00CD6EF6">
        <w:t xml:space="preserve">licenses have been converted and associated with the corresponding UMFUS </w:t>
      </w:r>
      <w:r w:rsidRPr="00CD6EF6" w:rsidR="00646E01">
        <w:t>PEA</w:t>
      </w:r>
      <w:r w:rsidRPr="00CD6EF6">
        <w:t xml:space="preserve"> based license.</w:t>
      </w:r>
      <w:r>
        <w:rPr>
          <w:rStyle w:val="FootnoteReference"/>
        </w:rPr>
        <w:footnoteReference w:id="12"/>
      </w:r>
      <w:r w:rsidRPr="00CD6EF6">
        <w:t xml:space="preserve"> </w:t>
      </w:r>
      <w:r w:rsidRPr="00CD6EF6" w:rsidR="0011673B">
        <w:t xml:space="preserve"> </w:t>
      </w:r>
      <w:r w:rsidRPr="003009F3" w:rsidR="003009F3">
        <w:t xml:space="preserve">Consistent with the Commission grant of mobile rights to the incumbent licenses in the </w:t>
      </w:r>
      <w:r w:rsidRPr="003009F3" w:rsidR="003009F3">
        <w:rPr>
          <w:i/>
        </w:rPr>
        <w:t>Spectrum Frontiers R&amp;O</w:t>
      </w:r>
      <w:r w:rsidRPr="003009F3" w:rsidR="003009F3">
        <w:t>, “Mobile” has been included as a permissible Radio Service Type for each UMFUS license.</w:t>
      </w:r>
    </w:p>
    <w:p w:rsidR="003009F3" w:rsidP="002C3CBC">
      <w:pPr>
        <w:spacing w:after="120"/>
        <w:ind w:firstLine="720"/>
      </w:pPr>
      <w:r>
        <w:t>Other e</w:t>
      </w:r>
      <w:r w:rsidRPr="00CD6EF6" w:rsidR="00646E01">
        <w:t xml:space="preserve">xisting </w:t>
      </w:r>
      <w:r>
        <w:t xml:space="preserve">39 GHz </w:t>
      </w:r>
      <w:r w:rsidRPr="00CD6EF6" w:rsidR="00646E01">
        <w:t>licenses in the common carrier fixed point</w:t>
      </w:r>
      <w:r w:rsidR="00F9503E">
        <w:t>-</w:t>
      </w:r>
      <w:r w:rsidRPr="00CD6EF6" w:rsidR="00646E01">
        <w:t>to</w:t>
      </w:r>
      <w:r w:rsidR="00F9503E">
        <w:t>-</w:t>
      </w:r>
      <w:r w:rsidRPr="00CD6EF6" w:rsidR="00646E01">
        <w:t xml:space="preserve">point (CF) radio service were authorized </w:t>
      </w:r>
      <w:r w:rsidRPr="00CD6EF6" w:rsidR="0011673B">
        <w:t xml:space="preserve">for rectangular service areas </w:t>
      </w:r>
      <w:r>
        <w:t>(RSAs) for fourtee</w:t>
      </w:r>
      <w:r>
        <w:t>n paired</w:t>
      </w:r>
      <w:r w:rsidRPr="00CD6EF6" w:rsidR="008B394D">
        <w:t xml:space="preserve"> c</w:t>
      </w:r>
      <w:r w:rsidRPr="00CD6EF6" w:rsidR="00646E01">
        <w:t xml:space="preserve">hannel </w:t>
      </w:r>
      <w:r w:rsidRPr="00CD6EF6" w:rsidR="008B394D">
        <w:t>b</w:t>
      </w:r>
      <w:r w:rsidRPr="00CD6EF6" w:rsidR="00646E01">
        <w:t>locks (A – N)</w:t>
      </w:r>
      <w:r>
        <w:t xml:space="preserve">, each 2 x </w:t>
      </w:r>
      <w:r>
        <w:t>50 megahertz</w:t>
      </w:r>
      <w:r w:rsidRPr="00CD6EF6" w:rsidR="00646E01">
        <w:t xml:space="preserve">. </w:t>
      </w:r>
      <w:r w:rsidRPr="00CD6EF6" w:rsidR="0011673B">
        <w:t xml:space="preserve"> </w:t>
      </w:r>
      <w:r>
        <w:t xml:space="preserve">These </w:t>
      </w:r>
      <w:r w:rsidRPr="00CD6EF6" w:rsidR="0011673B">
        <w:t>RSA licenses have been converted to new UMFUS licenses</w:t>
      </w:r>
      <w:r>
        <w:t>;</w:t>
      </w:r>
      <w:r w:rsidRPr="00CD6EF6" w:rsidR="0011673B">
        <w:t xml:space="preserve"> however, the original </w:t>
      </w:r>
      <w:r w:rsidRPr="00CD6EF6" w:rsidR="00C7109F">
        <w:t xml:space="preserve">channel blocks and </w:t>
      </w:r>
      <w:r w:rsidRPr="00CD6EF6" w:rsidR="0011673B">
        <w:t xml:space="preserve">RSA areas remain unchanged in the conversion. </w:t>
      </w:r>
    </w:p>
    <w:p w:rsidR="0016799F" w:rsidRPr="00CD6EF6" w:rsidP="002C3CBC">
      <w:pPr>
        <w:spacing w:after="120"/>
        <w:ind w:firstLine="720"/>
        <w:rPr>
          <w:b/>
        </w:rPr>
      </w:pPr>
      <w:r w:rsidRPr="00CD6EF6">
        <w:t xml:space="preserve"> </w:t>
      </w:r>
      <w:r w:rsidRPr="003009F3" w:rsidR="003009F3">
        <w:t>The main license tab in ULS for each UMFUS license reflect</w:t>
      </w:r>
      <w:r w:rsidR="00F93D53">
        <w:t>s</w:t>
      </w:r>
      <w:r w:rsidRPr="003009F3" w:rsidR="003009F3">
        <w:t xml:space="preserve"> the new PEA Market area</w:t>
      </w:r>
      <w:r w:rsidRPr="003000DC" w:rsidR="003000DC">
        <w:t xml:space="preserve"> </w:t>
      </w:r>
      <w:r w:rsidR="00847A7D">
        <w:t>(</w:t>
      </w:r>
      <w:r w:rsidRPr="003000DC" w:rsidR="003000DC">
        <w:t xml:space="preserve">or RSA </w:t>
      </w:r>
      <w:r w:rsidRPr="004B1885" w:rsidR="003000DC">
        <w:t xml:space="preserve">market </w:t>
      </w:r>
      <w:r w:rsidRPr="004B1885" w:rsidR="00E01CCC">
        <w:t>code</w:t>
      </w:r>
      <w:r w:rsidRPr="004B1885" w:rsidR="00847A7D">
        <w:t xml:space="preserve"> for</w:t>
      </w:r>
      <w:r w:rsidR="00847A7D">
        <w:t xml:space="preserve"> RSA licenses)</w:t>
      </w:r>
      <w:r w:rsidRPr="003009F3" w:rsidR="003009F3">
        <w:t>.</w:t>
      </w:r>
      <w:r>
        <w:rPr>
          <w:rStyle w:val="FootnoteReference"/>
        </w:rPr>
        <w:footnoteReference w:id="13"/>
      </w:r>
      <w:r w:rsidRPr="003009F3" w:rsidR="003009F3">
        <w:t xml:space="preserve">  The counties and spectrum associated with the new UU license </w:t>
      </w:r>
      <w:r w:rsidR="00E56199">
        <w:t xml:space="preserve">are </w:t>
      </w:r>
      <w:r w:rsidRPr="003009F3" w:rsidR="003009F3">
        <w:t>shown under the market tab under “Spectrum and Market Area” information.</w:t>
      </w:r>
    </w:p>
    <w:p w:rsidR="00D8739F" w:rsidRPr="00CD6EF6" w:rsidP="002C3CBC">
      <w:pPr>
        <w:spacing w:after="120"/>
      </w:pPr>
      <w:r w:rsidRPr="00CD6EF6">
        <w:rPr>
          <w:b/>
        </w:rPr>
        <w:t>FURTHER INFORMATION OR ASSISTANCE</w:t>
      </w:r>
      <w:r w:rsidRPr="00CD6EF6">
        <w:t xml:space="preserve"> </w:t>
      </w:r>
    </w:p>
    <w:p w:rsidR="00D8739F" w:rsidRPr="00CD6EF6" w:rsidP="002C3CBC">
      <w:pPr>
        <w:spacing w:after="120"/>
        <w:ind w:firstLine="720"/>
      </w:pPr>
      <w:r w:rsidRPr="00CD6EF6">
        <w:t>Q</w:t>
      </w:r>
      <w:r w:rsidRPr="00CD6EF6">
        <w:t>uestions regarding the 28</w:t>
      </w:r>
      <w:r w:rsidRPr="00CD6EF6" w:rsidR="008B394D">
        <w:t xml:space="preserve"> </w:t>
      </w:r>
      <w:r w:rsidRPr="00CD6EF6">
        <w:t>GHz and 39</w:t>
      </w:r>
      <w:r w:rsidRPr="00CD6EF6" w:rsidR="008B394D">
        <w:t xml:space="preserve"> </w:t>
      </w:r>
      <w:r w:rsidRPr="00CD6EF6">
        <w:t>GHz license conversion outlined in this public notice may be directed to</w:t>
      </w:r>
      <w:r w:rsidRPr="00CD6EF6" w:rsidR="00CA0983">
        <w:t xml:space="preserve"> FCC Licensing Support via the web at https://www.fcc.gov/wireless/available-support-services, or by telephone at 1-877-480-3201 (select option #2). </w:t>
      </w:r>
      <w:r w:rsidR="002624EB">
        <w:t xml:space="preserve"> </w:t>
      </w:r>
      <w:r w:rsidRPr="00CD6EF6" w:rsidR="00CA0983">
        <w:t xml:space="preserve">The support hours of operation are 8 a.m. to 6 p.m. EST, Monday through Friday (except Federal holidays). </w:t>
      </w:r>
      <w:r w:rsidRPr="00CD6EF6">
        <w:t xml:space="preserve"> Questions regarding this Public Notice may be directed to </w:t>
      </w:r>
      <w:r w:rsidRPr="00CD6EF6" w:rsidR="0016799F">
        <w:t xml:space="preserve">Elizabeth Fishel (Elizabeth.Fishel@fcc.gov; 717-338-2649) or Tim Hilfiger (Tim.Hilfiger@fcc.gov; 717-338-2578), </w:t>
      </w:r>
      <w:r w:rsidRPr="00CD6EF6">
        <w:t xml:space="preserve">Broadband Division, WTB. </w:t>
      </w:r>
    </w:p>
    <w:p w:rsidR="005805D3" w:rsidRPr="00CD6EF6" w:rsidP="002C3CBC">
      <w:pPr>
        <w:spacing w:after="120"/>
      </w:pPr>
      <w:r w:rsidRPr="00CD6EF6">
        <w:t>Action by the Chief, Broadband Division, Wireless Telecommunications Bureau.</w:t>
      </w:r>
    </w:p>
    <w:p w:rsidR="005805D3" w:rsidP="0011673B"/>
    <w:p w:rsidR="0011673B" w:rsidRPr="00F5731A" w:rsidP="0011673B"/>
    <w:sectPr w:rsidSect="00E21FFF">
      <w:type w:val="continuous"/>
      <w:pgSz w:w="12240" w:h="15840" w:code="1"/>
      <w:pgMar w:top="720" w:right="1440" w:bottom="720" w:left="1440" w:header="720" w:footer="57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3EC8" w:rsidP="00142FC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3EC8" w:rsidP="00142FC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163F">
      <w:r>
        <w:separator/>
      </w:r>
    </w:p>
  </w:footnote>
  <w:footnote w:type="continuationSeparator" w:id="1">
    <w:p w:rsidR="00FF163F">
      <w:r>
        <w:continuationSeparator/>
      </w:r>
    </w:p>
  </w:footnote>
  <w:footnote w:type="continuationNotice" w:id="2">
    <w:p w:rsidR="00FF163F"/>
  </w:footnote>
  <w:footnote w:id="3">
    <w:p w:rsidR="00423EC8" w:rsidRPr="00CD6EF6">
      <w:pPr>
        <w:pStyle w:val="FootnoteText"/>
        <w:rPr>
          <w:sz w:val="20"/>
        </w:rPr>
      </w:pPr>
      <w:r w:rsidRPr="00CD6EF6">
        <w:rPr>
          <w:rStyle w:val="FootnoteReference"/>
          <w:sz w:val="20"/>
        </w:rPr>
        <w:footnoteRef/>
      </w:r>
      <w:r w:rsidRPr="00CD6EF6">
        <w:rPr>
          <w:sz w:val="20"/>
        </w:rPr>
        <w:t xml:space="preserve"> </w:t>
      </w:r>
      <w:r w:rsidRPr="00CD6EF6">
        <w:rPr>
          <w:i/>
          <w:sz w:val="20"/>
        </w:rPr>
        <w:t>See</w:t>
      </w:r>
      <w:r w:rsidRPr="00CD6EF6">
        <w:rPr>
          <w:sz w:val="20"/>
        </w:rPr>
        <w:t xml:space="preserve"> </w:t>
      </w:r>
      <w:r w:rsidRPr="00943824" w:rsidR="00943824">
        <w:rPr>
          <w:i/>
          <w:sz w:val="20"/>
        </w:rPr>
        <w:t>Use of Spectrum Bands Above 24 GHz For Mobile Radio Services, et al</w:t>
      </w:r>
      <w:r w:rsidRPr="00943824" w:rsidR="00943824">
        <w:rPr>
          <w:sz w:val="20"/>
        </w:rPr>
        <w:t>., Report and Order and Further Notice of Proposed Rulemaking, 31 FCC Rcd 8014</w:t>
      </w:r>
      <w:r w:rsidR="00943824">
        <w:rPr>
          <w:sz w:val="20"/>
        </w:rPr>
        <w:t>,</w:t>
      </w:r>
      <w:r w:rsidRPr="00943824" w:rsidR="00943824">
        <w:rPr>
          <w:sz w:val="20"/>
        </w:rPr>
        <w:t xml:space="preserve"> </w:t>
      </w:r>
      <w:r w:rsidRPr="00CD6EF6" w:rsidR="008B394D">
        <w:rPr>
          <w:sz w:val="20"/>
        </w:rPr>
        <w:t xml:space="preserve">8029, para. </w:t>
      </w:r>
      <w:r w:rsidRPr="00CD6EF6">
        <w:rPr>
          <w:sz w:val="20"/>
        </w:rPr>
        <w:t>35</w:t>
      </w:r>
      <w:r w:rsidR="00943824">
        <w:rPr>
          <w:sz w:val="20"/>
        </w:rPr>
        <w:t xml:space="preserve"> (2016) (</w:t>
      </w:r>
      <w:r w:rsidRPr="00EC553A" w:rsidR="00943824">
        <w:rPr>
          <w:i/>
          <w:sz w:val="20"/>
        </w:rPr>
        <w:t>Spectrum Frontiers R&amp;O</w:t>
      </w:r>
      <w:r w:rsidR="00943824">
        <w:rPr>
          <w:sz w:val="20"/>
        </w:rPr>
        <w:t>)</w:t>
      </w:r>
      <w:r w:rsidRPr="00CD6EF6">
        <w:rPr>
          <w:sz w:val="20"/>
        </w:rPr>
        <w:t>.</w:t>
      </w:r>
    </w:p>
  </w:footnote>
  <w:footnote w:id="4">
    <w:p w:rsidR="00423EC8" w:rsidRPr="00CD6EF6" w:rsidP="00DA4B2A">
      <w:pPr>
        <w:pStyle w:val="FootnoteText"/>
        <w:rPr>
          <w:sz w:val="20"/>
        </w:rPr>
      </w:pPr>
      <w:r w:rsidRPr="00CD6EF6">
        <w:rPr>
          <w:rStyle w:val="FootnoteReference"/>
          <w:sz w:val="20"/>
        </w:rPr>
        <w:footnoteRef/>
      </w:r>
      <w:r w:rsidRPr="00CD6EF6">
        <w:rPr>
          <w:sz w:val="20"/>
        </w:rPr>
        <w:t xml:space="preserve"> </w:t>
      </w:r>
      <w:r w:rsidRPr="00CD6EF6">
        <w:rPr>
          <w:i/>
          <w:sz w:val="20"/>
        </w:rPr>
        <w:t>See</w:t>
      </w:r>
      <w:r w:rsidRPr="00CD6EF6">
        <w:rPr>
          <w:sz w:val="20"/>
        </w:rPr>
        <w:t xml:space="preserve"> </w:t>
      </w:r>
      <w:r w:rsidR="002624EB">
        <w:rPr>
          <w:i/>
          <w:sz w:val="20"/>
        </w:rPr>
        <w:t xml:space="preserve">id. </w:t>
      </w:r>
      <w:r w:rsidRPr="00CD6EF6">
        <w:rPr>
          <w:sz w:val="20"/>
        </w:rPr>
        <w:t xml:space="preserve"> at </w:t>
      </w:r>
      <w:r w:rsidRPr="00CD6EF6" w:rsidR="008B394D">
        <w:rPr>
          <w:sz w:val="20"/>
        </w:rPr>
        <w:t xml:space="preserve">8046, para. </w:t>
      </w:r>
      <w:r w:rsidRPr="00CD6EF6">
        <w:rPr>
          <w:sz w:val="20"/>
        </w:rPr>
        <w:t>82.</w:t>
      </w:r>
    </w:p>
  </w:footnote>
  <w:footnote w:id="5">
    <w:p w:rsidR="00AF0D01" w:rsidRPr="00AF0D01">
      <w:pPr>
        <w:pStyle w:val="FootnoteText"/>
      </w:pPr>
      <w:r>
        <w:rPr>
          <w:rStyle w:val="FootnoteReference"/>
        </w:rPr>
        <w:footnoteRef/>
      </w:r>
      <w:r>
        <w:t xml:space="preserve"> </w:t>
      </w:r>
      <w:r w:rsidRPr="00EC553A">
        <w:rPr>
          <w:i/>
          <w:sz w:val="20"/>
        </w:rPr>
        <w:t>Spectrum Frontiers R&amp;O</w:t>
      </w:r>
      <w:r>
        <w:rPr>
          <w:sz w:val="20"/>
        </w:rPr>
        <w:t>, 31 FCC Rcd at 8031, 8048, paras. 41, 86.</w:t>
      </w:r>
    </w:p>
  </w:footnote>
  <w:footnote w:id="6">
    <w:p w:rsidR="00423EC8" w:rsidRPr="00CD6EF6">
      <w:pPr>
        <w:pStyle w:val="FootnoteText"/>
        <w:rPr>
          <w:sz w:val="20"/>
        </w:rPr>
      </w:pPr>
      <w:r w:rsidRPr="00CD6EF6">
        <w:rPr>
          <w:rStyle w:val="FootnoteReference"/>
          <w:sz w:val="20"/>
        </w:rPr>
        <w:footnoteRef/>
      </w:r>
      <w:r w:rsidRPr="00CD6EF6">
        <w:rPr>
          <w:sz w:val="20"/>
        </w:rPr>
        <w:t xml:space="preserve"> For example, a BTA license that </w:t>
      </w:r>
      <w:r w:rsidR="00042C31">
        <w:rPr>
          <w:sz w:val="20"/>
        </w:rPr>
        <w:t>covered</w:t>
      </w:r>
      <w:r w:rsidRPr="00CD6EF6" w:rsidR="00042C31">
        <w:rPr>
          <w:sz w:val="20"/>
        </w:rPr>
        <w:t xml:space="preserve"> </w:t>
      </w:r>
      <w:r w:rsidR="00042C31">
        <w:rPr>
          <w:sz w:val="20"/>
        </w:rPr>
        <w:t>three</w:t>
      </w:r>
      <w:r w:rsidRPr="00CD6EF6">
        <w:rPr>
          <w:sz w:val="20"/>
        </w:rPr>
        <w:t xml:space="preserve"> counties </w:t>
      </w:r>
      <w:r w:rsidR="00042C31">
        <w:rPr>
          <w:sz w:val="20"/>
        </w:rPr>
        <w:t>and</w:t>
      </w:r>
      <w:r w:rsidRPr="00CD6EF6">
        <w:rPr>
          <w:sz w:val="20"/>
        </w:rPr>
        <w:t xml:space="preserve"> the entire 27500 – 28350 MHz band has been converted into six UMFUS licenses</w:t>
      </w:r>
      <w:r w:rsidR="00042C31">
        <w:rPr>
          <w:sz w:val="20"/>
        </w:rPr>
        <w:t>:</w:t>
      </w:r>
      <w:r w:rsidRPr="00CD6EF6">
        <w:rPr>
          <w:sz w:val="20"/>
        </w:rPr>
        <w:t xml:space="preserve"> </w:t>
      </w:r>
      <w:r w:rsidR="00042C31">
        <w:rPr>
          <w:sz w:val="20"/>
        </w:rPr>
        <w:t xml:space="preserve"> three</w:t>
      </w:r>
      <w:r w:rsidRPr="00CD6EF6">
        <w:rPr>
          <w:sz w:val="20"/>
        </w:rPr>
        <w:t xml:space="preserve"> licenses on channel L1, one in each county; and 3 licenses on channel L2, one in each county.  </w:t>
      </w:r>
      <w:r w:rsidRPr="00427031" w:rsidR="00427031">
        <w:rPr>
          <w:sz w:val="20"/>
        </w:rPr>
        <w:t>We note that BTA market boundaries are based on 1990 Census Bureau county boundary definitions.  For efficiency of administrative conversion, new UMFUS county market boundaries are also based on 1990 Census Bureau county boundaries.</w:t>
      </w:r>
    </w:p>
  </w:footnote>
  <w:footnote w:id="7">
    <w:p w:rsidR="00423EC8" w:rsidRPr="00CD6EF6">
      <w:pPr>
        <w:pStyle w:val="FootnoteText"/>
        <w:rPr>
          <w:sz w:val="20"/>
        </w:rPr>
      </w:pPr>
      <w:r w:rsidRPr="00CD6EF6">
        <w:rPr>
          <w:rStyle w:val="FootnoteReference"/>
          <w:sz w:val="20"/>
        </w:rPr>
        <w:footnoteRef/>
      </w:r>
      <w:r w:rsidRPr="00CD6EF6">
        <w:rPr>
          <w:sz w:val="20"/>
        </w:rPr>
        <w:t xml:space="preserve"> According to ULS</w:t>
      </w:r>
      <w:r w:rsidR="002624EB">
        <w:rPr>
          <w:sz w:val="20"/>
        </w:rPr>
        <w:t xml:space="preserve">, </w:t>
      </w:r>
      <w:r w:rsidRPr="00CD6EF6">
        <w:rPr>
          <w:sz w:val="20"/>
        </w:rPr>
        <w:t>all existing partitioned licenses were partitioned based on defined county bou</w:t>
      </w:r>
      <w:r w:rsidRPr="00CD6EF6">
        <w:rPr>
          <w:sz w:val="20"/>
        </w:rPr>
        <w:t xml:space="preserve">ndaries, so previously partitioned licenses are consistent with new county market areas. </w:t>
      </w:r>
    </w:p>
  </w:footnote>
  <w:footnote w:id="8">
    <w:p w:rsidR="00423EC8" w:rsidRPr="00CD6EF6">
      <w:pPr>
        <w:pStyle w:val="FootnoteText"/>
        <w:rPr>
          <w:sz w:val="20"/>
        </w:rPr>
      </w:pPr>
      <w:r w:rsidRPr="00CD6EF6">
        <w:rPr>
          <w:rStyle w:val="FootnoteReference"/>
          <w:sz w:val="20"/>
        </w:rPr>
        <w:footnoteRef/>
      </w:r>
      <w:r w:rsidRPr="00CD6EF6">
        <w:rPr>
          <w:sz w:val="20"/>
        </w:rPr>
        <w:t xml:space="preserve"> </w:t>
      </w:r>
      <w:r w:rsidRPr="00CD6EF6" w:rsidR="008B394D">
        <w:rPr>
          <w:sz w:val="20"/>
        </w:rPr>
        <w:t xml:space="preserve">For example, </w:t>
      </w:r>
      <w:r w:rsidRPr="00CD6EF6">
        <w:rPr>
          <w:sz w:val="20"/>
        </w:rPr>
        <w:t>leases for point</w:t>
      </w:r>
      <w:r w:rsidR="00042C31">
        <w:rPr>
          <w:sz w:val="20"/>
        </w:rPr>
        <w:t>-</w:t>
      </w:r>
      <w:r w:rsidRPr="00CD6EF6">
        <w:rPr>
          <w:sz w:val="20"/>
        </w:rPr>
        <w:t>to</w:t>
      </w:r>
      <w:r w:rsidR="00042C31">
        <w:rPr>
          <w:sz w:val="20"/>
        </w:rPr>
        <w:t>-</w:t>
      </w:r>
      <w:r w:rsidRPr="00CD6EF6">
        <w:rPr>
          <w:sz w:val="20"/>
        </w:rPr>
        <w:t>point links are associated with the UMFUS license in which the transmitter is located</w:t>
      </w:r>
      <w:r w:rsidRPr="00CD6EF6" w:rsidR="008B394D">
        <w:rPr>
          <w:sz w:val="20"/>
        </w:rPr>
        <w:t xml:space="preserve">. </w:t>
      </w:r>
      <w:r w:rsidRPr="00CD6EF6">
        <w:rPr>
          <w:sz w:val="20"/>
        </w:rPr>
        <w:t xml:space="preserve"> </w:t>
      </w:r>
      <w:r w:rsidRPr="00CD6EF6" w:rsidR="008B394D">
        <w:rPr>
          <w:sz w:val="20"/>
        </w:rPr>
        <w:t>L</w:t>
      </w:r>
      <w:r w:rsidRPr="00CD6EF6">
        <w:rPr>
          <w:sz w:val="20"/>
        </w:rPr>
        <w:t>eases for the entire LMDS BTA have been di</w:t>
      </w:r>
      <w:r w:rsidRPr="00CD6EF6">
        <w:rPr>
          <w:sz w:val="20"/>
        </w:rPr>
        <w:t>vided and a new lease has been created for each channel (L1 and L2) for each county associated with the original BTA</w:t>
      </w:r>
      <w:r w:rsidRPr="00CD6EF6" w:rsidR="008B394D">
        <w:rPr>
          <w:sz w:val="20"/>
        </w:rPr>
        <w:t>.</w:t>
      </w:r>
      <w:r w:rsidRPr="00CD6EF6">
        <w:rPr>
          <w:sz w:val="20"/>
        </w:rPr>
        <w:t xml:space="preserve"> </w:t>
      </w:r>
      <w:r w:rsidRPr="00CD6EF6" w:rsidR="008B394D">
        <w:rPr>
          <w:sz w:val="20"/>
        </w:rPr>
        <w:t xml:space="preserve"> L</w:t>
      </w:r>
      <w:r w:rsidRPr="00CD6EF6">
        <w:rPr>
          <w:sz w:val="20"/>
        </w:rPr>
        <w:t xml:space="preserve">eases for undefined areas </w:t>
      </w:r>
      <w:r w:rsidR="002624EB">
        <w:rPr>
          <w:sz w:val="20"/>
        </w:rPr>
        <w:t>are</w:t>
      </w:r>
      <w:r w:rsidRPr="00CD6EF6">
        <w:rPr>
          <w:sz w:val="20"/>
        </w:rPr>
        <w:t xml:space="preserve"> associated with the county UMFUS license that corresponds to the leased area</w:t>
      </w:r>
      <w:r w:rsidRPr="00CD6EF6" w:rsidR="008B394D">
        <w:rPr>
          <w:sz w:val="20"/>
        </w:rPr>
        <w:t>.</w:t>
      </w:r>
      <w:r w:rsidRPr="00CD6EF6">
        <w:rPr>
          <w:sz w:val="20"/>
        </w:rPr>
        <w:t xml:space="preserve">  </w:t>
      </w:r>
      <w:r w:rsidRPr="00CD6EF6" w:rsidR="008B394D">
        <w:rPr>
          <w:sz w:val="20"/>
        </w:rPr>
        <w:t>T</w:t>
      </w:r>
      <w:r w:rsidRPr="00CD6EF6">
        <w:rPr>
          <w:sz w:val="20"/>
        </w:rPr>
        <w:t>o the extent that the unde</w:t>
      </w:r>
      <w:r w:rsidRPr="00CD6EF6">
        <w:rPr>
          <w:sz w:val="20"/>
        </w:rPr>
        <w:t>fined area covers more than one county</w:t>
      </w:r>
      <w:r w:rsidR="002624EB">
        <w:rPr>
          <w:sz w:val="20"/>
        </w:rPr>
        <w:t>,</w:t>
      </w:r>
      <w:r w:rsidRPr="00CD6EF6">
        <w:rPr>
          <w:sz w:val="20"/>
        </w:rPr>
        <w:t xml:space="preserve"> a</w:t>
      </w:r>
      <w:r w:rsidR="002624EB">
        <w:rPr>
          <w:sz w:val="20"/>
        </w:rPr>
        <w:t xml:space="preserve"> separate</w:t>
      </w:r>
      <w:r w:rsidRPr="00CD6EF6">
        <w:rPr>
          <w:sz w:val="20"/>
        </w:rPr>
        <w:t xml:space="preserve"> lease has been created </w:t>
      </w:r>
      <w:r w:rsidR="002624EB">
        <w:rPr>
          <w:sz w:val="20"/>
        </w:rPr>
        <w:t xml:space="preserve">for each county corresponding to the original </w:t>
      </w:r>
      <w:r w:rsidRPr="00CD6EF6">
        <w:rPr>
          <w:sz w:val="20"/>
        </w:rPr>
        <w:t xml:space="preserve">leased area </w:t>
      </w:r>
      <w:r w:rsidR="002624EB">
        <w:rPr>
          <w:sz w:val="20"/>
        </w:rPr>
        <w:t>in such county.</w:t>
      </w:r>
    </w:p>
  </w:footnote>
  <w:footnote w:id="9">
    <w:p w:rsidR="00303AC1" w:rsidP="00303AC1">
      <w:pPr>
        <w:pStyle w:val="FootnoteText"/>
      </w:pPr>
      <w:r>
        <w:rPr>
          <w:rStyle w:val="FootnoteReference"/>
        </w:rPr>
        <w:footnoteRef/>
      </w:r>
      <w:r>
        <w:t xml:space="preserve"> </w:t>
      </w:r>
      <w:r w:rsidRPr="00EC553A">
        <w:rPr>
          <w:sz w:val="20"/>
        </w:rPr>
        <w:t>Original LMDS</w:t>
      </w:r>
      <w:r>
        <w:t xml:space="preserve"> </w:t>
      </w:r>
      <w:r w:rsidRPr="00EA10EC">
        <w:rPr>
          <w:sz w:val="20"/>
        </w:rPr>
        <w:t>Channel Block A consist</w:t>
      </w:r>
      <w:r>
        <w:rPr>
          <w:sz w:val="20"/>
        </w:rPr>
        <w:t>ed</w:t>
      </w:r>
      <w:r w:rsidRPr="00EA10EC">
        <w:rPr>
          <w:sz w:val="20"/>
        </w:rPr>
        <w:t xml:space="preserve"> of three </w:t>
      </w:r>
      <w:r>
        <w:rPr>
          <w:sz w:val="20"/>
        </w:rPr>
        <w:t>channels</w:t>
      </w:r>
      <w:r w:rsidRPr="00EA10EC">
        <w:rPr>
          <w:sz w:val="20"/>
        </w:rPr>
        <w:t>:  A1 (27</w:t>
      </w:r>
      <w:r>
        <w:rPr>
          <w:sz w:val="20"/>
        </w:rPr>
        <w:t>.</w:t>
      </w:r>
      <w:r w:rsidRPr="00EA10EC">
        <w:rPr>
          <w:sz w:val="20"/>
        </w:rPr>
        <w:t>500 – 28</w:t>
      </w:r>
      <w:r>
        <w:rPr>
          <w:sz w:val="20"/>
        </w:rPr>
        <w:t>.</w:t>
      </w:r>
      <w:r w:rsidRPr="00EA10EC">
        <w:rPr>
          <w:sz w:val="20"/>
        </w:rPr>
        <w:t xml:space="preserve">350 </w:t>
      </w:r>
      <w:r>
        <w:rPr>
          <w:sz w:val="20"/>
        </w:rPr>
        <w:t>G</w:t>
      </w:r>
      <w:r w:rsidRPr="00EA10EC">
        <w:rPr>
          <w:sz w:val="20"/>
        </w:rPr>
        <w:t>Hz); A2 (29</w:t>
      </w:r>
      <w:r>
        <w:rPr>
          <w:sz w:val="20"/>
        </w:rPr>
        <w:t>.</w:t>
      </w:r>
      <w:r w:rsidRPr="00EA10EC">
        <w:rPr>
          <w:sz w:val="20"/>
        </w:rPr>
        <w:t>100 – 29</w:t>
      </w:r>
      <w:r>
        <w:rPr>
          <w:sz w:val="20"/>
        </w:rPr>
        <w:t>.</w:t>
      </w:r>
      <w:r w:rsidRPr="00EA10EC">
        <w:rPr>
          <w:sz w:val="20"/>
        </w:rPr>
        <w:t xml:space="preserve">250 </w:t>
      </w:r>
      <w:r>
        <w:rPr>
          <w:sz w:val="20"/>
        </w:rPr>
        <w:t>G</w:t>
      </w:r>
      <w:r w:rsidRPr="00EA10EC">
        <w:rPr>
          <w:sz w:val="20"/>
        </w:rPr>
        <w:t>Hz); and A3 (31</w:t>
      </w:r>
      <w:r>
        <w:rPr>
          <w:sz w:val="20"/>
        </w:rPr>
        <w:t>.</w:t>
      </w:r>
      <w:r w:rsidRPr="00EA10EC">
        <w:rPr>
          <w:sz w:val="20"/>
        </w:rPr>
        <w:t>075 – 31</w:t>
      </w:r>
      <w:r>
        <w:rPr>
          <w:sz w:val="20"/>
        </w:rPr>
        <w:t>.</w:t>
      </w:r>
      <w:r w:rsidRPr="00EA10EC">
        <w:rPr>
          <w:sz w:val="20"/>
        </w:rPr>
        <w:t xml:space="preserve">225 </w:t>
      </w:r>
      <w:r>
        <w:rPr>
          <w:sz w:val="20"/>
        </w:rPr>
        <w:t>G</w:t>
      </w:r>
      <w:r w:rsidRPr="00EA10EC">
        <w:rPr>
          <w:sz w:val="20"/>
        </w:rPr>
        <w:t>Hz).</w:t>
      </w:r>
    </w:p>
  </w:footnote>
  <w:footnote w:id="10">
    <w:p w:rsidR="007B4019" w:rsidP="007B4019">
      <w:pPr>
        <w:pStyle w:val="FootnoteText"/>
      </w:pPr>
      <w:r>
        <w:rPr>
          <w:rStyle w:val="FootnoteReference"/>
        </w:rPr>
        <w:footnoteRef/>
      </w:r>
      <w:r>
        <w:t xml:space="preserve"> </w:t>
      </w:r>
      <w:r w:rsidRPr="00EA10EC">
        <w:rPr>
          <w:sz w:val="20"/>
        </w:rPr>
        <w:t xml:space="preserve">Channel Block B consists of two </w:t>
      </w:r>
      <w:r w:rsidR="00303AC1">
        <w:rPr>
          <w:sz w:val="20"/>
        </w:rPr>
        <w:t>channels</w:t>
      </w:r>
      <w:r w:rsidRPr="00EA10EC">
        <w:rPr>
          <w:sz w:val="20"/>
        </w:rPr>
        <w:t>:  B1 (31</w:t>
      </w:r>
      <w:r w:rsidR="00303AC1">
        <w:rPr>
          <w:sz w:val="20"/>
        </w:rPr>
        <w:t>.</w:t>
      </w:r>
      <w:r w:rsidRPr="00EA10EC">
        <w:rPr>
          <w:sz w:val="20"/>
        </w:rPr>
        <w:t>000 – 31</w:t>
      </w:r>
      <w:r w:rsidR="00303AC1">
        <w:rPr>
          <w:sz w:val="20"/>
        </w:rPr>
        <w:t>.</w:t>
      </w:r>
      <w:r w:rsidRPr="00EA10EC">
        <w:rPr>
          <w:sz w:val="20"/>
        </w:rPr>
        <w:t xml:space="preserve">075 </w:t>
      </w:r>
      <w:r w:rsidR="00303AC1">
        <w:rPr>
          <w:sz w:val="20"/>
        </w:rPr>
        <w:t>G</w:t>
      </w:r>
      <w:r w:rsidRPr="00EA10EC">
        <w:rPr>
          <w:sz w:val="20"/>
        </w:rPr>
        <w:t>Hz); and B2 (31</w:t>
      </w:r>
      <w:r w:rsidR="00303AC1">
        <w:rPr>
          <w:sz w:val="20"/>
        </w:rPr>
        <w:t>.</w:t>
      </w:r>
      <w:r w:rsidRPr="00EA10EC">
        <w:rPr>
          <w:sz w:val="20"/>
        </w:rPr>
        <w:t>225 – 31</w:t>
      </w:r>
      <w:r w:rsidR="00303AC1">
        <w:rPr>
          <w:sz w:val="20"/>
        </w:rPr>
        <w:t>.</w:t>
      </w:r>
      <w:r w:rsidRPr="00EA10EC">
        <w:rPr>
          <w:sz w:val="20"/>
        </w:rPr>
        <w:t xml:space="preserve">300 </w:t>
      </w:r>
      <w:r w:rsidR="00303AC1">
        <w:rPr>
          <w:sz w:val="20"/>
        </w:rPr>
        <w:t>G</w:t>
      </w:r>
      <w:r w:rsidRPr="00EA10EC">
        <w:rPr>
          <w:sz w:val="20"/>
        </w:rPr>
        <w:t>Hz).</w:t>
      </w:r>
    </w:p>
  </w:footnote>
  <w:footnote w:id="11">
    <w:p w:rsidR="005805D3" w:rsidRPr="00CD6EF6">
      <w:pPr>
        <w:pStyle w:val="FootnoteText"/>
        <w:rPr>
          <w:sz w:val="20"/>
        </w:rPr>
      </w:pPr>
      <w:r w:rsidRPr="00CD6EF6">
        <w:rPr>
          <w:rStyle w:val="FootnoteReference"/>
          <w:sz w:val="20"/>
        </w:rPr>
        <w:footnoteRef/>
      </w:r>
      <w:r w:rsidRPr="00CD6EF6">
        <w:rPr>
          <w:sz w:val="20"/>
        </w:rPr>
        <w:t xml:space="preserve"> Performing a “market” search on a BTA in ULS </w:t>
      </w:r>
      <w:r w:rsidRPr="00CD6EF6" w:rsidR="004178F8">
        <w:rPr>
          <w:sz w:val="20"/>
        </w:rPr>
        <w:t xml:space="preserve">or selecting the “other licenses in the market” from the </w:t>
      </w:r>
      <w:r w:rsidRPr="00CD6EF6" w:rsidR="00A93990">
        <w:rPr>
          <w:sz w:val="20"/>
        </w:rPr>
        <w:t xml:space="preserve">define view </w:t>
      </w:r>
      <w:r w:rsidRPr="00CD6EF6" w:rsidR="004178F8">
        <w:rPr>
          <w:sz w:val="20"/>
        </w:rPr>
        <w:t xml:space="preserve">dropdown box on the market tab </w:t>
      </w:r>
      <w:r w:rsidRPr="00CD6EF6">
        <w:rPr>
          <w:sz w:val="20"/>
        </w:rPr>
        <w:t xml:space="preserve">will yield results that will show new UMFUS licenses </w:t>
      </w:r>
      <w:r w:rsidRPr="00CD6EF6" w:rsidR="00A93990">
        <w:rPr>
          <w:sz w:val="20"/>
        </w:rPr>
        <w:t xml:space="preserve">on the same channel </w:t>
      </w:r>
      <w:r w:rsidRPr="00CD6EF6">
        <w:rPr>
          <w:sz w:val="20"/>
        </w:rPr>
        <w:t>that are within the original BTA boundary.</w:t>
      </w:r>
    </w:p>
  </w:footnote>
  <w:footnote w:id="12">
    <w:p w:rsidR="00423EC8" w:rsidRPr="0016799F" w:rsidP="00423EC8">
      <w:pPr>
        <w:pStyle w:val="FootnoteText"/>
        <w:rPr>
          <w:sz w:val="20"/>
        </w:rPr>
      </w:pPr>
      <w:r w:rsidRPr="00CD6EF6">
        <w:rPr>
          <w:rStyle w:val="FootnoteReference"/>
          <w:sz w:val="20"/>
        </w:rPr>
        <w:footnoteRef/>
      </w:r>
      <w:r w:rsidRPr="00CD6EF6">
        <w:rPr>
          <w:sz w:val="20"/>
        </w:rPr>
        <w:t xml:space="preserve"> </w:t>
      </w:r>
      <w:r w:rsidRPr="00CD6EF6" w:rsidR="008B394D">
        <w:rPr>
          <w:sz w:val="20"/>
        </w:rPr>
        <w:t xml:space="preserve">For example, </w:t>
      </w:r>
      <w:r w:rsidRPr="00CD6EF6">
        <w:rPr>
          <w:sz w:val="20"/>
        </w:rPr>
        <w:t>leases for point</w:t>
      </w:r>
      <w:r w:rsidR="003E055C">
        <w:rPr>
          <w:sz w:val="20"/>
        </w:rPr>
        <w:t>-</w:t>
      </w:r>
      <w:r w:rsidRPr="00CD6EF6">
        <w:rPr>
          <w:sz w:val="20"/>
        </w:rPr>
        <w:t>to</w:t>
      </w:r>
      <w:r w:rsidR="003E055C">
        <w:rPr>
          <w:sz w:val="20"/>
        </w:rPr>
        <w:t>-</w:t>
      </w:r>
      <w:r w:rsidRPr="00CD6EF6">
        <w:rPr>
          <w:sz w:val="20"/>
        </w:rPr>
        <w:t>point links are associated with the UMFUS license in which the transmitter</w:t>
      </w:r>
      <w:r w:rsidRPr="00CD6EF6">
        <w:rPr>
          <w:sz w:val="20"/>
        </w:rPr>
        <w:t xml:space="preserve"> is located</w:t>
      </w:r>
      <w:r w:rsidRPr="00CD6EF6" w:rsidR="008B394D">
        <w:rPr>
          <w:sz w:val="20"/>
        </w:rPr>
        <w:t xml:space="preserve">. </w:t>
      </w:r>
      <w:r w:rsidRPr="00CD6EF6">
        <w:rPr>
          <w:sz w:val="20"/>
        </w:rPr>
        <w:t xml:space="preserve"> </w:t>
      </w:r>
      <w:r w:rsidRPr="00CD6EF6" w:rsidR="008B394D">
        <w:rPr>
          <w:sz w:val="20"/>
        </w:rPr>
        <w:t>L</w:t>
      </w:r>
      <w:r w:rsidRPr="00CD6EF6">
        <w:rPr>
          <w:sz w:val="20"/>
        </w:rPr>
        <w:t xml:space="preserve">eases for the entire </w:t>
      </w:r>
      <w:r w:rsidR="00B013AA">
        <w:rPr>
          <w:sz w:val="20"/>
        </w:rPr>
        <w:t>39 GHz</w:t>
      </w:r>
      <w:r w:rsidRPr="00CD6EF6" w:rsidR="005805D3">
        <w:rPr>
          <w:sz w:val="20"/>
        </w:rPr>
        <w:t xml:space="preserve"> EA</w:t>
      </w:r>
      <w:r w:rsidRPr="00CD6EF6">
        <w:rPr>
          <w:sz w:val="20"/>
        </w:rPr>
        <w:t xml:space="preserve"> have been divided and a new lease has</w:t>
      </w:r>
      <w:r w:rsidRPr="00CD6EF6" w:rsidR="005805D3">
        <w:rPr>
          <w:sz w:val="20"/>
        </w:rPr>
        <w:t xml:space="preserve"> been created for each 50 MHz channel block </w:t>
      </w:r>
      <w:r w:rsidRPr="00CD6EF6">
        <w:rPr>
          <w:sz w:val="20"/>
        </w:rPr>
        <w:t xml:space="preserve">for each </w:t>
      </w:r>
      <w:r w:rsidRPr="00CD6EF6" w:rsidR="005805D3">
        <w:rPr>
          <w:sz w:val="20"/>
        </w:rPr>
        <w:t>PEA</w:t>
      </w:r>
      <w:r w:rsidRPr="00CD6EF6">
        <w:rPr>
          <w:sz w:val="20"/>
        </w:rPr>
        <w:t xml:space="preserve"> associated with the original </w:t>
      </w:r>
      <w:r w:rsidRPr="00CD6EF6" w:rsidR="005805D3">
        <w:rPr>
          <w:sz w:val="20"/>
        </w:rPr>
        <w:t>EA</w:t>
      </w:r>
      <w:r w:rsidRPr="00CD6EF6" w:rsidR="008B394D">
        <w:rPr>
          <w:sz w:val="20"/>
        </w:rPr>
        <w:t xml:space="preserve">. </w:t>
      </w:r>
      <w:r w:rsidRPr="00CD6EF6">
        <w:rPr>
          <w:sz w:val="20"/>
        </w:rPr>
        <w:t xml:space="preserve"> </w:t>
      </w:r>
      <w:r w:rsidRPr="00CD6EF6" w:rsidR="008B394D">
        <w:rPr>
          <w:sz w:val="20"/>
        </w:rPr>
        <w:t>L</w:t>
      </w:r>
      <w:r w:rsidRPr="00CD6EF6">
        <w:rPr>
          <w:sz w:val="20"/>
        </w:rPr>
        <w:t>eases for undefined areas</w:t>
      </w:r>
      <w:r w:rsidRPr="00CD6EF6" w:rsidR="005805D3">
        <w:rPr>
          <w:sz w:val="20"/>
        </w:rPr>
        <w:t xml:space="preserve"> have been associated with the PEA</w:t>
      </w:r>
      <w:r w:rsidRPr="00CD6EF6">
        <w:rPr>
          <w:sz w:val="20"/>
        </w:rPr>
        <w:t xml:space="preserve"> UMFUS license that co</w:t>
      </w:r>
      <w:r w:rsidRPr="00CD6EF6">
        <w:rPr>
          <w:sz w:val="20"/>
        </w:rPr>
        <w:t>rresponds to the leased area</w:t>
      </w:r>
      <w:r w:rsidRPr="00CD6EF6" w:rsidR="008B394D">
        <w:rPr>
          <w:sz w:val="20"/>
        </w:rPr>
        <w:t>.</w:t>
      </w:r>
      <w:r w:rsidRPr="00CD6EF6">
        <w:rPr>
          <w:sz w:val="20"/>
        </w:rPr>
        <w:t xml:space="preserve">  </w:t>
      </w:r>
      <w:r w:rsidRPr="00CD6EF6" w:rsidR="008B394D">
        <w:rPr>
          <w:sz w:val="20"/>
        </w:rPr>
        <w:t>T</w:t>
      </w:r>
      <w:r w:rsidRPr="00CD6EF6">
        <w:rPr>
          <w:sz w:val="20"/>
        </w:rPr>
        <w:t xml:space="preserve">o the extent that the undefined area covers more than one </w:t>
      </w:r>
      <w:r w:rsidRPr="00CD6EF6" w:rsidR="005805D3">
        <w:rPr>
          <w:sz w:val="20"/>
        </w:rPr>
        <w:t>PEA</w:t>
      </w:r>
      <w:r w:rsidR="003E055C">
        <w:rPr>
          <w:sz w:val="20"/>
        </w:rPr>
        <w:t>,</w:t>
      </w:r>
      <w:r w:rsidRPr="00CD6EF6">
        <w:rPr>
          <w:sz w:val="20"/>
        </w:rPr>
        <w:t xml:space="preserve"> a lease has been created f</w:t>
      </w:r>
      <w:r w:rsidRPr="00CD6EF6" w:rsidR="005805D3">
        <w:rPr>
          <w:sz w:val="20"/>
        </w:rPr>
        <w:t>or the leased area within each PEA</w:t>
      </w:r>
      <w:r w:rsidRPr="00CD6EF6">
        <w:rPr>
          <w:sz w:val="20"/>
        </w:rPr>
        <w:t xml:space="preserve">.  </w:t>
      </w:r>
    </w:p>
  </w:footnote>
  <w:footnote w:id="13">
    <w:p w:rsidR="00987F73" w:rsidRPr="00BA5909">
      <w:pPr>
        <w:pStyle w:val="FootnoteText"/>
        <w:rPr>
          <w:sz w:val="20"/>
        </w:rPr>
      </w:pPr>
      <w:r w:rsidRPr="00BA5909">
        <w:rPr>
          <w:rStyle w:val="FootnoteReference"/>
          <w:sz w:val="20"/>
        </w:rPr>
        <w:footnoteRef/>
      </w:r>
      <w:r w:rsidRPr="00BA5909">
        <w:rPr>
          <w:sz w:val="20"/>
        </w:rPr>
        <w:t xml:space="preserve"> </w:t>
      </w:r>
      <w:r w:rsidRPr="00BA5909" w:rsidR="002514C8">
        <w:rPr>
          <w:sz w:val="20"/>
        </w:rPr>
        <w:t>D</w:t>
      </w:r>
      <w:r w:rsidRPr="00BA5909">
        <w:rPr>
          <w:sz w:val="20"/>
        </w:rPr>
        <w:t xml:space="preserve">etails of the </w:t>
      </w:r>
      <w:r w:rsidRPr="00BA5909" w:rsidR="002514C8">
        <w:rPr>
          <w:sz w:val="20"/>
        </w:rPr>
        <w:t>license</w:t>
      </w:r>
      <w:r w:rsidRPr="00BA5909">
        <w:rPr>
          <w:sz w:val="20"/>
        </w:rPr>
        <w:t xml:space="preserve"> boundaries are reflected in the map tab</w:t>
      </w:r>
      <w:r w:rsidRPr="00BA5909" w:rsidR="002514C8">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3EC8" w:rsidP="00AB5644">
    <w:pPr>
      <w:pStyle w:val="Header"/>
      <w:tabs>
        <w:tab w:val="clear" w:pos="4320"/>
        <w:tab w:val="clear" w:pos="8640"/>
      </w:tabs>
      <w:spacing w:before="40"/>
      <w:ind w:left="-720"/>
      <w:jc w:val="both"/>
      <w:rPr>
        <w:rFonts w:ascii="News Gothic MT" w:hAnsi="News Gothic MT"/>
        <w:b/>
        <w:kern w:val="28"/>
        <w:sz w:val="96"/>
      </w:rPr>
    </w:pPr>
    <w:r>
      <w:rPr>
        <w:rFonts w:ascii="News Gothic MT" w:hAnsi="News Gothic MT"/>
        <w:b/>
        <w:noProof/>
        <w:sz w:val="24"/>
      </w:rPr>
      <w:drawing>
        <wp:anchor distT="0" distB="0" distL="114300" distR="114300" simplePos="0" relativeHeight="251662336" behindDoc="1" locked="0" layoutInCell="0" allowOverlap="1">
          <wp:simplePos x="0" y="0"/>
          <wp:positionH relativeFrom="margin">
            <wp:align>left</wp:align>
          </wp:positionH>
          <wp:positionV relativeFrom="paragraph">
            <wp:posOffset>113030</wp:posOffset>
          </wp:positionV>
          <wp:extent cx="530352" cy="530352"/>
          <wp:effectExtent l="0" t="0" r="3175" b="3175"/>
          <wp:wrapTight wrapText="bothSides">
            <wp:wrapPolygon>
              <wp:start x="0" y="0"/>
              <wp:lineTo x="0" y="20953"/>
              <wp:lineTo x="20953" y="20953"/>
              <wp:lineTo x="20953" y="0"/>
              <wp:lineTo x="0" y="0"/>
            </wp:wrapPolygon>
          </wp:wrapTight>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7168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352" cy="530352"/>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23EC8">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margin">
                <wp:posOffset>3295015</wp:posOffset>
              </wp:positionH>
              <wp:positionV relativeFrom="paragraph">
                <wp:posOffset>72366</wp:posOffset>
              </wp:positionV>
              <wp:extent cx="2640965" cy="640080"/>
              <wp:effectExtent l="0" t="0" r="6985" b="762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3EC8">
                          <w:pPr>
                            <w:spacing w:before="40"/>
                            <w:jc w:val="right"/>
                            <w:rPr>
                              <w:rFonts w:ascii="Arial" w:hAnsi="Arial"/>
                              <w:b/>
                              <w:sz w:val="16"/>
                            </w:rPr>
                          </w:pPr>
                          <w:r>
                            <w:rPr>
                              <w:rFonts w:ascii="Arial" w:hAnsi="Arial"/>
                              <w:b/>
                              <w:sz w:val="16"/>
                            </w:rPr>
                            <w:t>News Media Information 202 / 418-0500</w:t>
                          </w:r>
                        </w:p>
                        <w:p w:rsidR="00423EC8">
                          <w:pPr>
                            <w:jc w:val="right"/>
                            <w:rPr>
                              <w:rFonts w:ascii="Arial" w:hAnsi="Arial"/>
                              <w:b/>
                              <w:sz w:val="16"/>
                            </w:rPr>
                          </w:pPr>
                          <w:r>
                            <w:rPr>
                              <w:rFonts w:ascii="Arial" w:hAnsi="Arial"/>
                              <w:b/>
                              <w:sz w:val="16"/>
                            </w:rPr>
                            <w:tab/>
                            <w:t>Internet: http://www.fcc.gov</w:t>
                          </w:r>
                        </w:p>
                        <w:p w:rsidR="00423EC8">
                          <w:pPr>
                            <w:jc w:val="right"/>
                            <w:rPr>
                              <w:rFonts w:ascii="Arial" w:hAnsi="Arial"/>
                              <w:b/>
                              <w:sz w:val="16"/>
                            </w:rPr>
                          </w:pPr>
                          <w:r>
                            <w:rPr>
                              <w:rFonts w:ascii="Arial" w:hAnsi="Arial"/>
                              <w:b/>
                              <w:sz w:val="16"/>
                            </w:rPr>
                            <w:t>TTY: 1-888-835-5322</w:t>
                          </w:r>
                        </w:p>
                        <w:p w:rsidR="00423EC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50.4pt;margin-top:5.7pt;margin-left:259.45pt;mso-height-percent:0;mso-height-relative:page;mso-position-horizontal-relative:margin;mso-width-percent:0;mso-width-relative:page;mso-wrap-distance-bottom:0;mso-wrap-distance-left:9pt;mso-wrap-distance-right:9pt;mso-wrap-distance-top:0;mso-wrap-style:square;position:absolute;visibility:visible;v-text-anchor:top;z-index:251664384" o:allowincell="f" stroked="f">
              <v:textbox inset=",0,,0">
                <w:txbxContent>
                  <w:p w:rsidR="00423EC8">
                    <w:pPr>
                      <w:spacing w:before="40"/>
                      <w:jc w:val="right"/>
                      <w:rPr>
                        <w:rFonts w:ascii="Arial" w:hAnsi="Arial"/>
                        <w:b/>
                        <w:sz w:val="16"/>
                      </w:rPr>
                    </w:pPr>
                    <w:r>
                      <w:rPr>
                        <w:rFonts w:ascii="Arial" w:hAnsi="Arial"/>
                        <w:b/>
                        <w:sz w:val="16"/>
                      </w:rPr>
                      <w:t>News Media Information 202 / 418-0500</w:t>
                    </w:r>
                  </w:p>
                  <w:p w:rsidR="00423EC8">
                    <w:pPr>
                      <w:jc w:val="right"/>
                      <w:rPr>
                        <w:rFonts w:ascii="Arial" w:hAnsi="Arial"/>
                        <w:b/>
                        <w:sz w:val="16"/>
                      </w:rPr>
                    </w:pPr>
                    <w:r>
                      <w:rPr>
                        <w:rFonts w:ascii="Arial" w:hAnsi="Arial"/>
                        <w:b/>
                        <w:sz w:val="16"/>
                      </w:rPr>
                      <w:tab/>
                      <w:t>Internet: http://www.fcc.gov</w:t>
                    </w:r>
                  </w:p>
                  <w:p w:rsidR="00423EC8">
                    <w:pPr>
                      <w:jc w:val="right"/>
                      <w:rPr>
                        <w:rFonts w:ascii="Arial" w:hAnsi="Arial"/>
                        <w:b/>
                        <w:sz w:val="16"/>
                      </w:rPr>
                    </w:pPr>
                    <w:r>
                      <w:rPr>
                        <w:rFonts w:ascii="Arial" w:hAnsi="Arial"/>
                        <w:b/>
                        <w:sz w:val="16"/>
                      </w:rPr>
                      <w:t>TTY: 1-888-835-5322</w:t>
                    </w:r>
                  </w:p>
                  <w:p w:rsidR="00423EC8">
                    <w:pPr>
                      <w:jc w:val="right"/>
                    </w:pPr>
                  </w:p>
                </w:txbxContent>
              </v:textbox>
              <w10:wrap anchorx="margin"/>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711911</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61312" from="0,56.05pt" to="463.5pt,56.25pt" o:allowincell="f">
              <w10:wrap anchorx="margin"/>
            </v:lin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3EC8">
                          <w:pPr>
                            <w:rPr>
                              <w:rFonts w:ascii="Arial" w:hAnsi="Arial"/>
                              <w:b/>
                            </w:rPr>
                          </w:pPr>
                          <w:r>
                            <w:rPr>
                              <w:rFonts w:ascii="Arial" w:hAnsi="Arial"/>
                              <w:b/>
                            </w:rPr>
                            <w:t>Federal Communications Commission</w:t>
                          </w:r>
                        </w:p>
                        <w:p w:rsidR="00423E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23EC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23EC8">
                    <w:pPr>
                      <w:rPr>
                        <w:rFonts w:ascii="Arial" w:hAnsi="Arial"/>
                        <w:b/>
                      </w:rPr>
                    </w:pPr>
                    <w:r>
                      <w:rPr>
                        <w:rFonts w:ascii="Arial" w:hAnsi="Arial"/>
                        <w:b/>
                      </w:rPr>
                      <w:t>Federal Communications Commission</w:t>
                    </w:r>
                  </w:p>
                  <w:p w:rsidR="00423E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23EC8">
                    <w:pPr>
                      <w:rPr>
                        <w:rFonts w:ascii="Arial" w:hAnsi="Arial"/>
                        <w:sz w:val="24"/>
                      </w:rPr>
                    </w:pPr>
                    <w:r>
                      <w:rPr>
                        <w:rFonts w:ascii="Arial" w:hAnsi="Arial"/>
                        <w:b/>
                      </w:rPr>
                      <w:t>Washington, D.C. 20554</w:t>
                    </w:r>
                  </w:p>
                </w:txbxContent>
              </v:textbox>
            </v:shape>
          </w:pict>
        </mc:Fallback>
      </mc:AlternateContent>
    </w:r>
  </w:p>
  <w:p w:rsidR="00423EC8">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487E48A6"/>
    <w:multiLevelType w:val="hybridMultilevel"/>
    <w:tmpl w:val="9D30E670"/>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724816A2"/>
    <w:multiLevelType w:val="hybridMultilevel"/>
    <w:tmpl w:val="F3F0D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E514A8F"/>
    <w:multiLevelType w:val="hybridMultilevel"/>
    <w:tmpl w:val="1E0E7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EB9"/>
    <w:rPr>
      <w:rFonts w:ascii="Times New Roman" w:eastAsia="Times New Roman" w:hAnsi="Times New Roman" w:cs="Times New Roman"/>
      <w:sz w:val="22"/>
      <w:lang w:val="en-US" w:eastAsia="en-US" w:bidi="ar-SA"/>
    </w:rPr>
  </w:style>
  <w:style w:type="paragraph" w:styleId="Heading1">
    <w:name w:val="heading 1"/>
    <w:basedOn w:val="Normal"/>
    <w:next w:val="Normal"/>
    <w:qFormat/>
    <w:rsid w:val="008A6EB9"/>
    <w:pPr>
      <w:keepNext/>
      <w:widowControl w:val="0"/>
      <w:numPr>
        <w:ilvl w:val="0"/>
        <w:numId w:val="2"/>
      </w:numPr>
      <w:suppressAutoHyphens/>
      <w:spacing w:after="220"/>
      <w:jc w:val="both"/>
      <w:outlineLvl w:val="0"/>
    </w:pPr>
    <w:rPr>
      <w:b/>
      <w:caps/>
      <w:sz w:val="22"/>
    </w:rPr>
  </w:style>
  <w:style w:type="paragraph" w:styleId="Heading2">
    <w:name w:val="heading 2"/>
    <w:basedOn w:val="Normal"/>
    <w:next w:val="Normal"/>
    <w:qFormat/>
    <w:rsid w:val="008A6EB9"/>
    <w:pPr>
      <w:keepNext/>
      <w:widowControl w:val="0"/>
      <w:numPr>
        <w:ilvl w:val="1"/>
        <w:numId w:val="2"/>
      </w:numPr>
      <w:spacing w:after="220"/>
      <w:jc w:val="both"/>
      <w:outlineLvl w:val="1"/>
    </w:pPr>
    <w:rPr>
      <w:b/>
      <w:sz w:val="22"/>
    </w:rPr>
  </w:style>
  <w:style w:type="paragraph" w:styleId="Heading3">
    <w:name w:val="heading 3"/>
    <w:basedOn w:val="Normal"/>
    <w:next w:val="Normal"/>
    <w:qFormat/>
    <w:rsid w:val="008A6EB9"/>
    <w:pPr>
      <w:keepNext/>
      <w:widowControl w:val="0"/>
      <w:numPr>
        <w:ilvl w:val="2"/>
        <w:numId w:val="2"/>
      </w:numPr>
      <w:spacing w:after="220"/>
      <w:jc w:val="both"/>
      <w:outlineLvl w:val="2"/>
    </w:pPr>
    <w:rPr>
      <w:b/>
      <w:sz w:val="22"/>
    </w:rPr>
  </w:style>
  <w:style w:type="paragraph" w:styleId="Heading4">
    <w:name w:val="heading 4"/>
    <w:basedOn w:val="Normal"/>
    <w:next w:val="Normal"/>
    <w:qFormat/>
    <w:rsid w:val="008A6EB9"/>
    <w:pPr>
      <w:keepNext/>
      <w:widowControl w:val="0"/>
      <w:numPr>
        <w:ilvl w:val="3"/>
        <w:numId w:val="2"/>
      </w:numPr>
      <w:spacing w:after="220"/>
      <w:jc w:val="both"/>
      <w:outlineLvl w:val="3"/>
    </w:pPr>
    <w:rPr>
      <w:b/>
      <w:sz w:val="22"/>
    </w:rPr>
  </w:style>
  <w:style w:type="paragraph" w:styleId="Heading5">
    <w:name w:val="heading 5"/>
    <w:basedOn w:val="Normal"/>
    <w:next w:val="Normal"/>
    <w:qFormat/>
    <w:rsid w:val="008A6EB9"/>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rsid w:val="008A6EB9"/>
    <w:pPr>
      <w:widowControl w:val="0"/>
      <w:numPr>
        <w:ilvl w:val="5"/>
        <w:numId w:val="2"/>
      </w:numPr>
      <w:spacing w:after="220"/>
      <w:jc w:val="both"/>
      <w:outlineLvl w:val="5"/>
    </w:pPr>
    <w:rPr>
      <w:b/>
      <w:sz w:val="22"/>
    </w:rPr>
  </w:style>
  <w:style w:type="paragraph" w:styleId="Heading7">
    <w:name w:val="heading 7"/>
    <w:basedOn w:val="Normal"/>
    <w:next w:val="Normal"/>
    <w:qFormat/>
    <w:rsid w:val="008A6EB9"/>
    <w:pPr>
      <w:widowControl w:val="0"/>
      <w:numPr>
        <w:ilvl w:val="7"/>
        <w:numId w:val="2"/>
      </w:numPr>
      <w:spacing w:after="220"/>
      <w:jc w:val="both"/>
      <w:outlineLvl w:val="6"/>
    </w:pPr>
    <w:rPr>
      <w:b/>
      <w:sz w:val="22"/>
    </w:rPr>
  </w:style>
  <w:style w:type="paragraph" w:styleId="Heading8">
    <w:name w:val="heading 8"/>
    <w:basedOn w:val="Normal"/>
    <w:next w:val="Normal"/>
    <w:qFormat/>
    <w:rsid w:val="008A6EB9"/>
    <w:pPr>
      <w:widowControl w:val="0"/>
      <w:numPr>
        <w:ilvl w:val="7"/>
        <w:numId w:val="3"/>
      </w:numPr>
      <w:tabs>
        <w:tab w:val="clear" w:pos="5400"/>
      </w:tabs>
      <w:spacing w:after="220"/>
      <w:ind w:left="5760" w:hanging="720"/>
      <w:jc w:val="both"/>
      <w:outlineLvl w:val="7"/>
    </w:pPr>
    <w:rPr>
      <w:b/>
      <w:sz w:val="22"/>
    </w:rPr>
  </w:style>
  <w:style w:type="paragraph" w:styleId="Heading9">
    <w:name w:val="heading 9"/>
    <w:basedOn w:val="Normal"/>
    <w:next w:val="Normal"/>
    <w:qFormat/>
    <w:rsid w:val="008A6EB9"/>
    <w:pPr>
      <w:widowControl w:val="0"/>
      <w:numPr>
        <w:ilvl w:val="8"/>
        <w:numId w:val="2"/>
      </w:numPr>
      <w:spacing w:after="220"/>
      <w:jc w:val="both"/>
      <w:outlineLvl w:val="8"/>
    </w:pPr>
    <w:rPr>
      <w:b/>
      <w:sz w:val="22"/>
    </w:rPr>
  </w:style>
  <w:style w:type="character" w:default="1" w:styleId="DefaultParagraphFont">
    <w:name w:val="Default Paragraph Font"/>
    <w:semiHidden/>
    <w:rsid w:val="008A6E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6EB9"/>
  </w:style>
  <w:style w:type="paragraph" w:styleId="Header">
    <w:name w:val="header"/>
    <w:basedOn w:val="Normal"/>
    <w:semiHidden/>
    <w:rsid w:val="008A6EB9"/>
    <w:pPr>
      <w:tabs>
        <w:tab w:val="center" w:pos="4320"/>
        <w:tab w:val="right" w:pos="8640"/>
      </w:tabs>
    </w:pPr>
    <w:rPr>
      <w:sz w:val="22"/>
    </w:rPr>
  </w:style>
  <w:style w:type="paragraph" w:styleId="Footer">
    <w:name w:val="footer"/>
    <w:basedOn w:val="Normal"/>
    <w:link w:val="FooterChar"/>
    <w:rsid w:val="008A6EB9"/>
    <w:pPr>
      <w:tabs>
        <w:tab w:val="center" w:pos="4320"/>
        <w:tab w:val="right" w:pos="8640"/>
      </w:tabs>
    </w:pPr>
    <w:rPr>
      <w:sz w:val="22"/>
    </w:rPr>
  </w:style>
  <w:style w:type="character" w:styleId="Hyperlink">
    <w:name w:val="Hyperlink"/>
    <w:semiHidden/>
    <w:rsid w:val="008A6EB9"/>
    <w:rPr>
      <w:color w:val="0000FF"/>
      <w:u w:val="single"/>
    </w:rPr>
  </w:style>
  <w:style w:type="paragraph" w:styleId="BlockText">
    <w:name w:val="Block Text"/>
    <w:basedOn w:val="Normal"/>
    <w:semiHidden/>
    <w:rsid w:val="008A6EB9"/>
    <w:pPr>
      <w:widowControl w:val="0"/>
      <w:spacing w:after="220"/>
      <w:ind w:left="1440" w:right="1440"/>
      <w:jc w:val="both"/>
    </w:pPr>
    <w:rPr>
      <w:sz w:val="22"/>
    </w:rPr>
  </w:style>
  <w:style w:type="paragraph" w:customStyle="1" w:styleId="Bullet">
    <w:name w:val="Bullet"/>
    <w:basedOn w:val="Normal"/>
    <w:rsid w:val="008A6EB9"/>
    <w:pPr>
      <w:widowControl w:val="0"/>
      <w:numPr>
        <w:ilvl w:val="0"/>
        <w:numId w:val="1"/>
      </w:numPr>
      <w:tabs>
        <w:tab w:val="clear" w:pos="2520"/>
      </w:tabs>
      <w:spacing w:after="220"/>
      <w:ind w:left="2160" w:hanging="720"/>
      <w:jc w:val="both"/>
    </w:pPr>
    <w:rPr>
      <w:sz w:val="22"/>
    </w:rPr>
  </w:style>
  <w:style w:type="paragraph" w:styleId="Caption">
    <w:name w:val="caption"/>
    <w:basedOn w:val="Normal"/>
    <w:next w:val="Normal"/>
    <w:qFormat/>
    <w:rsid w:val="008A6EB9"/>
    <w:pPr>
      <w:spacing w:before="120" w:after="120"/>
    </w:pPr>
    <w:rPr>
      <w:b/>
      <w:sz w:val="22"/>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A6EB9"/>
    <w:rPr>
      <w:vertAlign w:val="superscript"/>
    </w:r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Footnote Text Char2 Char,f,fn"/>
    <w:basedOn w:val="Normal"/>
    <w:link w:val="FootnoteTextChar"/>
    <w:rsid w:val="008A6EB9"/>
    <w:pPr>
      <w:tabs>
        <w:tab w:val="left" w:pos="720"/>
      </w:tabs>
      <w:spacing w:after="200"/>
    </w:pPr>
  </w:style>
  <w:style w:type="paragraph" w:customStyle="1" w:styleId="NumberedList">
    <w:name w:val="Numbered List"/>
    <w:basedOn w:val="Normal"/>
    <w:rsid w:val="008A6EB9"/>
    <w:pPr>
      <w:numPr>
        <w:ilvl w:val="0"/>
        <w:numId w:val="11"/>
      </w:numPr>
      <w:tabs>
        <w:tab w:val="clear" w:pos="1080"/>
      </w:tabs>
      <w:spacing w:after="220"/>
      <w:ind w:firstLine="0"/>
    </w:pPr>
  </w:style>
  <w:style w:type="paragraph" w:customStyle="1" w:styleId="Paranum">
    <w:name w:val="Paranum"/>
    <w:basedOn w:val="Normal"/>
    <w:rsid w:val="008A6EB9"/>
    <w:pPr>
      <w:widowControl w:val="0"/>
      <w:numPr>
        <w:ilvl w:val="0"/>
        <w:numId w:val="12"/>
      </w:numPr>
      <w:tabs>
        <w:tab w:val="clear" w:pos="1080"/>
      </w:tabs>
      <w:spacing w:after="220"/>
      <w:jc w:val="both"/>
    </w:pPr>
  </w:style>
  <w:style w:type="paragraph" w:customStyle="1" w:styleId="TableFormat">
    <w:name w:val="Table Format"/>
    <w:basedOn w:val="Normal"/>
    <w:rsid w:val="008A6EB9"/>
    <w:pPr>
      <w:widowControl w:val="0"/>
      <w:tabs>
        <w:tab w:val="left" w:pos="5040"/>
      </w:tabs>
      <w:spacing w:after="220"/>
      <w:ind w:left="5040" w:hanging="3600"/>
      <w:jc w:val="both"/>
    </w:pPr>
  </w:style>
  <w:style w:type="paragraph" w:styleId="TOC1">
    <w:name w:val="toc 1"/>
    <w:basedOn w:val="Normal"/>
    <w:next w:val="Normal"/>
    <w:autoRedefine/>
    <w:semiHidden/>
    <w:rsid w:val="008A6EB9"/>
    <w:rPr>
      <w:caps/>
    </w:rPr>
  </w:style>
  <w:style w:type="character" w:styleId="FollowedHyperlink">
    <w:name w:val="FollowedHyperlink"/>
    <w:semiHidden/>
    <w:rsid w:val="008A6EB9"/>
    <w:rPr>
      <w:color w:val="800080"/>
      <w:u w:val="single"/>
    </w:rPr>
  </w:style>
  <w:style w:type="character" w:customStyle="1" w:styleId="FootnoteTextChar">
    <w:name w:val="Footnote Text Char"/>
    <w:aliases w:val="ALTS FOOTNOTE Char,Footnote Text Char Char Char Char Char,Footnote Text Char1 Char,Footnote Text Char1 Char Char Char,Footnote Text Char1 Char Char Char Char Char Char Char,Footnote Text Char1 Char2 Char Char Char Char,f Char,fn Char"/>
    <w:link w:val="FootnoteText"/>
    <w:rsid w:val="00F746F7"/>
    <w:rPr>
      <w:sz w:val="22"/>
    </w:rPr>
  </w:style>
  <w:style w:type="character" w:styleId="CommentReference">
    <w:name w:val="annotation reference"/>
    <w:uiPriority w:val="99"/>
    <w:semiHidden/>
    <w:unhideWhenUsed/>
    <w:rsid w:val="0024513F"/>
    <w:rPr>
      <w:sz w:val="16"/>
      <w:szCs w:val="16"/>
    </w:rPr>
  </w:style>
  <w:style w:type="paragraph" w:styleId="CommentText">
    <w:name w:val="annotation text"/>
    <w:basedOn w:val="Normal"/>
    <w:link w:val="CommentTextChar"/>
    <w:uiPriority w:val="99"/>
    <w:unhideWhenUsed/>
    <w:rsid w:val="0024513F"/>
    <w:rPr>
      <w:sz w:val="20"/>
    </w:rPr>
  </w:style>
  <w:style w:type="character" w:customStyle="1" w:styleId="CommentTextChar">
    <w:name w:val="Comment Text Char"/>
    <w:basedOn w:val="DefaultParagraphFont"/>
    <w:link w:val="CommentText"/>
    <w:uiPriority w:val="99"/>
    <w:rsid w:val="0024513F"/>
  </w:style>
  <w:style w:type="paragraph" w:styleId="CommentSubject">
    <w:name w:val="annotation subject"/>
    <w:basedOn w:val="CommentText"/>
    <w:next w:val="CommentText"/>
    <w:link w:val="CommentSubjectChar"/>
    <w:uiPriority w:val="99"/>
    <w:semiHidden/>
    <w:unhideWhenUsed/>
    <w:rsid w:val="0024513F"/>
    <w:rPr>
      <w:b/>
      <w:bCs/>
    </w:rPr>
  </w:style>
  <w:style w:type="character" w:customStyle="1" w:styleId="CommentSubjectChar">
    <w:name w:val="Comment Subject Char"/>
    <w:link w:val="CommentSubject"/>
    <w:uiPriority w:val="99"/>
    <w:semiHidden/>
    <w:rsid w:val="0024513F"/>
    <w:rPr>
      <w:b/>
      <w:bCs/>
    </w:rPr>
  </w:style>
  <w:style w:type="paragraph" w:styleId="BalloonText">
    <w:name w:val="Balloon Text"/>
    <w:basedOn w:val="Normal"/>
    <w:link w:val="BalloonTextChar"/>
    <w:uiPriority w:val="99"/>
    <w:semiHidden/>
    <w:unhideWhenUsed/>
    <w:rsid w:val="0024513F"/>
    <w:rPr>
      <w:rFonts w:ascii="Segoe UI" w:hAnsi="Segoe UI" w:cs="Segoe UI"/>
      <w:sz w:val="18"/>
      <w:szCs w:val="18"/>
    </w:rPr>
  </w:style>
  <w:style w:type="character" w:customStyle="1" w:styleId="BalloonTextChar">
    <w:name w:val="Balloon Text Char"/>
    <w:link w:val="BalloonText"/>
    <w:uiPriority w:val="99"/>
    <w:semiHidden/>
    <w:rsid w:val="0024513F"/>
    <w:rPr>
      <w:rFonts w:ascii="Segoe UI" w:hAnsi="Segoe UI" w:cs="Segoe UI"/>
      <w:sz w:val="18"/>
      <w:szCs w:val="18"/>
    </w:rPr>
  </w:style>
  <w:style w:type="character" w:customStyle="1" w:styleId="FooterChar">
    <w:name w:val="Footer Char"/>
    <w:link w:val="Footer"/>
    <w:rsid w:val="00142FC3"/>
    <w:rPr>
      <w:sz w:val="22"/>
    </w:rPr>
  </w:style>
  <w:style w:type="paragraph" w:styleId="Revision">
    <w:name w:val="Revision"/>
    <w:hidden/>
    <w:uiPriority w:val="99"/>
    <w:semiHidden/>
    <w:rsid w:val="00D3237D"/>
    <w:rPr>
      <w:sz w:val="22"/>
    </w:rPr>
  </w:style>
  <w:style w:type="character" w:customStyle="1" w:styleId="UnresolvedMention1">
    <w:name w:val="Unresolved Mention1"/>
    <w:basedOn w:val="DefaultParagraphFont"/>
    <w:uiPriority w:val="99"/>
    <w:semiHidden/>
    <w:unhideWhenUsed/>
    <w:rsid w:val="00A47CB6"/>
    <w:rPr>
      <w:color w:val="808080"/>
      <w:shd w:val="clear" w:color="auto" w:fill="E6E6E6"/>
    </w:rPr>
  </w:style>
  <w:style w:type="paragraph" w:styleId="ListParagraph">
    <w:name w:val="List Paragraph"/>
    <w:basedOn w:val="Normal"/>
    <w:uiPriority w:val="34"/>
    <w:qFormat/>
    <w:rsid w:val="006F41A5"/>
    <w:pPr>
      <w:ind w:left="720"/>
      <w:contextualSpacing/>
    </w:pPr>
  </w:style>
  <w:style w:type="paragraph" w:customStyle="1" w:styleId="Default">
    <w:name w:val="Default"/>
    <w:rsid w:val="00AE7C1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CA0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