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C6A31" w:rsidRPr="001645A7" w:rsidP="761E810D">
      <w:pPr>
        <w:jc w:val="right"/>
        <w:rPr>
          <w:b/>
          <w:bCs/>
        </w:rPr>
      </w:pPr>
      <w:r w:rsidRPr="761E810D">
        <w:rPr>
          <w:b/>
          <w:bCs/>
        </w:rPr>
        <w:t>DA 18</w:t>
      </w:r>
      <w:r w:rsidR="00085E3B">
        <w:rPr>
          <w:b/>
          <w:bCs/>
        </w:rPr>
        <w:t>-556</w:t>
      </w:r>
    </w:p>
    <w:p w:rsidR="000C6A31" w:rsidRPr="005E7EDB" w:rsidP="000767F1">
      <w:pPr>
        <w:jc w:val="right"/>
        <w:rPr>
          <w:b/>
          <w:bCs/>
          <w:szCs w:val="22"/>
        </w:rPr>
      </w:pPr>
      <w:r w:rsidRPr="005E7EDB">
        <w:rPr>
          <w:b/>
          <w:szCs w:val="22"/>
        </w:rPr>
        <w:t xml:space="preserve">Released:  </w:t>
      </w:r>
      <w:r w:rsidR="00AB0B94">
        <w:rPr>
          <w:b/>
          <w:szCs w:val="22"/>
        </w:rPr>
        <w:t>May 25</w:t>
      </w:r>
      <w:r w:rsidR="000F63D6">
        <w:rPr>
          <w:b/>
          <w:szCs w:val="22"/>
        </w:rPr>
        <w:t xml:space="preserve">, </w:t>
      </w:r>
      <w:r w:rsidR="000F63D6">
        <w:rPr>
          <w:b/>
          <w:bCs/>
          <w:szCs w:val="22"/>
        </w:rPr>
        <w:t>2018</w:t>
      </w:r>
    </w:p>
    <w:p w:rsidR="000767F1" w:rsidRPr="005E7EDB" w:rsidP="000C6A31">
      <w:pPr>
        <w:spacing w:before="60"/>
        <w:jc w:val="right"/>
        <w:rPr>
          <w:b/>
          <w:szCs w:val="22"/>
        </w:rPr>
      </w:pPr>
    </w:p>
    <w:p w:rsidR="000C6A31" w:rsidP="761E810D">
      <w:pPr>
        <w:jc w:val="center"/>
        <w:rPr>
          <w:b/>
          <w:bCs/>
          <w:caps/>
        </w:rPr>
      </w:pPr>
      <w:r w:rsidRPr="761E810D">
        <w:rPr>
          <w:b/>
          <w:bCs/>
          <w:caps/>
        </w:rPr>
        <w:t>rural broadband auction</w:t>
      </w:r>
      <w:r w:rsidR="00911E40">
        <w:rPr>
          <w:b/>
          <w:bCs/>
          <w:caps/>
        </w:rPr>
        <w:t>s task force ANNOUNCES INTENT</w:t>
      </w:r>
      <w:r w:rsidRPr="761E810D">
        <w:rPr>
          <w:b/>
          <w:bCs/>
          <w:caps/>
        </w:rPr>
        <w:t xml:space="preserve"> to publicly release LIST OF HANDSETS SELECTED TO BE USED IN MOBILITY FUND PHASE II CHALLENGE PROCESS SPEED TESTS </w:t>
      </w:r>
    </w:p>
    <w:p w:rsidR="003B0E51" w:rsidRPr="001645A7" w:rsidP="005C5914">
      <w:pPr>
        <w:jc w:val="center"/>
        <w:rPr>
          <w:b/>
          <w:caps/>
          <w:szCs w:val="22"/>
        </w:rPr>
      </w:pPr>
    </w:p>
    <w:p w:rsidR="008D0DFD" w:rsidRPr="005E7EDB" w:rsidP="007219DF">
      <w:pPr>
        <w:spacing w:after="240"/>
        <w:jc w:val="center"/>
        <w:rPr>
          <w:b/>
          <w:bCs/>
        </w:rPr>
      </w:pPr>
      <w:r w:rsidRPr="7C638BB3">
        <w:rPr>
          <w:b/>
          <w:bCs/>
        </w:rPr>
        <w:t>WC Docket No. 10-90</w:t>
      </w:r>
      <w:r w:rsidR="000D2D44">
        <w:br/>
      </w:r>
      <w:r w:rsidRPr="7C638BB3">
        <w:rPr>
          <w:b/>
          <w:bCs/>
        </w:rPr>
        <w:t>WT Docket No. 10-208</w:t>
      </w:r>
    </w:p>
    <w:p w:rsidR="00007A2F" w:rsidRPr="004F1E9A" w:rsidP="003E04C6">
      <w:pPr>
        <w:pStyle w:val="ParaNum"/>
      </w:pPr>
      <w:r>
        <w:t xml:space="preserve">The Rural Broadband Auctions Task Force (Task Force), in conjunction with the Wireline Competition Bureau and the Wireless Telecommunications Bureau (Bureaus), provides notice of its intent to </w:t>
      </w:r>
      <w:r w:rsidR="00BD50E7">
        <w:rPr>
          <w:szCs w:val="22"/>
        </w:rPr>
        <w:t xml:space="preserve">publicly </w:t>
      </w:r>
      <w:r>
        <w:t xml:space="preserve">release a list of the handsets </w:t>
      </w:r>
      <w:r w:rsidR="0034096B">
        <w:t xml:space="preserve">designated by each </w:t>
      </w:r>
      <w:r>
        <w:t xml:space="preserve">mobile wireless provider in the Mobility Fund Phase II (MF-II) </w:t>
      </w:r>
      <w:r w:rsidR="00AB0B94">
        <w:t xml:space="preserve">challenge process </w:t>
      </w:r>
      <w:r>
        <w:t xml:space="preserve">for challengers to use when conducting speed tests in areas deemed presumptively ineligible for MF-II support.  Currently, this information is available only through the </w:t>
      </w:r>
      <w:r w:rsidR="00AB0B94">
        <w:t>Universal Service Administration Company (</w:t>
      </w:r>
      <w:r>
        <w:t>USAC</w:t>
      </w:r>
      <w:r w:rsidR="00AB0B94">
        <w:t>)</w:t>
      </w:r>
      <w:r>
        <w:t xml:space="preserve"> challenge portal, which challengers may access only after agreeing to keep the information confidential.</w:t>
      </w:r>
      <w:r>
        <w:rPr>
          <w:rStyle w:val="FootnoteReference"/>
        </w:rPr>
        <w:footnoteReference w:id="3"/>
      </w:r>
      <w:r>
        <w:t xml:space="preserve">  We believe </w:t>
      </w:r>
      <w:r w:rsidR="001E4D1E">
        <w:t xml:space="preserve">that </w:t>
      </w:r>
      <w:r>
        <w:t>making this information public would cause no competitive harm to the providers and could assist those challengers that are governmental entities in assessing whether they wish to engage in the challenge process and register for the USAC challenge portal.</w:t>
      </w:r>
    </w:p>
    <w:p w:rsidR="006F625B" w:rsidRPr="00E115FB" w:rsidP="004E29D1">
      <w:pPr>
        <w:pStyle w:val="ParaNum"/>
        <w:rPr>
          <w:i/>
        </w:rPr>
      </w:pPr>
      <w:r>
        <w:t xml:space="preserve">When submitting </w:t>
      </w:r>
      <w:r w:rsidRPr="00274B98" w:rsidR="008D0DFD">
        <w:t>standardized coverage data on qualified 4G LTE service</w:t>
      </w:r>
      <w:r>
        <w:t xml:space="preserve"> for use in the MF</w:t>
      </w:r>
      <w:r w:rsidR="00AB0B94">
        <w:noBreakHyphen/>
      </w:r>
      <w:r>
        <w:t>II challenge process,</w:t>
      </w:r>
      <w:r>
        <w:rPr>
          <w:rStyle w:val="FootnoteReference"/>
          <w:sz w:val="22"/>
          <w:szCs w:val="22"/>
        </w:rPr>
        <w:footnoteReference w:id="4"/>
      </w:r>
      <w:r w:rsidR="00800838">
        <w:t xml:space="preserve"> </w:t>
      </w:r>
      <w:r w:rsidRPr="00E115FB">
        <w:rPr>
          <w:szCs w:val="22"/>
        </w:rPr>
        <w:t xml:space="preserve">each </w:t>
      </w:r>
      <w:r w:rsidRPr="00E115FB" w:rsidR="0030090D">
        <w:rPr>
          <w:szCs w:val="22"/>
        </w:rPr>
        <w:t xml:space="preserve">mobile wireless </w:t>
      </w:r>
      <w:r w:rsidRPr="00E115FB" w:rsidR="008D0DFD">
        <w:rPr>
          <w:szCs w:val="22"/>
        </w:rPr>
        <w:t xml:space="preserve">provider </w:t>
      </w:r>
      <w:r w:rsidRPr="00E115FB">
        <w:rPr>
          <w:szCs w:val="22"/>
        </w:rPr>
        <w:t xml:space="preserve">also </w:t>
      </w:r>
      <w:r w:rsidRPr="00E115FB" w:rsidR="00390318">
        <w:rPr>
          <w:szCs w:val="22"/>
        </w:rPr>
        <w:t xml:space="preserve">submitted </w:t>
      </w:r>
      <w:r w:rsidRPr="006F625B">
        <w:rPr>
          <w:szCs w:val="22"/>
        </w:rPr>
        <w:t xml:space="preserve">a </w:t>
      </w:r>
      <w:r w:rsidRPr="006F625B" w:rsidR="00390318">
        <w:rPr>
          <w:szCs w:val="22"/>
        </w:rPr>
        <w:t xml:space="preserve">list </w:t>
      </w:r>
      <w:r w:rsidRPr="006F625B" w:rsidR="00834D6A">
        <w:rPr>
          <w:szCs w:val="22"/>
        </w:rPr>
        <w:t xml:space="preserve">of </w:t>
      </w:r>
      <w:r w:rsidRPr="006F625B" w:rsidR="008D0DFD">
        <w:rPr>
          <w:szCs w:val="22"/>
        </w:rPr>
        <w:t>readily</w:t>
      </w:r>
      <w:r w:rsidRPr="006F625B" w:rsidR="00C5766E">
        <w:rPr>
          <w:szCs w:val="22"/>
        </w:rPr>
        <w:noBreakHyphen/>
      </w:r>
      <w:r w:rsidRPr="006F625B" w:rsidR="008D0DFD">
        <w:rPr>
          <w:szCs w:val="22"/>
        </w:rPr>
        <w:t>available handset models</w:t>
      </w:r>
      <w:r w:rsidRPr="006F625B" w:rsidR="000E7E85">
        <w:rPr>
          <w:szCs w:val="22"/>
        </w:rPr>
        <w:t xml:space="preserve"> </w:t>
      </w:r>
      <w:r w:rsidRPr="006F625B">
        <w:rPr>
          <w:szCs w:val="22"/>
        </w:rPr>
        <w:t>that challengers could use to test</w:t>
      </w:r>
      <w:r w:rsidRPr="006F625B" w:rsidR="008D0DFD">
        <w:rPr>
          <w:szCs w:val="22"/>
        </w:rPr>
        <w:t xml:space="preserve"> </w:t>
      </w:r>
      <w:r w:rsidRPr="006F625B">
        <w:rPr>
          <w:szCs w:val="22"/>
        </w:rPr>
        <w:t xml:space="preserve">such </w:t>
      </w:r>
      <w:r w:rsidRPr="006F625B" w:rsidR="008D0DFD">
        <w:rPr>
          <w:szCs w:val="22"/>
        </w:rPr>
        <w:t>coverage</w:t>
      </w:r>
      <w:r w:rsidRPr="006F625B">
        <w:rPr>
          <w:szCs w:val="22"/>
        </w:rPr>
        <w:t>.</w:t>
      </w:r>
      <w:r>
        <w:rPr>
          <w:rStyle w:val="FootnoteReference"/>
          <w:sz w:val="22"/>
          <w:szCs w:val="22"/>
        </w:rPr>
        <w:footnoteReference w:id="5"/>
      </w:r>
      <w:r w:rsidRPr="00E115FB" w:rsidR="00390318">
        <w:rPr>
          <w:szCs w:val="22"/>
        </w:rPr>
        <w:t xml:space="preserve"> </w:t>
      </w:r>
      <w:r w:rsidRPr="00E115FB" w:rsidR="00594A1B">
        <w:rPr>
          <w:szCs w:val="22"/>
        </w:rPr>
        <w:t xml:space="preserve"> </w:t>
      </w:r>
      <w:r w:rsidRPr="00E115FB" w:rsidR="00800838">
        <w:rPr>
          <w:szCs w:val="22"/>
        </w:rPr>
        <w:t xml:space="preserve">Because providers considered the </w:t>
      </w:r>
      <w:r w:rsidRPr="00F8015C">
        <w:rPr>
          <w:szCs w:val="22"/>
        </w:rPr>
        <w:t>coverage data</w:t>
      </w:r>
      <w:r w:rsidRPr="00F8015C" w:rsidR="00800838">
        <w:rPr>
          <w:szCs w:val="22"/>
        </w:rPr>
        <w:t xml:space="preserve"> </w:t>
      </w:r>
      <w:r w:rsidRPr="00F8015C">
        <w:rPr>
          <w:szCs w:val="22"/>
        </w:rPr>
        <w:t xml:space="preserve">to be </w:t>
      </w:r>
      <w:r w:rsidRPr="007219DF" w:rsidR="00800838">
        <w:rPr>
          <w:szCs w:val="22"/>
        </w:rPr>
        <w:t xml:space="preserve">competitively sensitive or proprietary, the Commission required that challengers </w:t>
      </w:r>
      <w:r w:rsidRPr="007219DF" w:rsidR="008C37DE">
        <w:rPr>
          <w:szCs w:val="22"/>
        </w:rPr>
        <w:t xml:space="preserve">access </w:t>
      </w:r>
      <w:r w:rsidRPr="007219DF">
        <w:rPr>
          <w:szCs w:val="22"/>
        </w:rPr>
        <w:t>such data</w:t>
      </w:r>
      <w:r w:rsidRPr="007219DF" w:rsidR="00E115FB">
        <w:rPr>
          <w:szCs w:val="22"/>
        </w:rPr>
        <w:t xml:space="preserve"> only</w:t>
      </w:r>
      <w:r w:rsidRPr="007219DF">
        <w:rPr>
          <w:szCs w:val="22"/>
        </w:rPr>
        <w:t xml:space="preserve"> through </w:t>
      </w:r>
      <w:r w:rsidRPr="007219DF" w:rsidR="008C37DE">
        <w:rPr>
          <w:szCs w:val="22"/>
        </w:rPr>
        <w:t>the USAC portal</w:t>
      </w:r>
      <w:r w:rsidRPr="007219DF" w:rsidR="00E115FB">
        <w:rPr>
          <w:szCs w:val="22"/>
        </w:rPr>
        <w:t xml:space="preserve"> </w:t>
      </w:r>
      <w:r w:rsidR="0034096B">
        <w:rPr>
          <w:szCs w:val="22"/>
        </w:rPr>
        <w:t>after</w:t>
      </w:r>
      <w:r w:rsidRPr="007219DF" w:rsidR="001C2BED">
        <w:rPr>
          <w:szCs w:val="22"/>
        </w:rPr>
        <w:t xml:space="preserve"> </w:t>
      </w:r>
      <w:r w:rsidRPr="007219DF" w:rsidR="008C37DE">
        <w:rPr>
          <w:szCs w:val="22"/>
        </w:rPr>
        <w:t>agree</w:t>
      </w:r>
      <w:r w:rsidRPr="007219DF" w:rsidR="001E4D1E">
        <w:rPr>
          <w:szCs w:val="22"/>
        </w:rPr>
        <w:t>ing</w:t>
      </w:r>
      <w:r w:rsidRPr="007219DF" w:rsidR="008C37DE">
        <w:rPr>
          <w:szCs w:val="22"/>
        </w:rPr>
        <w:t xml:space="preserve"> to ke</w:t>
      </w:r>
      <w:r w:rsidRPr="00F8015C" w:rsidR="008C37DE">
        <w:rPr>
          <w:szCs w:val="22"/>
        </w:rPr>
        <w:t>ep the information obtained through the portal confidential.</w:t>
      </w:r>
      <w:r>
        <w:rPr>
          <w:rStyle w:val="FootnoteReference"/>
          <w:szCs w:val="22"/>
        </w:rPr>
        <w:footnoteReference w:id="6"/>
      </w:r>
      <w:r w:rsidRPr="00E115FB" w:rsidR="001C2BED">
        <w:rPr>
          <w:szCs w:val="22"/>
        </w:rPr>
        <w:t xml:space="preserve">  </w:t>
      </w:r>
      <w:r w:rsidRPr="00E115FB" w:rsidR="00E115FB">
        <w:rPr>
          <w:szCs w:val="22"/>
        </w:rPr>
        <w:t xml:space="preserve">Because the provider handset lists were </w:t>
      </w:r>
      <w:r w:rsidRPr="007219DF" w:rsidR="002B7B16">
        <w:rPr>
          <w:szCs w:val="22"/>
        </w:rPr>
        <w:t xml:space="preserve">submitted with the </w:t>
      </w:r>
      <w:r w:rsidRPr="007219DF" w:rsidR="00E115FB">
        <w:rPr>
          <w:szCs w:val="22"/>
        </w:rPr>
        <w:t xml:space="preserve">coverage data, they currently are </w:t>
      </w:r>
      <w:r w:rsidRPr="007219DF" w:rsidR="001C2BED">
        <w:rPr>
          <w:szCs w:val="22"/>
        </w:rPr>
        <w:t xml:space="preserve">available </w:t>
      </w:r>
      <w:r w:rsidRPr="007219DF" w:rsidR="008C37DE">
        <w:rPr>
          <w:szCs w:val="22"/>
        </w:rPr>
        <w:t xml:space="preserve">only through the USAC portal </w:t>
      </w:r>
      <w:r w:rsidRPr="007219DF" w:rsidR="00E115FB">
        <w:rPr>
          <w:szCs w:val="22"/>
        </w:rPr>
        <w:t>and subject to the same confidentiality agreement</w:t>
      </w:r>
      <w:r w:rsidRPr="007219DF" w:rsidR="009821A6">
        <w:rPr>
          <w:szCs w:val="22"/>
        </w:rPr>
        <w:t>.</w:t>
      </w:r>
    </w:p>
    <w:p w:rsidR="00ED4936" w:rsidRPr="007219DF" w:rsidP="007219DF">
      <w:pPr>
        <w:pStyle w:val="ParaNum"/>
        <w:rPr>
          <w:b/>
          <w:szCs w:val="22"/>
        </w:rPr>
      </w:pPr>
      <w:r>
        <w:t xml:space="preserve">In the </w:t>
      </w:r>
      <w:r w:rsidRPr="00E115FB">
        <w:rPr>
          <w:i/>
          <w:iCs/>
        </w:rPr>
        <w:t>MF-II Challenge Process Order</w:t>
      </w:r>
      <w:r>
        <w:t xml:space="preserve">, the Commission concluded that government entities (state, local, and Tribal) and all service providers required to file Form 477 data with the Commission </w:t>
      </w:r>
      <w:r w:rsidR="006F625B">
        <w:t xml:space="preserve">could </w:t>
      </w:r>
      <w:r>
        <w:t xml:space="preserve">participate </w:t>
      </w:r>
      <w:r w:rsidR="006F625B">
        <w:t xml:space="preserve">in the challenge process and </w:t>
      </w:r>
      <w:r w:rsidR="0041108D">
        <w:t>obtain</w:t>
      </w:r>
      <w:r w:rsidR="006F625B">
        <w:t xml:space="preserve"> access to the USAC challenge portal</w:t>
      </w:r>
      <w:r>
        <w:t>.</w:t>
      </w:r>
      <w:r>
        <w:rPr>
          <w:rStyle w:val="FootnoteReference"/>
        </w:rPr>
        <w:footnoteReference w:id="7"/>
      </w:r>
      <w:r>
        <w:t xml:space="preserve"> </w:t>
      </w:r>
      <w:r w:rsidR="006F625B">
        <w:t xml:space="preserve"> </w:t>
      </w:r>
      <w:r>
        <w:t xml:space="preserve">We find that making public the </w:t>
      </w:r>
      <w:r>
        <w:t>handset</w:t>
      </w:r>
      <w:r w:rsidR="00E115FB">
        <w:t xml:space="preserve"> list</w:t>
      </w:r>
      <w:r>
        <w:t xml:space="preserve">s </w:t>
      </w:r>
      <w:r w:rsidR="00E115FB">
        <w:t xml:space="preserve">submitted </w:t>
      </w:r>
      <w:r>
        <w:t xml:space="preserve">by providers will facilitate the ability of </w:t>
      </w:r>
      <w:r w:rsidR="00E115FB">
        <w:t xml:space="preserve">parties without access </w:t>
      </w:r>
      <w:r w:rsidR="00E115FB">
        <w:t>to</w:t>
      </w:r>
      <w:r w:rsidR="00E115FB">
        <w:t xml:space="preserve"> the challenge process portal</w:t>
      </w:r>
      <w:r w:rsidR="00AB0B94">
        <w:t xml:space="preserve"> </w:t>
      </w:r>
      <w:r w:rsidR="00E115FB">
        <w:t xml:space="preserve">to </w:t>
      </w:r>
      <w:r w:rsidR="00AB0B94">
        <w:t xml:space="preserve">assess whether they wish to </w:t>
      </w:r>
      <w:r w:rsidR="00E115FB">
        <w:t>participat</w:t>
      </w:r>
      <w:r w:rsidR="0034096B">
        <w:t>e</w:t>
      </w:r>
      <w:r w:rsidR="00E115FB">
        <w:t xml:space="preserve"> in the challenge process</w:t>
      </w:r>
      <w:r>
        <w:t xml:space="preserve">.  </w:t>
      </w:r>
      <w:r w:rsidR="001238DA">
        <w:t xml:space="preserve">Further, we believe that the public </w:t>
      </w:r>
      <w:r w:rsidR="00E115FB">
        <w:t xml:space="preserve">release </w:t>
      </w:r>
      <w:r w:rsidR="001238DA">
        <w:t xml:space="preserve">of the handsets selected by the providers is unlikely to cause </w:t>
      </w:r>
      <w:r w:rsidR="001C2BED">
        <w:t xml:space="preserve">those </w:t>
      </w:r>
      <w:r w:rsidR="001238DA">
        <w:t xml:space="preserve">providers </w:t>
      </w:r>
      <w:r w:rsidR="001C2BED">
        <w:t xml:space="preserve">any </w:t>
      </w:r>
      <w:r w:rsidR="001238DA">
        <w:t xml:space="preserve">competitive harm.  The selected handsets are a subset of the handsets </w:t>
      </w:r>
      <w:r w:rsidR="006F625B">
        <w:t xml:space="preserve">that providers </w:t>
      </w:r>
      <w:r w:rsidR="001238DA">
        <w:t xml:space="preserve">already </w:t>
      </w:r>
      <w:r w:rsidR="006F625B">
        <w:t xml:space="preserve">make </w:t>
      </w:r>
      <w:r w:rsidR="001238DA">
        <w:t xml:space="preserve">available to the public and are </w:t>
      </w:r>
      <w:r w:rsidR="001C2BED">
        <w:t xml:space="preserve">likely </w:t>
      </w:r>
      <w:r w:rsidR="001238DA">
        <w:t>shown on the providers’ websites</w:t>
      </w:r>
      <w:r w:rsidR="006F625B">
        <w:t xml:space="preserve">, </w:t>
      </w:r>
      <w:r w:rsidR="001E107E">
        <w:t xml:space="preserve">as well as </w:t>
      </w:r>
      <w:r w:rsidR="00BD50E7">
        <w:t xml:space="preserve">in their </w:t>
      </w:r>
      <w:r w:rsidR="00FB1B93">
        <w:t>advertisements,</w:t>
      </w:r>
      <w:r w:rsidR="006F625B">
        <w:t xml:space="preserve"> promotional materials, and</w:t>
      </w:r>
      <w:r w:rsidR="001238DA">
        <w:t xml:space="preserve"> retail establishments.  We therefore believe </w:t>
      </w:r>
      <w:r w:rsidR="006F625B">
        <w:t xml:space="preserve">it is in </w:t>
      </w:r>
      <w:r w:rsidR="001238DA">
        <w:t xml:space="preserve">the public interest </w:t>
      </w:r>
      <w:r w:rsidR="006F625B">
        <w:t>to make</w:t>
      </w:r>
      <w:r w:rsidR="001238DA">
        <w:t xml:space="preserve"> the list of selected handsets available to the </w:t>
      </w:r>
      <w:r w:rsidR="00AB0B94">
        <w:t>public</w:t>
      </w:r>
      <w:r w:rsidR="006B40D2">
        <w:t xml:space="preserve"> </w:t>
      </w:r>
      <w:r w:rsidR="006F625B">
        <w:t>rather than</w:t>
      </w:r>
      <w:r w:rsidR="003B0E51">
        <w:t xml:space="preserve"> keeping the </w:t>
      </w:r>
      <w:r w:rsidR="006F625B">
        <w:t>list of</w:t>
      </w:r>
      <w:r w:rsidR="00156341">
        <w:t xml:space="preserve"> handsets </w:t>
      </w:r>
      <w:r w:rsidR="003B0E51">
        <w:t>confidential</w:t>
      </w:r>
      <w:r w:rsidR="001238DA">
        <w:t>.</w:t>
      </w:r>
      <w:r w:rsidRPr="761E810D" w:rsidR="00390318">
        <w:t xml:space="preserve"> </w:t>
      </w:r>
      <w:r w:rsidRPr="761E810D" w:rsidR="00594A1B">
        <w:t xml:space="preserve">  </w:t>
      </w:r>
      <w:bookmarkStart w:id="0" w:name="_Toc498615448"/>
      <w:bookmarkStart w:id="1" w:name="_Toc498710034"/>
      <w:bookmarkEnd w:id="0"/>
      <w:bookmarkEnd w:id="1"/>
    </w:p>
    <w:p w:rsidR="005D712D" w:rsidRPr="00390318" w:rsidP="00472A66">
      <w:pPr>
        <w:pStyle w:val="ParaNum"/>
      </w:pPr>
      <w:bookmarkStart w:id="2" w:name="_Hlk515007992"/>
      <w:r>
        <w:t xml:space="preserve">Providers were not required to include with their </w:t>
      </w:r>
      <w:r w:rsidR="00E115FB">
        <w:t>handset list submissions</w:t>
      </w:r>
      <w:r>
        <w:t xml:space="preserve"> a request that </w:t>
      </w:r>
      <w:r w:rsidR="00E115FB">
        <w:t xml:space="preserve">such </w:t>
      </w:r>
      <w:r>
        <w:t>information be withheld from public inspection pursuant to Section 0.459(b) of the Comm</w:t>
      </w:r>
      <w:bookmarkStart w:id="3" w:name="_GoBack"/>
      <w:bookmarkEnd w:id="3"/>
      <w:r>
        <w:t>ission’s rules.</w:t>
      </w:r>
      <w:r>
        <w:rPr>
          <w:rStyle w:val="FootnoteReference"/>
        </w:rPr>
        <w:footnoteReference w:id="8"/>
      </w:r>
      <w:r>
        <w:t xml:space="preserve">  Accordingly, we afford providers </w:t>
      </w:r>
      <w:r w:rsidR="00925FC8">
        <w:t xml:space="preserve">that </w:t>
      </w:r>
      <w:r w:rsidR="00AB0B94">
        <w:t>filed</w:t>
      </w:r>
      <w:r>
        <w:t xml:space="preserve"> an opportunity to </w:t>
      </w:r>
      <w:r w:rsidR="003540B1">
        <w:t>request confidentiality</w:t>
      </w:r>
      <w:r>
        <w:t xml:space="preserve"> </w:t>
      </w:r>
      <w:r w:rsidR="00E115FB">
        <w:t xml:space="preserve">now, </w:t>
      </w:r>
      <w:r w:rsidR="009821A6">
        <w:t xml:space="preserve">along with the justification for nondisclosure, </w:t>
      </w:r>
      <w:r>
        <w:t xml:space="preserve">as required by our rules.  </w:t>
      </w:r>
      <w:r w:rsidR="00925FC8">
        <w:t xml:space="preserve">Any </w:t>
      </w:r>
      <w:r w:rsidR="00BD50E7">
        <w:t>p</w:t>
      </w:r>
      <w:r>
        <w:t xml:space="preserve">rovider </w:t>
      </w:r>
      <w:r w:rsidR="00925FC8">
        <w:t xml:space="preserve">that </w:t>
      </w:r>
      <w:r>
        <w:t>wish</w:t>
      </w:r>
      <w:r w:rsidR="00925FC8">
        <w:t>es</w:t>
      </w:r>
      <w:r>
        <w:t xml:space="preserve"> </w:t>
      </w:r>
      <w:r w:rsidR="00E115FB">
        <w:t xml:space="preserve">to </w:t>
      </w:r>
      <w:r>
        <w:t xml:space="preserve">oppose </w:t>
      </w:r>
      <w:r w:rsidR="00E115FB">
        <w:t xml:space="preserve">the </w:t>
      </w:r>
      <w:r>
        <w:t xml:space="preserve">release of a list of </w:t>
      </w:r>
      <w:r w:rsidR="00925FC8">
        <w:t xml:space="preserve">its </w:t>
      </w:r>
      <w:r>
        <w:t xml:space="preserve">selected handsets </w:t>
      </w:r>
      <w:r w:rsidR="002748E7">
        <w:t xml:space="preserve">must </w:t>
      </w:r>
      <w:r w:rsidR="003B0E51">
        <w:t xml:space="preserve">file an objection and explain why release of </w:t>
      </w:r>
      <w:r w:rsidR="006F625B">
        <w:t>the list</w:t>
      </w:r>
      <w:r w:rsidR="003B0E51">
        <w:t xml:space="preserve"> will reveal </w:t>
      </w:r>
      <w:r w:rsidRPr="761E810D" w:rsidR="003B0E51">
        <w:t xml:space="preserve">information not already made available to the public and will harm </w:t>
      </w:r>
      <w:r w:rsidR="00925FC8">
        <w:t xml:space="preserve">it </w:t>
      </w:r>
      <w:r w:rsidRPr="761E810D" w:rsidR="003B0E51">
        <w:t>competitively</w:t>
      </w:r>
      <w:r w:rsidR="006F625B">
        <w:t xml:space="preserve">.  </w:t>
      </w:r>
      <w:r w:rsidR="00925FC8">
        <w:t>Any such provider</w:t>
      </w:r>
      <w:r w:rsidR="006F625B">
        <w:t xml:space="preserve"> must include</w:t>
      </w:r>
      <w:r w:rsidRPr="761E810D" w:rsidR="006F625B">
        <w:t xml:space="preserve"> </w:t>
      </w:r>
      <w:r w:rsidRPr="761E810D" w:rsidR="003B0E51">
        <w:t>a description of the extent of that harm</w:t>
      </w:r>
      <w:r w:rsidR="003B0E51">
        <w:t xml:space="preserve">, as well as provide all other information and support for </w:t>
      </w:r>
      <w:r w:rsidR="00925FC8">
        <w:t xml:space="preserve">its </w:t>
      </w:r>
      <w:r w:rsidR="003B0E51">
        <w:t xml:space="preserve">request </w:t>
      </w:r>
      <w:r>
        <w:t>for confidentiality under S</w:t>
      </w:r>
      <w:r w:rsidRPr="00CD168D">
        <w:t>ection 0.459</w:t>
      </w:r>
      <w:r>
        <w:t>(b)</w:t>
      </w:r>
      <w:r w:rsidR="006F625B">
        <w:t xml:space="preserve">.  </w:t>
      </w:r>
      <w:r w:rsidRPr="00AB0B94" w:rsidR="006F625B">
        <w:rPr>
          <w:b/>
        </w:rPr>
        <w:t>Such requests for confidential treatment must be submitted</w:t>
      </w:r>
      <w:r w:rsidRPr="00AB0B94">
        <w:rPr>
          <w:b/>
        </w:rPr>
        <w:t xml:space="preserve"> no later than </w:t>
      </w:r>
      <w:r w:rsidRPr="00AB0B94" w:rsidR="00AB0B94">
        <w:rPr>
          <w:b/>
          <w:bCs/>
        </w:rPr>
        <w:t>June 4, 2018</w:t>
      </w:r>
      <w:r w:rsidRPr="00AB0B94">
        <w:rPr>
          <w:b/>
          <w:bCs/>
        </w:rPr>
        <w:t>.</w:t>
      </w:r>
      <w:r>
        <w:rPr>
          <w:rStyle w:val="FootnoteReference"/>
        </w:rPr>
        <w:footnoteReference w:id="9"/>
      </w:r>
      <w:r>
        <w:t xml:space="preserve">  All filings should refer to W</w:t>
      </w:r>
      <w:r w:rsidR="002748E7">
        <w:t>C</w:t>
      </w:r>
      <w:r>
        <w:t xml:space="preserve"> Docket No. </w:t>
      </w:r>
      <w:r w:rsidR="002748E7">
        <w:t xml:space="preserve">10-90, </w:t>
      </w:r>
      <w:r w:rsidRPr="002748E7" w:rsidR="002748E7">
        <w:t>WT Docket No. 10-208</w:t>
      </w:r>
      <w:r w:rsidR="00AB0B94">
        <w:t>,</w:t>
      </w:r>
      <w:r w:rsidR="002748E7">
        <w:t xml:space="preserve"> and this Public Notice.</w:t>
      </w:r>
      <w:r w:rsidR="003B0E51">
        <w:t xml:space="preserve">  </w:t>
      </w:r>
      <w:r w:rsidRPr="00AB0B94" w:rsidR="00925FC8">
        <w:rPr>
          <w:b/>
        </w:rPr>
        <w:t>W</w:t>
      </w:r>
      <w:r w:rsidRPr="00AB0B94" w:rsidR="003B0E51">
        <w:rPr>
          <w:b/>
        </w:rPr>
        <w:t xml:space="preserve">e will release a list of the selected handsets by provider </w:t>
      </w:r>
      <w:r w:rsidRPr="00AB0B94" w:rsidR="00AB0B94">
        <w:rPr>
          <w:b/>
        </w:rPr>
        <w:t xml:space="preserve">on June 5, 2018, </w:t>
      </w:r>
      <w:r w:rsidRPr="00AB0B94" w:rsidR="00925FC8">
        <w:rPr>
          <w:b/>
          <w:bCs/>
        </w:rPr>
        <w:t xml:space="preserve">for each provider </w:t>
      </w:r>
      <w:r w:rsidRPr="00AB0B94" w:rsidR="00BE0408">
        <w:rPr>
          <w:b/>
          <w:bCs/>
        </w:rPr>
        <w:t xml:space="preserve">from which we have not received </w:t>
      </w:r>
      <w:r w:rsidRPr="00AB0B94" w:rsidR="00925FC8">
        <w:rPr>
          <w:b/>
          <w:bCs/>
        </w:rPr>
        <w:t>a confidentiality request</w:t>
      </w:r>
      <w:r w:rsidRPr="00AB0B94" w:rsidR="003B0E51">
        <w:rPr>
          <w:b/>
          <w:bCs/>
        </w:rPr>
        <w:t>.</w:t>
      </w:r>
      <w:r w:rsidRPr="761E810D" w:rsidR="003B0E51">
        <w:rPr>
          <w:b/>
          <w:bCs/>
        </w:rPr>
        <w:t xml:space="preserve">  </w:t>
      </w:r>
      <w:bookmarkStart w:id="4" w:name="_Hlk515007502"/>
      <w:r w:rsidR="761E810D">
        <w:t>Objections and responses may be filed using the Commission’s Electronic Comment Filing System (ECFS)</w:t>
      </w:r>
      <w:bookmarkEnd w:id="4"/>
      <w:r w:rsidR="761E810D">
        <w:t>.</w:t>
      </w:r>
      <w:r>
        <w:rPr>
          <w:rStyle w:val="FootnoteReference"/>
        </w:rPr>
        <w:footnoteReference w:id="10"/>
      </w:r>
      <w:r w:rsidR="761E810D">
        <w:t xml:space="preserve">  </w:t>
      </w:r>
    </w:p>
    <w:p w:rsidR="00911E40" w:rsidP="00472A66">
      <w:pPr>
        <w:pStyle w:val="ParaNum"/>
      </w:pPr>
      <w:bookmarkEnd w:id="2"/>
      <w:r>
        <w:t>This action is taken pursuant to Sections 4(i) and 4(j) of the Communications Act, 47 U.S.C. § 154(i), § 154(j), Section 4 of the Freedom of Information Act, 5 U.S.C. § 552(b</w:t>
      </w:r>
      <w:r>
        <w:t>)(</w:t>
      </w:r>
      <w:r>
        <w:t xml:space="preserve">4), and authority delegated under section 0.331 of the Commission’s rules, 47 CFR § 0.331, and is effective upon its adoption.  </w:t>
      </w:r>
    </w:p>
    <w:p w:rsidR="005D712D" w:rsidRPr="00390318" w:rsidP="00472A66">
      <w:pPr>
        <w:pStyle w:val="ParaNum"/>
      </w:pPr>
      <w:r>
        <w:t xml:space="preserve">For further information, contact </w:t>
      </w:r>
      <w:r w:rsidR="00F153D3">
        <w:rPr>
          <w:szCs w:val="22"/>
        </w:rPr>
        <w:t xml:space="preserve">Jonathan McCormack, Auctions and Spectrum Access Division, Wireless Telecommunications Bureau, at </w:t>
      </w:r>
      <w:r w:rsidRPr="00AB0B94" w:rsidR="00AB0B94">
        <w:rPr>
          <w:szCs w:val="22"/>
        </w:rPr>
        <w:t>Jonathan.McCormack@fcc.gov</w:t>
      </w:r>
      <w:r w:rsidR="00AB0B94">
        <w:rPr>
          <w:szCs w:val="22"/>
        </w:rPr>
        <w:t xml:space="preserve"> or </w:t>
      </w:r>
      <w:r w:rsidR="00F153D3">
        <w:rPr>
          <w:szCs w:val="22"/>
        </w:rPr>
        <w:t>(202) 418-0660.</w:t>
      </w:r>
    </w:p>
    <w:p w:rsidR="00AD2707" w:rsidRPr="00BB7DC9" w:rsidP="007219DF">
      <w:pPr>
        <w:spacing w:after="220"/>
        <w:jc w:val="center"/>
        <w:rPr>
          <w:b/>
          <w:bCs/>
        </w:rPr>
      </w:pPr>
      <w:r w:rsidRPr="761E810D">
        <w:rPr>
          <w:b/>
          <w:bCs/>
        </w:rPr>
        <w:t>-FCC-</w:t>
      </w:r>
    </w:p>
    <w:sectPr w:rsidSect="003044EA">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576" w:footer="576"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pPr>
      <w:pStyle w:val="Footer"/>
      <w:framePr w:wrap="around" w:vAnchor="text" w:hAnchor="margin" w:xAlign="center" w:y="1"/>
    </w:pPr>
    <w:r>
      <w:fldChar w:fldCharType="begin"/>
    </w:r>
    <w:r>
      <w:instrText xml:space="preserve">PAGE  </w:instrText>
    </w:r>
    <w:r>
      <w:fldChar w:fldCharType="separate"/>
    </w:r>
    <w:r>
      <w:fldChar w:fldCharType="end"/>
    </w:r>
  </w:p>
  <w:p w:rsidR="00582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5828D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72A0">
      <w:r>
        <w:separator/>
      </w:r>
    </w:p>
  </w:footnote>
  <w:footnote w:type="continuationSeparator" w:id="1">
    <w:p w:rsidR="006172A0" w:rsidP="00C721AC">
      <w:pPr>
        <w:spacing w:before="120"/>
        <w:rPr>
          <w:sz w:val="20"/>
        </w:rPr>
      </w:pPr>
      <w:r>
        <w:rPr>
          <w:sz w:val="20"/>
        </w:rPr>
        <w:t xml:space="preserve">(Continued from previous page)  </w:t>
      </w:r>
      <w:r>
        <w:rPr>
          <w:sz w:val="20"/>
        </w:rPr>
        <w:separator/>
      </w:r>
    </w:p>
  </w:footnote>
  <w:footnote w:type="continuationNotice" w:id="2">
    <w:p w:rsidR="006172A0" w:rsidP="00C721AC">
      <w:pPr>
        <w:jc w:val="right"/>
        <w:rPr>
          <w:sz w:val="20"/>
        </w:rPr>
      </w:pPr>
      <w:r>
        <w:rPr>
          <w:sz w:val="20"/>
        </w:rPr>
        <w:t>(</w:t>
      </w:r>
      <w:r>
        <w:rPr>
          <w:sz w:val="20"/>
        </w:rPr>
        <w:t>continued</w:t>
      </w:r>
      <w:r>
        <w:rPr>
          <w:sz w:val="20"/>
        </w:rPr>
        <w:t>….)</w:t>
      </w:r>
    </w:p>
  </w:footnote>
  <w:footnote w:id="3">
    <w:p w:rsidR="007219DF" w:rsidRPr="00AE4191" w:rsidP="007219DF">
      <w:pPr>
        <w:pStyle w:val="FootnoteText"/>
      </w:pPr>
      <w:r>
        <w:rPr>
          <w:rStyle w:val="FootnoteReference"/>
        </w:rPr>
        <w:footnoteRef/>
      </w:r>
      <w:r>
        <w:t xml:space="preserve"> </w:t>
      </w:r>
      <w:r>
        <w:rPr>
          <w:i/>
        </w:rPr>
        <w:t xml:space="preserve">Mobility Fund Phase II Initial Eligible Areas Map Available; Challenge Window Will Open March 29, 2018, </w:t>
      </w:r>
      <w:r>
        <w:t xml:space="preserve">Public Notice, 33 FCC </w:t>
      </w:r>
      <w:r>
        <w:t>Rcd</w:t>
      </w:r>
      <w:r>
        <w:t xml:space="preserve"> 2041 (2018). </w:t>
      </w:r>
      <w:r>
        <w:rPr>
          <w:i/>
        </w:rPr>
        <w:t xml:space="preserve">See </w:t>
      </w:r>
      <w:r w:rsidRPr="00AE4191">
        <w:rPr>
          <w:i/>
        </w:rPr>
        <w:t>Procedures for the Mobility Fund Phase II Challenge Process</w:t>
      </w:r>
      <w:r>
        <w:t xml:space="preserve">, Public Notice, </w:t>
      </w:r>
      <w:r>
        <w:t>33</w:t>
      </w:r>
      <w:r>
        <w:t xml:space="preserve"> FCC </w:t>
      </w:r>
      <w:r>
        <w:t>Rcd</w:t>
      </w:r>
      <w:r>
        <w:t xml:space="preserve"> 1985 (2018) (</w:t>
      </w:r>
      <w:r>
        <w:rPr>
          <w:i/>
        </w:rPr>
        <w:t xml:space="preserve">MF-II Challenge Process </w:t>
      </w:r>
      <w:r w:rsidR="00472A66">
        <w:rPr>
          <w:i/>
        </w:rPr>
        <w:t xml:space="preserve">Procedures </w:t>
      </w:r>
      <w:r>
        <w:rPr>
          <w:i/>
        </w:rPr>
        <w:t>PN</w:t>
      </w:r>
      <w:r>
        <w:t>).</w:t>
      </w:r>
    </w:p>
  </w:footnote>
  <w:footnote w:id="4">
    <w:p w:rsidR="00B82EC9" w:rsidRPr="007904C7" w:rsidP="00B82EC9">
      <w:pPr>
        <w:pStyle w:val="FootnoteText"/>
      </w:pPr>
      <w:r w:rsidRPr="007904C7">
        <w:rPr>
          <w:rStyle w:val="FootnoteReference"/>
        </w:rPr>
        <w:footnoteRef/>
      </w:r>
      <w:r w:rsidR="00834D6A">
        <w:rPr>
          <w:i/>
        </w:rPr>
        <w:t xml:space="preserve"> </w:t>
      </w:r>
      <w:r w:rsidRPr="007904C7" w:rsidR="00834D6A">
        <w:rPr>
          <w:i/>
        </w:rPr>
        <w:t>Connect America Fund; Universal Service Reform – Mobility Fund</w:t>
      </w:r>
      <w:r w:rsidRPr="007904C7" w:rsidR="00834D6A">
        <w:t xml:space="preserve">, Order on Reconsideration and Second Report and Order, 32 FCC </w:t>
      </w:r>
      <w:r w:rsidRPr="007904C7" w:rsidR="00834D6A">
        <w:t>Rcd</w:t>
      </w:r>
      <w:r w:rsidRPr="007904C7" w:rsidR="00834D6A">
        <w:t xml:space="preserve"> 6282</w:t>
      </w:r>
      <w:r w:rsidR="00834D6A">
        <w:t>,</w:t>
      </w:r>
      <w:r w:rsidRPr="007904C7">
        <w:t xml:space="preserve"> 6296, para. 28</w:t>
      </w:r>
      <w:r w:rsidR="000D2D44">
        <w:t xml:space="preserve"> </w:t>
      </w:r>
      <w:r w:rsidRPr="007904C7" w:rsidR="000D2D44">
        <w:t>(2017) (</w:t>
      </w:r>
      <w:r w:rsidRPr="007904C7" w:rsidR="000D2D44">
        <w:rPr>
          <w:i/>
        </w:rPr>
        <w:t>MF-II Challenge Process Order</w:t>
      </w:r>
      <w:r w:rsidRPr="007904C7" w:rsidR="000D2D44">
        <w:t>)</w:t>
      </w:r>
      <w:r w:rsidRPr="007904C7">
        <w:t xml:space="preserve">.  </w:t>
      </w:r>
    </w:p>
  </w:footnote>
  <w:footnote w:id="5">
    <w:p w:rsidR="005828DE" w:rsidRPr="007904C7" w:rsidP="008D0DFD">
      <w:pPr>
        <w:pStyle w:val="FootnoteText"/>
      </w:pPr>
      <w:r w:rsidRPr="007904C7">
        <w:rPr>
          <w:rStyle w:val="FootnoteReference"/>
        </w:rPr>
        <w:footnoteRef/>
      </w:r>
      <w:r w:rsidRPr="007904C7">
        <w:t xml:space="preserve"> </w:t>
      </w:r>
      <w:r w:rsidR="00AE4191">
        <w:rPr>
          <w:i/>
        </w:rPr>
        <w:t xml:space="preserve">See </w:t>
      </w:r>
      <w:r w:rsidRPr="007904C7">
        <w:rPr>
          <w:i/>
        </w:rPr>
        <w:t>MF-II Challenge Process Order</w:t>
      </w:r>
      <w:r w:rsidRPr="007904C7">
        <w:t xml:space="preserve">, 32 FCC </w:t>
      </w:r>
      <w:r w:rsidRPr="007904C7">
        <w:t>Rcd</w:t>
      </w:r>
      <w:r w:rsidRPr="007904C7">
        <w:rPr>
          <w:i/>
        </w:rPr>
        <w:t xml:space="preserve"> </w:t>
      </w:r>
      <w:r w:rsidRPr="007904C7">
        <w:t>at</w:t>
      </w:r>
      <w:r w:rsidRPr="007904C7">
        <w:rPr>
          <w:i/>
        </w:rPr>
        <w:t xml:space="preserve"> </w:t>
      </w:r>
      <w:r w:rsidRPr="007904C7">
        <w:t>6302, 6308, paras. 39, 50.</w:t>
      </w:r>
    </w:p>
  </w:footnote>
  <w:footnote w:id="6">
    <w:p w:rsidR="00156341" w:rsidRPr="00156341">
      <w:pPr>
        <w:pStyle w:val="FootnoteText"/>
      </w:pPr>
      <w:r>
        <w:rPr>
          <w:rStyle w:val="FootnoteReference"/>
        </w:rPr>
        <w:footnoteRef/>
      </w:r>
      <w:r>
        <w:t xml:space="preserve"> </w:t>
      </w:r>
      <w:r w:rsidRPr="002F5F48">
        <w:rPr>
          <w:i/>
        </w:rPr>
        <w:t>See MF-II Challenge Process Order</w:t>
      </w:r>
      <w:r w:rsidRPr="002F5F48">
        <w:t xml:space="preserve">, 32 FCC </w:t>
      </w:r>
      <w:r w:rsidRPr="002F5F48">
        <w:t>Rcd</w:t>
      </w:r>
      <w:r w:rsidRPr="002F5F48">
        <w:t xml:space="preserve"> at 6297, para. 29 n.82</w:t>
      </w:r>
      <w:r>
        <w:t xml:space="preserve">; </w:t>
      </w:r>
      <w:r>
        <w:rPr>
          <w:i/>
        </w:rPr>
        <w:t xml:space="preserve">MF-II Challenge Process </w:t>
      </w:r>
      <w:r w:rsidR="00472A66">
        <w:rPr>
          <w:i/>
        </w:rPr>
        <w:t xml:space="preserve">Procedures </w:t>
      </w:r>
      <w:r>
        <w:rPr>
          <w:i/>
        </w:rPr>
        <w:t>PN</w:t>
      </w:r>
      <w:r>
        <w:t xml:space="preserve">, 33 FCC </w:t>
      </w:r>
      <w:r>
        <w:t>Rcd</w:t>
      </w:r>
      <w:r>
        <w:t xml:space="preserve"> at 1989, para. 8 &amp; n. 24.</w:t>
      </w:r>
    </w:p>
  </w:footnote>
  <w:footnote w:id="7">
    <w:p w:rsidR="004E29D1" w:rsidRPr="004E29D1" w:rsidP="004E29D1">
      <w:pPr>
        <w:pStyle w:val="FootnoteText"/>
        <w:rPr>
          <w:i/>
        </w:rPr>
      </w:pPr>
      <w:r>
        <w:rPr>
          <w:rStyle w:val="FootnoteReference"/>
        </w:rPr>
        <w:footnoteRef/>
      </w:r>
      <w:r>
        <w:t xml:space="preserve"> </w:t>
      </w:r>
      <w:r w:rsidRPr="007904C7">
        <w:rPr>
          <w:i/>
        </w:rPr>
        <w:t>MF-II Challenge Process Order</w:t>
      </w:r>
      <w:r w:rsidRPr="007904C7">
        <w:t xml:space="preserve">, 32 FCC </w:t>
      </w:r>
      <w:r w:rsidRPr="007904C7">
        <w:t>Rcd</w:t>
      </w:r>
      <w:r w:rsidRPr="007904C7">
        <w:t xml:space="preserve"> at 6</w:t>
      </w:r>
      <w:r>
        <w:t xml:space="preserve">304, para 43 &amp; n. 115.  The Commission also stated that if a consumer, organization, or business believes that its interests cannot be met through its state, local, or Tribal government entity, and it wishes to participate in the process as a challenger, it is free to file a waiver with the Commission for good cause shown, either on its own or with the assistance of an organization.  </w:t>
      </w:r>
      <w:r>
        <w:rPr>
          <w:i/>
        </w:rPr>
        <w:t>Id.</w:t>
      </w:r>
    </w:p>
  </w:footnote>
  <w:footnote w:id="8">
    <w:p w:rsidR="001238DA" w:rsidP="001238DA">
      <w:pPr>
        <w:pStyle w:val="FootnoteText"/>
      </w:pPr>
      <w:r>
        <w:rPr>
          <w:rStyle w:val="FootnoteReference"/>
        </w:rPr>
        <w:footnoteRef/>
      </w:r>
      <w:r>
        <w:t xml:space="preserve"> </w:t>
      </w:r>
      <w:r>
        <w:rPr>
          <w:szCs w:val="22"/>
        </w:rPr>
        <w:t>47 CFR § 0.459(b).</w:t>
      </w:r>
    </w:p>
  </w:footnote>
  <w:footnote w:id="9">
    <w:p w:rsidR="007235D5" w:rsidRPr="000E345C" w:rsidP="007235D5">
      <w:pPr>
        <w:pStyle w:val="FootnoteText"/>
      </w:pPr>
      <w:r>
        <w:rPr>
          <w:rStyle w:val="FootnoteReference"/>
        </w:rPr>
        <w:footnoteRef/>
      </w:r>
      <w:r>
        <w:t xml:space="preserve"> </w:t>
      </w:r>
      <w:r>
        <w:rPr>
          <w:szCs w:val="22"/>
        </w:rPr>
        <w:t>47 CFR</w:t>
      </w:r>
      <w:r>
        <w:rPr>
          <w:i/>
        </w:rPr>
        <w:t xml:space="preserve"> </w:t>
      </w:r>
      <w:r>
        <w:t xml:space="preserve">§ 0.459(b).  In the case of any request for confidentiality that is denied, the provider may file an application for review by the Commission in accordance with 47 CFR § 0.459(g).  Materials will be accorded confidential treatment until the Commission acts on any timely applications for review, and until a court acts on any timely motion for stay of such an order denying confidential treatment.  </w:t>
      </w:r>
      <w:r>
        <w:rPr>
          <w:i/>
        </w:rPr>
        <w:t>Id.</w:t>
      </w:r>
    </w:p>
  </w:footnote>
  <w:footnote w:id="10">
    <w:p w:rsidR="00911E40">
      <w:pPr>
        <w:pStyle w:val="FootnoteText"/>
      </w:pPr>
      <w:r>
        <w:rPr>
          <w:rStyle w:val="FootnoteReference"/>
        </w:rPr>
        <w:footnoteRef/>
      </w:r>
      <w:r>
        <w:t xml:space="preserve"> </w:t>
      </w:r>
      <w:r w:rsidRPr="00911E40">
        <w:t>https://www.fcc.gov/ecfs/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A1493" w:rsidP="00F22BD2">
    <w:pPr>
      <w:tabs>
        <w:tab w:val="center" w:pos="4680"/>
        <w:tab w:val="right" w:pos="9360"/>
      </w:tabs>
      <w:rPr>
        <w:b/>
      </w:rPr>
    </w:pPr>
    <w:r w:rsidRPr="009A1493">
      <w:rPr>
        <w:b/>
      </w:rPr>
      <w:tab/>
    </w:r>
    <w:r w:rsidR="008C37DE">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205740</wp:posOffset>
              </wp:positionV>
              <wp:extent cx="5943600" cy="0"/>
              <wp:effectExtent l="9525" t="5715" r="9525" b="13335"/>
              <wp:wrapNone/>
              <wp:docPr id="5"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2049" style="mso-height-percent:0;mso-height-relative:page;mso-width-percent:0;mso-width-relative:page;mso-wrap-distance-bottom:0;mso-wrap-distance-left:9pt;mso-wrap-distance-right:9pt;mso-wrap-distance-top:0;mso-wrap-style:square;position:absolute;visibility:visible;z-index:251665408" from="0,16.2pt" to="468pt,16.2pt" o:allowincell="f"/>
          </w:pict>
        </mc:Fallback>
      </mc:AlternateContent>
    </w:r>
    <w:r w:rsidRPr="009A1493">
      <w:rPr>
        <w:b/>
      </w:rPr>
      <w:t>Federal Communications Commission</w:t>
    </w:r>
    <w:r w:rsidRPr="009A1493">
      <w:rPr>
        <w:b/>
      </w:rPr>
      <w:tab/>
    </w:r>
    <w:r>
      <w:rPr>
        <w:b/>
      </w:rPr>
      <w:t>DA</w:t>
    </w:r>
    <w:r w:rsidRPr="009A1493">
      <w:rPr>
        <w:b/>
      </w:rPr>
      <w:t xml:space="preserve"> 1</w:t>
    </w:r>
    <w:r w:rsidR="009821A6">
      <w:rPr>
        <w:b/>
      </w:rPr>
      <w:t>8</w:t>
    </w:r>
    <w:r w:rsidR="00085E3B">
      <w:rPr>
        <w:b/>
      </w:rPr>
      <w:t>-556</w:t>
    </w:r>
  </w:p>
  <w:p w:rsidR="005828DE" w:rsidRPr="009F74DB" w:rsidP="00F22BD2">
    <w:pPr>
      <w:pStyle w:val="Header"/>
    </w:pPr>
  </w:p>
  <w:p w:rsidR="005828DE" w:rsidP="003E04C6">
    <w:pPr>
      <w:pStyle w:val="Header"/>
      <w:rPr>
        <w:spacing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D11BE" w:rsidP="009D11BE">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pPr>
                            <w:rPr>
                              <w:rFonts w:ascii="Arial" w:hAnsi="Arial"/>
                              <w:b/>
                            </w:rPr>
                          </w:pPr>
                          <w:r>
                            <w:rPr>
                              <w:rFonts w:ascii="Arial" w:hAnsi="Arial"/>
                              <w:b/>
                            </w:rPr>
                            <w:t>Federal Communications Commission</w:t>
                          </w:r>
                        </w:p>
                        <w:p w:rsidR="005828DE"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28DE" w:rsidP="009D11BE">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828DE" w:rsidP="009D11BE">
                    <w:pPr>
                      <w:rPr>
                        <w:rFonts w:ascii="Arial" w:hAnsi="Arial"/>
                        <w:b/>
                      </w:rPr>
                    </w:pPr>
                    <w:r>
                      <w:rPr>
                        <w:rFonts w:ascii="Arial" w:hAnsi="Arial"/>
                        <w:b/>
                      </w:rPr>
                      <w:t>Federal Communications Commission</w:t>
                    </w:r>
                  </w:p>
                  <w:p w:rsidR="005828DE"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28DE" w:rsidP="009D11BE">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4670" cy="53467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4670" cy="534670"/>
                  </a:xfrm>
                  <a:prstGeom prst="rect">
                    <a:avLst/>
                  </a:prstGeom>
                  <a:noFill/>
                  <a:ln>
                    <a:noFill/>
                  </a:ln>
                </pic:spPr>
              </pic:pic>
            </a:graphicData>
          </a:graphic>
        </wp:inline>
      </w:drawing>
    </w:r>
    <w:r w:rsidRPr="009D11BE" w:rsidR="000D2D44">
      <w:rPr>
        <w:rFonts w:ascii="Arial" w:hAnsi="Arial" w:cs="Arial"/>
        <w:sz w:val="96"/>
        <w:szCs w:val="96"/>
      </w:rPr>
      <w:t xml:space="preserve"> </w:t>
    </w:r>
    <w:r w:rsidRPr="761E810D" w:rsidR="000D2D44">
      <w:rPr>
        <w:rFonts w:ascii="Arial" w:hAnsi="Arial" w:cs="Arial"/>
        <w:b/>
        <w:bCs/>
        <w:sz w:val="96"/>
        <w:szCs w:val="96"/>
      </w:rPr>
      <w:t>PUBLIC NOTICE</w:t>
    </w:r>
  </w:p>
  <w:p w:rsidR="005828DE" w:rsidRPr="009D11BE" w:rsidP="009D11B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pPr>
                            <w:spacing w:before="40"/>
                            <w:jc w:val="right"/>
                            <w:rPr>
                              <w:rFonts w:ascii="Arial" w:hAnsi="Arial"/>
                              <w:b/>
                              <w:sz w:val="16"/>
                            </w:rPr>
                          </w:pPr>
                          <w:r>
                            <w:rPr>
                              <w:rFonts w:ascii="Arial" w:hAnsi="Arial"/>
                              <w:b/>
                              <w:sz w:val="16"/>
                            </w:rPr>
                            <w:t>News Media Information 202 / 418-0500</w:t>
                          </w:r>
                        </w:p>
                        <w:p w:rsidR="005828DE" w:rsidP="009D11BE">
                          <w:pPr>
                            <w:jc w:val="right"/>
                            <w:rPr>
                              <w:rFonts w:ascii="Arial" w:hAnsi="Arial"/>
                              <w:b/>
                              <w:sz w:val="16"/>
                            </w:rPr>
                          </w:pPr>
                          <w:r>
                            <w:rPr>
                              <w:rFonts w:ascii="Arial" w:hAnsi="Arial"/>
                              <w:b/>
                              <w:sz w:val="16"/>
                            </w:rPr>
                            <w:t xml:space="preserve">Internet: </w:t>
                          </w:r>
                          <w:r w:rsidRPr="005C5914">
                            <w:rPr>
                              <w:rFonts w:ascii="Arial" w:hAnsi="Arial"/>
                              <w:b/>
                              <w:sz w:val="16"/>
                            </w:rPr>
                            <w:t>https://www.fcc.gov</w:t>
                          </w:r>
                        </w:p>
                        <w:p w:rsidR="005828DE" w:rsidP="009D11BE">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828DE" w:rsidP="009D11BE">
                    <w:pPr>
                      <w:spacing w:before="40"/>
                      <w:jc w:val="right"/>
                      <w:rPr>
                        <w:rFonts w:ascii="Arial" w:hAnsi="Arial"/>
                        <w:b/>
                        <w:sz w:val="16"/>
                      </w:rPr>
                    </w:pPr>
                    <w:r>
                      <w:rPr>
                        <w:rFonts w:ascii="Arial" w:hAnsi="Arial"/>
                        <w:b/>
                        <w:sz w:val="16"/>
                      </w:rPr>
                      <w:t>News Media Information 202 / 418-0500</w:t>
                    </w:r>
                  </w:p>
                  <w:p w:rsidR="005828DE" w:rsidP="009D11BE">
                    <w:pPr>
                      <w:jc w:val="right"/>
                      <w:rPr>
                        <w:rFonts w:ascii="Arial" w:hAnsi="Arial"/>
                        <w:b/>
                        <w:sz w:val="16"/>
                      </w:rPr>
                    </w:pPr>
                    <w:r>
                      <w:rPr>
                        <w:rFonts w:ascii="Arial" w:hAnsi="Arial"/>
                        <w:b/>
                        <w:sz w:val="16"/>
                      </w:rPr>
                      <w:t xml:space="preserve">Internet: </w:t>
                    </w:r>
                    <w:r w:rsidRPr="005C5914">
                      <w:rPr>
                        <w:rFonts w:ascii="Arial" w:hAnsi="Arial"/>
                        <w:b/>
                        <w:sz w:val="16"/>
                      </w:rPr>
                      <w:t>https://www.fcc.gov</w:t>
                    </w:r>
                  </w:p>
                  <w:p w:rsidR="005828DE" w:rsidP="009D11BE">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506BB4"/>
    <w:multiLevelType w:val="hybridMultilevel"/>
    <w:tmpl w:val="167E2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CD1977"/>
    <w:multiLevelType w:val="hybridMultilevel"/>
    <w:tmpl w:val="1F9CF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46080D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8">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C67CFE68"/>
    <w:lvl w:ilvl="0">
      <w:start w:val="1"/>
      <w:numFmt w:val="decimal"/>
      <w:pStyle w:val="ParaNum"/>
      <w:lvlText w:val="%1."/>
      <w:lvlJc w:val="left"/>
      <w:pPr>
        <w:tabs>
          <w:tab w:val="num" w:pos="1080"/>
        </w:tabs>
        <w:ind w:left="0" w:firstLine="720"/>
      </w:pPr>
      <w:rPr>
        <w:b w:val="0"/>
        <w:i w:val="0"/>
      </w:rPr>
    </w:lvl>
  </w:abstractNum>
  <w:num w:numId="1">
    <w:abstractNumId w:val="3"/>
  </w:num>
  <w:num w:numId="2">
    <w:abstractNumId w:val="4"/>
  </w:num>
  <w:num w:numId="3">
    <w:abstractNumId w:val="11"/>
  </w:num>
  <w:num w:numId="4">
    <w:abstractNumId w:val="6"/>
  </w:num>
  <w:num w:numId="5">
    <w:abstractNumId w:val="10"/>
  </w:num>
  <w:num w:numId="6">
    <w:abstractNumId w:val="5"/>
  </w:num>
  <w:num w:numId="7">
    <w:abstractNumId w:val="1"/>
  </w:num>
  <w:num w:numId="8">
    <w:abstractNumId w:val="0"/>
  </w:num>
  <w:num w:numId="9">
    <w:abstractNumId w:val="8"/>
  </w:num>
  <w:num w:numId="10">
    <w:abstractNumId w:val="11"/>
  </w:num>
  <w:num w:numId="11">
    <w:abstractNumId w:val="2"/>
  </w:num>
  <w:num w:numId="12">
    <w:abstractNumId w:val="11"/>
  </w:num>
  <w:num w:numId="13">
    <w:abstractNumId w:val="9"/>
  </w:num>
  <w:num w:numId="14">
    <w:abstractNumId w:val="11"/>
  </w:num>
  <w:num w:numId="15">
    <w:abstractNumId w:val="7"/>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A62EC1"/>
    <w:pPr>
      <w:keepNext/>
      <w:numPr>
        <w:numId w:val="4"/>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4474F9"/>
    <w:pPr>
      <w:numPr>
        <w:ilvl w:val="1"/>
        <w:numId w:val="4"/>
      </w:numPr>
      <w:spacing w:after="120"/>
      <w:jc w:val="both"/>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BA6196"/>
    <w:pPr>
      <w:keepNext/>
      <w:numPr>
        <w:ilvl w:val="2"/>
        <w:numId w:val="4"/>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4"/>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4"/>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3"/>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uiPriority w:val="99"/>
    <w:rsid w:val="002A2D2E"/>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9"/>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9"/>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9"/>
      </w:numPr>
      <w:spacing w:before="120" w:after="120" w:line="360" w:lineRule="auto"/>
      <w:jc w:val="center"/>
      <w:outlineLvl w:val="0"/>
    </w:pPr>
    <w:rPr>
      <w:b/>
    </w:rPr>
  </w:style>
  <w:style w:type="numbering" w:customStyle="1" w:styleId="AppendixHeadings">
    <w:name w:val="Appendix Headings"/>
    <w:uiPriority w:val="99"/>
    <w:rsid w:val="00973BC7"/>
    <w:pPr>
      <w:numPr>
        <w:numId w:val="8"/>
      </w:numPr>
    </w:pPr>
  </w:style>
  <w:style w:type="character" w:customStyle="1" w:styleId="FooterChar">
    <w:name w:val="Footer Char"/>
    <w:link w:val="Footer"/>
    <w:uiPriority w:val="99"/>
    <w:rsid w:val="00973BC7"/>
    <w:rPr>
      <w:snapToGrid w:val="0"/>
      <w:kern w:val="28"/>
      <w:sz w:val="22"/>
    </w:rPr>
  </w:style>
  <w:style w:type="paragraph" w:customStyle="1" w:styleId="AppendixHeading4">
    <w:name w:val="Appendix Heading 4"/>
    <w:basedOn w:val="Normal"/>
    <w:next w:val="Normal"/>
    <w:qFormat/>
    <w:rsid w:val="00973BC7"/>
    <w:pPr>
      <w:keepNext/>
      <w:numPr>
        <w:ilvl w:val="3"/>
        <w:numId w:val="9"/>
      </w:numPr>
      <w:spacing w:before="120" w:after="120"/>
      <w:ind w:left="720" w:hanging="720"/>
      <w:outlineLvl w:val="3"/>
    </w:pPr>
    <w:rPr>
      <w:b/>
      <w:bCs/>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F80C07"/>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9C2804"/>
  </w:style>
  <w:style w:type="character" w:styleId="CommentReference">
    <w:name w:val="annotation reference"/>
    <w:rsid w:val="00377D71"/>
    <w:rPr>
      <w:sz w:val="16"/>
      <w:szCs w:val="16"/>
    </w:rPr>
  </w:style>
  <w:style w:type="paragraph" w:styleId="CommentText">
    <w:name w:val="annotation text"/>
    <w:basedOn w:val="Normal"/>
    <w:link w:val="CommentTextChar"/>
    <w:rsid w:val="00377D71"/>
    <w:rPr>
      <w:sz w:val="20"/>
    </w:rPr>
  </w:style>
  <w:style w:type="character" w:customStyle="1" w:styleId="CommentTextChar">
    <w:name w:val="Comment Text Char"/>
    <w:link w:val="CommentText"/>
    <w:rsid w:val="00377D71"/>
    <w:rPr>
      <w:snapToGrid w:val="0"/>
      <w:kern w:val="28"/>
    </w:rPr>
  </w:style>
  <w:style w:type="paragraph" w:styleId="CommentSubject">
    <w:name w:val="annotation subject"/>
    <w:basedOn w:val="CommentText"/>
    <w:next w:val="CommentText"/>
    <w:link w:val="CommentSubjectChar"/>
    <w:rsid w:val="00377D71"/>
    <w:rPr>
      <w:b/>
      <w:bCs/>
    </w:rPr>
  </w:style>
  <w:style w:type="character" w:customStyle="1" w:styleId="CommentSubjectChar">
    <w:name w:val="Comment Subject Char"/>
    <w:link w:val="CommentSubject"/>
    <w:rsid w:val="00377D71"/>
    <w:rPr>
      <w:b/>
      <w:bCs/>
      <w:snapToGrid w:val="0"/>
      <w:kern w:val="28"/>
    </w:rPr>
  </w:style>
  <w:style w:type="paragraph" w:styleId="BalloonText">
    <w:name w:val="Balloon Text"/>
    <w:basedOn w:val="Normal"/>
    <w:link w:val="BalloonTextChar"/>
    <w:rsid w:val="00377D71"/>
    <w:rPr>
      <w:rFonts w:ascii="Segoe UI" w:hAnsi="Segoe UI" w:cs="Segoe UI"/>
      <w:sz w:val="18"/>
      <w:szCs w:val="18"/>
    </w:rPr>
  </w:style>
  <w:style w:type="character" w:customStyle="1" w:styleId="BalloonTextChar">
    <w:name w:val="Balloon Text Char"/>
    <w:link w:val="BalloonText"/>
    <w:rsid w:val="00377D71"/>
    <w:rPr>
      <w:rFonts w:ascii="Segoe UI" w:hAnsi="Segoe UI" w:cs="Segoe UI"/>
      <w:snapToGrid w:val="0"/>
      <w:kern w:val="28"/>
      <w:sz w:val="18"/>
      <w:szCs w:val="18"/>
    </w:rPr>
  </w:style>
  <w:style w:type="character" w:customStyle="1" w:styleId="HeaderChar">
    <w:name w:val="Header Char"/>
    <w:link w:val="Header"/>
    <w:rsid w:val="00D56575"/>
    <w:rPr>
      <w:b/>
      <w:snapToGrid w:val="0"/>
      <w:kern w:val="28"/>
      <w:sz w:val="22"/>
    </w:rPr>
  </w:style>
  <w:style w:type="paragraph" w:styleId="Revision">
    <w:name w:val="Revision"/>
    <w:hidden/>
    <w:uiPriority w:val="99"/>
    <w:semiHidden/>
    <w:rsid w:val="00600F32"/>
    <w:rPr>
      <w:snapToGrid w:val="0"/>
      <w:kern w:val="28"/>
      <w:sz w:val="22"/>
    </w:rPr>
  </w:style>
  <w:style w:type="character" w:customStyle="1" w:styleId="UnresolvedMention1">
    <w:name w:val="Unresolved Mention1"/>
    <w:uiPriority w:val="99"/>
    <w:semiHidden/>
    <w:unhideWhenUsed/>
    <w:rsid w:val="00976D08"/>
    <w:rPr>
      <w:color w:val="808080"/>
      <w:shd w:val="clear" w:color="auto" w:fill="E6E6E6"/>
    </w:rPr>
  </w:style>
  <w:style w:type="character" w:customStyle="1" w:styleId="Normal1">
    <w:name w:val="Normal1"/>
    <w:rsid w:val="002748E7"/>
    <w:rPr>
      <w:rFonts w:ascii="Times New Roman" w:hAnsi="Times New Roman"/>
      <w:noProof w:val="0"/>
      <w:sz w:val="20"/>
      <w:lang w:val="en-US"/>
    </w:rPr>
  </w:style>
  <w:style w:type="paragraph" w:styleId="ListParagraph">
    <w:name w:val="List Paragraph"/>
    <w:basedOn w:val="Normal"/>
    <w:uiPriority w:val="34"/>
    <w:qFormat/>
    <w:rsid w:val="002748E7"/>
    <w:pPr>
      <w:widowControl/>
      <w:ind w:left="720"/>
      <w:contextualSpacing/>
    </w:pPr>
    <w:rPr>
      <w:snapToGrid/>
      <w:kern w:val="0"/>
    </w:rPr>
  </w:style>
  <w:style w:type="character" w:customStyle="1" w:styleId="ParaNumChar">
    <w:name w:val="ParaNum Char"/>
    <w:locked/>
    <w:rsid w:val="00867E1F"/>
    <w:rPr>
      <w:snapToGrid w:val="0"/>
      <w:kern w:val="28"/>
      <w:sz w:val="22"/>
    </w:rPr>
  </w:style>
  <w:style w:type="character" w:customStyle="1" w:styleId="ParaNumChar1">
    <w:name w:val="ParaNum Char1"/>
    <w:locked/>
    <w:rsid w:val="00E16C15"/>
    <w:rPr>
      <w:snapToGrid w:val="0"/>
      <w:kern w:val="28"/>
      <w:sz w:val="22"/>
    </w:rPr>
  </w:style>
  <w:style w:type="character" w:customStyle="1" w:styleId="UnresolvedMention">
    <w:name w:val="Unresolved Mention"/>
    <w:basedOn w:val="DefaultParagraphFont"/>
    <w:uiPriority w:val="99"/>
    <w:semiHidden/>
    <w:unhideWhenUsed/>
    <w:rsid w:val="00AB0B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