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pPr>
        <w:jc w:val="right"/>
        <w:rPr>
          <w:b/>
          <w:szCs w:val="22"/>
        </w:rPr>
      </w:pPr>
      <w:r>
        <w:rPr>
          <w:b/>
          <w:szCs w:val="22"/>
        </w:rPr>
        <w:t>DA 1</w:t>
      </w:r>
      <w:r w:rsidR="00E06E47">
        <w:rPr>
          <w:b/>
          <w:szCs w:val="22"/>
        </w:rPr>
        <w:t>8</w:t>
      </w:r>
      <w:r>
        <w:rPr>
          <w:b/>
          <w:szCs w:val="22"/>
        </w:rPr>
        <w:t>-</w:t>
      </w:r>
      <w:r w:rsidR="00866DD9">
        <w:rPr>
          <w:b/>
          <w:szCs w:val="22"/>
        </w:rPr>
        <w:t>559</w:t>
      </w:r>
    </w:p>
    <w:p w:rsidR="00602577" w:rsidRPr="0090486E">
      <w:pPr>
        <w:spacing w:before="60"/>
        <w:jc w:val="right"/>
        <w:rPr>
          <w:b/>
          <w:szCs w:val="22"/>
        </w:rPr>
      </w:pPr>
      <w:r w:rsidRPr="0090486E">
        <w:rPr>
          <w:b/>
          <w:szCs w:val="22"/>
        </w:rPr>
        <w:t xml:space="preserve">Released: </w:t>
      </w:r>
      <w:r w:rsidR="00501D22">
        <w:rPr>
          <w:b/>
          <w:szCs w:val="22"/>
        </w:rPr>
        <w:t>May 29</w:t>
      </w:r>
      <w:r w:rsidR="00E03BA4">
        <w:rPr>
          <w:b/>
          <w:szCs w:val="22"/>
        </w:rPr>
        <w:t>,</w:t>
      </w:r>
      <w:r w:rsidR="00A7463A">
        <w:rPr>
          <w:b/>
          <w:szCs w:val="22"/>
        </w:rPr>
        <w:t xml:space="preserve"> </w:t>
      </w:r>
      <w:r w:rsidR="00461A8D">
        <w:rPr>
          <w:b/>
          <w:szCs w:val="22"/>
        </w:rPr>
        <w:t>201</w:t>
      </w:r>
      <w:r w:rsidR="00E03BA4">
        <w:rPr>
          <w:b/>
          <w:szCs w:val="22"/>
        </w:rPr>
        <w:t>8</w:t>
      </w:r>
    </w:p>
    <w:p w:rsidR="00602577" w:rsidRPr="0090486E">
      <w:pPr>
        <w:jc w:val="right"/>
        <w:rPr>
          <w:szCs w:val="22"/>
        </w:rPr>
      </w:pPr>
    </w:p>
    <w:p w:rsidR="00A556EB" w:rsidRPr="0090486E" w:rsidP="00A556EB">
      <w:pPr>
        <w:jc w:val="center"/>
        <w:rPr>
          <w:b/>
          <w:color w:val="000000"/>
          <w:szCs w:val="22"/>
        </w:rPr>
      </w:pPr>
      <w:bookmarkStart w:id="1" w:name="_GoBack"/>
      <w:bookmarkEnd w:id="1"/>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pPr>
        <w:pStyle w:val="BodyTextIndent"/>
        <w:rPr>
          <w:color w:val="000000"/>
          <w:sz w:val="22"/>
          <w:szCs w:val="22"/>
        </w:rPr>
      </w:pPr>
      <w:r w:rsidRPr="0090486E">
        <w:rPr>
          <w:color w:val="000000"/>
          <w:sz w:val="22"/>
          <w:szCs w:val="22"/>
        </w:rPr>
        <w:br/>
        <w:t>WC Docket No. 1</w:t>
      </w:r>
      <w:r w:rsidR="00501D22">
        <w:rPr>
          <w:color w:val="000000"/>
          <w:sz w:val="22"/>
          <w:szCs w:val="22"/>
        </w:rPr>
        <w:t>7</w:t>
      </w:r>
      <w:r w:rsidR="00085684">
        <w:rPr>
          <w:color w:val="000000"/>
          <w:sz w:val="22"/>
          <w:szCs w:val="22"/>
        </w:rPr>
        <w:t>-</w:t>
      </w:r>
      <w:r w:rsidR="00501D22">
        <w:rPr>
          <w:color w:val="000000"/>
          <w:sz w:val="22"/>
          <w:szCs w:val="22"/>
        </w:rPr>
        <w:t>218</w:t>
      </w:r>
    </w:p>
    <w:p w:rsidR="00602577">
      <w:pPr>
        <w:jc w:val="center"/>
        <w:rPr>
          <w:sz w:val="24"/>
        </w:rPr>
      </w:pPr>
    </w:p>
    <w:p w:rsidR="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Pr="00B21C58" w:rsidR="00C27FBF">
        <w:t>Apeiron Systems, Inc.</w:t>
      </w:r>
      <w:r w:rsidR="008D6253">
        <w:t xml:space="preserve"> </w:t>
      </w:r>
      <w:r w:rsidRPr="009A60AB">
        <w:rPr>
          <w:szCs w:val="22"/>
        </w:rPr>
        <w:t xml:space="preserve">Pursuant </w:t>
      </w:r>
      <w:r w:rsidR="008E1FF4">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8D6253">
        <w:rPr>
          <w:szCs w:val="22"/>
        </w:rPr>
        <w:t>7</w:t>
      </w:r>
      <w:r w:rsidR="00461A8D">
        <w:rPr>
          <w:szCs w:val="22"/>
        </w:rPr>
        <w:t>-</w:t>
      </w:r>
      <w:r w:rsidR="008D6253">
        <w:rPr>
          <w:szCs w:val="22"/>
        </w:rPr>
        <w:t>218</w:t>
      </w:r>
      <w:r w:rsidRPr="00461A8D">
        <w:rPr>
          <w:szCs w:val="22"/>
        </w:rPr>
        <w:t xml:space="preserve"> </w:t>
      </w:r>
      <w:r w:rsidR="00D60FEA">
        <w:rPr>
          <w:szCs w:val="22"/>
        </w:rPr>
        <w:t>(</w:t>
      </w:r>
      <w:r w:rsidR="008D6253">
        <w:rPr>
          <w:szCs w:val="22"/>
        </w:rPr>
        <w:t xml:space="preserve">July </w:t>
      </w:r>
      <w:r w:rsidRPr="00B21C58" w:rsidR="008D6253">
        <w:rPr>
          <w:szCs w:val="22"/>
        </w:rPr>
        <w:t>28, 2017</w:t>
      </w:r>
      <w:r w:rsidRPr="00461A8D">
        <w:rPr>
          <w:szCs w:val="22"/>
        </w:rPr>
        <w:t>), Public Notice, DA 1</w:t>
      </w:r>
      <w:r w:rsidR="00322213">
        <w:rPr>
          <w:szCs w:val="22"/>
        </w:rPr>
        <w:t>8</w:t>
      </w:r>
      <w:r w:rsidRPr="00461A8D">
        <w:rPr>
          <w:szCs w:val="22"/>
        </w:rPr>
        <w:t>-</w:t>
      </w:r>
      <w:r w:rsidR="008D6253">
        <w:rPr>
          <w:szCs w:val="22"/>
        </w:rPr>
        <w:t>415</w:t>
      </w:r>
      <w:r w:rsidRPr="00461A8D" w:rsidR="00461A8D">
        <w:rPr>
          <w:szCs w:val="22"/>
        </w:rPr>
        <w:t xml:space="preserve"> (WCB </w:t>
      </w:r>
      <w:r w:rsidR="008D6253">
        <w:rPr>
          <w:szCs w:val="22"/>
        </w:rPr>
        <w:t>April 25</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pPr>
        <w:ind w:right="720"/>
        <w:rPr>
          <w:szCs w:val="22"/>
        </w:rPr>
      </w:pPr>
    </w:p>
    <w:p w:rsidR="00A556EB" w:rsidP="00A556EB">
      <w:pPr>
        <w:rPr>
          <w:b/>
          <w:szCs w:val="22"/>
        </w:rPr>
      </w:pPr>
      <w:r>
        <w:rPr>
          <w:b/>
          <w:bCs/>
          <w:color w:val="000000"/>
          <w:szCs w:val="22"/>
          <w:lang w:eastAsia="ja-JP"/>
        </w:rPr>
        <w:t xml:space="preserve">Effective Grant Date:  </w:t>
      </w:r>
      <w:r w:rsidR="008D6253">
        <w:rPr>
          <w:b/>
          <w:bCs/>
          <w:color w:val="000000"/>
          <w:szCs w:val="22"/>
          <w:lang w:eastAsia="ja-JP"/>
        </w:rPr>
        <w:t>May 26</w:t>
      </w:r>
      <w:r w:rsidR="00D60FEA">
        <w:rPr>
          <w:b/>
          <w:bCs/>
          <w:color w:val="000000"/>
          <w:szCs w:val="22"/>
          <w:lang w:eastAsia="ja-JP"/>
        </w:rPr>
        <w:t>, 201</w:t>
      </w:r>
      <w:r w:rsidR="00E03BA4">
        <w:rPr>
          <w:b/>
          <w:bCs/>
          <w:color w:val="000000"/>
          <w:szCs w:val="22"/>
          <w:lang w:eastAsia="ja-JP"/>
        </w:rPr>
        <w:t>8</w:t>
      </w:r>
    </w:p>
    <w:p w:rsidR="00A556EB" w:rsidP="00A556EB">
      <w:pPr>
        <w:rPr>
          <w:b/>
          <w:bCs/>
          <w:color w:val="000000"/>
          <w:szCs w:val="22"/>
          <w:lang w:eastAsia="ja-JP"/>
        </w:rPr>
      </w:pPr>
    </w:p>
    <w:p w:rsidR="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pPr>
        <w:ind w:firstLine="720"/>
      </w:pP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pPr>
        <w:jc w:val="center"/>
        <w:rPr>
          <w:b/>
          <w:color w:val="000000"/>
          <w:szCs w:val="22"/>
        </w:rPr>
      </w:pPr>
      <w:r w:rsidRPr="006155CE">
        <w:rPr>
          <w:b/>
          <w:color w:val="000000"/>
          <w:szCs w:val="22"/>
        </w:rPr>
        <w:t>-FCC-</w:t>
      </w:r>
    </w:p>
    <w:p w:rsidR="00602577">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r>
        <w:separator/>
      </w:r>
    </w:p>
  </w:footnote>
  <w:footnote w:type="continuationSeparator" w:id="1">
    <w:p w:rsidR="00413C5E">
      <w:r>
        <w:continuationSeparator/>
      </w:r>
    </w:p>
  </w:footnote>
  <w:footnote w:id="2">
    <w:p w:rsidR="00A556EB" w:rsidRPr="00373C6A"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