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77712" w:rsidP="00177712">
      <w:pPr>
        <w:pStyle w:val="Header"/>
        <w:tabs>
          <w:tab w:val="clear" w:pos="4320"/>
          <w:tab w:val="clear" w:pos="8640"/>
        </w:tabs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177712" w:rsidRPr="008E65EA" w:rsidP="008E65EA">
      <w:pPr>
        <w:pStyle w:val="Header"/>
        <w:tabs>
          <w:tab w:val="clear" w:pos="4320"/>
          <w:tab w:val="clear" w:pos="8640"/>
          <w:tab w:val="left" w:pos="9390"/>
        </w:tabs>
        <w:sectPr w:rsidSect="00D3609C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1440" w:left="720" w:header="720" w:footer="1440" w:gutter="0"/>
          <w:cols w:space="720"/>
          <w:titlePg/>
          <w:docGrid w:linePitch="299"/>
        </w:sectPr>
      </w:pPr>
    </w:p>
    <w:p w:rsidR="00177712" w:rsidRPr="00284428" w:rsidP="00177712">
      <w:pPr>
        <w:jc w:val="right"/>
        <w:rPr>
          <w:b/>
          <w:szCs w:val="22"/>
        </w:rPr>
      </w:pPr>
      <w:r w:rsidRPr="00284428">
        <w:rPr>
          <w:b/>
          <w:szCs w:val="22"/>
        </w:rPr>
        <w:t>DA 1</w:t>
      </w:r>
      <w:r w:rsidR="0072457E">
        <w:rPr>
          <w:b/>
          <w:szCs w:val="22"/>
        </w:rPr>
        <w:t>8</w:t>
      </w:r>
      <w:r w:rsidRPr="00284428">
        <w:rPr>
          <w:b/>
          <w:szCs w:val="22"/>
        </w:rPr>
        <w:t>-</w:t>
      </w:r>
      <w:r w:rsidR="00EA30EA">
        <w:rPr>
          <w:b/>
          <w:szCs w:val="22"/>
        </w:rPr>
        <w:t>563</w:t>
      </w:r>
      <w:bookmarkStart w:id="0" w:name="_GoBack"/>
      <w:bookmarkEnd w:id="0"/>
    </w:p>
    <w:p w:rsidR="00177712" w:rsidRPr="00943118" w:rsidP="00177712">
      <w:pPr>
        <w:ind w:left="6480"/>
        <w:jc w:val="right"/>
        <w:rPr>
          <w:szCs w:val="22"/>
        </w:rPr>
      </w:pPr>
      <w:r>
        <w:rPr>
          <w:b/>
          <w:szCs w:val="22"/>
        </w:rPr>
        <w:t xml:space="preserve">Released: </w:t>
      </w:r>
      <w:r w:rsidR="00E86E61">
        <w:rPr>
          <w:b/>
          <w:szCs w:val="22"/>
        </w:rPr>
        <w:t>May</w:t>
      </w:r>
      <w:r w:rsidR="00E540AE">
        <w:rPr>
          <w:b/>
          <w:szCs w:val="22"/>
        </w:rPr>
        <w:t xml:space="preserve"> </w:t>
      </w:r>
      <w:r w:rsidR="00A33DB4">
        <w:rPr>
          <w:b/>
          <w:szCs w:val="22"/>
        </w:rPr>
        <w:t>30</w:t>
      </w:r>
      <w:r w:rsidR="00C71166">
        <w:rPr>
          <w:b/>
          <w:szCs w:val="22"/>
        </w:rPr>
        <w:t>,</w:t>
      </w:r>
      <w:r w:rsidRPr="00284428">
        <w:rPr>
          <w:b/>
          <w:szCs w:val="22"/>
        </w:rPr>
        <w:t xml:space="preserve"> </w:t>
      </w:r>
      <w:r w:rsidR="0072457E">
        <w:rPr>
          <w:b/>
          <w:szCs w:val="22"/>
        </w:rPr>
        <w:t>2</w:t>
      </w:r>
      <w:r w:rsidRPr="00284428">
        <w:rPr>
          <w:b/>
          <w:szCs w:val="22"/>
        </w:rPr>
        <w:t>01</w:t>
      </w:r>
      <w:r w:rsidR="0072457E">
        <w:rPr>
          <w:b/>
          <w:szCs w:val="22"/>
        </w:rPr>
        <w:t>8</w:t>
      </w:r>
    </w:p>
    <w:p w:rsidR="00177712" w:rsidP="00177712">
      <w:pPr>
        <w:spacing w:before="60"/>
        <w:jc w:val="right"/>
        <w:rPr>
          <w:sz w:val="24"/>
        </w:rPr>
      </w:pPr>
    </w:p>
    <w:p w:rsidR="00050056" w:rsidP="00177712">
      <w:pPr>
        <w:jc w:val="center"/>
        <w:rPr>
          <w:b/>
          <w:bCs/>
          <w:sz w:val="24"/>
          <w:szCs w:val="24"/>
        </w:rPr>
      </w:pPr>
    </w:p>
    <w:p w:rsidR="00E540AE" w:rsidRPr="005D45C9" w:rsidP="00E540AE">
      <w:pPr>
        <w:ind w:firstLine="720"/>
        <w:jc w:val="center"/>
        <w:rPr>
          <w:b/>
          <w:sz w:val="24"/>
          <w:szCs w:val="24"/>
        </w:rPr>
      </w:pPr>
      <w:r w:rsidRPr="005D45C9">
        <w:rPr>
          <w:b/>
          <w:sz w:val="24"/>
          <w:szCs w:val="24"/>
        </w:rPr>
        <w:t>FEDERAL COMMUNICATIONS COMMISSION TO HOST</w:t>
      </w:r>
    </w:p>
    <w:p w:rsidR="00E540AE" w:rsidRPr="005D45C9" w:rsidP="00E540AE">
      <w:pPr>
        <w:ind w:firstLine="720"/>
        <w:jc w:val="center"/>
        <w:rPr>
          <w:b/>
          <w:sz w:val="24"/>
          <w:szCs w:val="24"/>
        </w:rPr>
      </w:pPr>
      <w:r w:rsidRPr="005D45C9">
        <w:rPr>
          <w:b/>
          <w:sz w:val="24"/>
          <w:szCs w:val="24"/>
        </w:rPr>
        <w:t>A SUPPLIER DIVERSITY WORKSHOP</w:t>
      </w:r>
    </w:p>
    <w:p w:rsidR="005D45C9" w:rsidRPr="005D45C9" w:rsidP="00E540AE">
      <w:pPr>
        <w:ind w:firstLine="720"/>
        <w:jc w:val="center"/>
        <w:rPr>
          <w:b/>
          <w:sz w:val="24"/>
          <w:szCs w:val="24"/>
        </w:rPr>
      </w:pPr>
    </w:p>
    <w:p w:rsidR="00E540AE" w:rsidRPr="005D45C9" w:rsidP="00E540AE">
      <w:pPr>
        <w:ind w:firstLine="720"/>
        <w:jc w:val="center"/>
        <w:rPr>
          <w:b/>
          <w:sz w:val="24"/>
          <w:szCs w:val="24"/>
        </w:rPr>
      </w:pPr>
      <w:r w:rsidRPr="005D45C9">
        <w:rPr>
          <w:b/>
          <w:sz w:val="24"/>
          <w:szCs w:val="24"/>
        </w:rPr>
        <w:t>Monday, June 4, 2018, 9:30 a.m. – 4:30 p.m.</w:t>
      </w:r>
    </w:p>
    <w:p w:rsidR="00E540AE" w:rsidRPr="00E540AE" w:rsidP="00E540AE">
      <w:pPr>
        <w:ind w:firstLine="720"/>
        <w:jc w:val="center"/>
        <w:rPr>
          <w:b/>
        </w:rPr>
      </w:pPr>
    </w:p>
    <w:p w:rsidR="00E540AE" w:rsidRPr="005D45C9" w:rsidP="00E540AE">
      <w:pPr>
        <w:ind w:firstLine="720"/>
        <w:jc w:val="center"/>
        <w:rPr>
          <w:b/>
          <w:sz w:val="24"/>
          <w:szCs w:val="24"/>
        </w:rPr>
      </w:pPr>
      <w:r w:rsidRPr="005D45C9">
        <w:rPr>
          <w:b/>
          <w:i/>
          <w:sz w:val="24"/>
          <w:szCs w:val="24"/>
        </w:rPr>
        <w:t>Procurement Workshop to Include One-on-One Networking Opportunities</w:t>
      </w:r>
    </w:p>
    <w:p w:rsidR="00E540AE" w:rsidRPr="00E540AE" w:rsidP="00E540AE">
      <w:pPr>
        <w:ind w:firstLine="720"/>
      </w:pPr>
    </w:p>
    <w:p w:rsidR="00E540AE" w:rsidRPr="00E540AE" w:rsidP="00E540AE">
      <w:pPr>
        <w:ind w:firstLine="720"/>
      </w:pPr>
    </w:p>
    <w:p w:rsidR="00E540AE" w:rsidRPr="00E540AE" w:rsidP="00E540AE">
      <w:pPr>
        <w:ind w:firstLine="720"/>
      </w:pPr>
      <w:r w:rsidRPr="00E540AE">
        <w:t xml:space="preserve">The Federal Communications Commission’s (“FCC’s”) Office of Communications Business Opportunities (“OCBO”) and Media Bureau (“MB”), </w:t>
      </w:r>
      <w:r w:rsidR="002F1EC7">
        <w:t xml:space="preserve">as well as </w:t>
      </w:r>
      <w:r w:rsidRPr="00E540AE">
        <w:t>the FCC’s Advisory Committee on Diversity and Digital Empowerment (</w:t>
      </w:r>
      <w:r w:rsidR="00437C5B">
        <w:t>“</w:t>
      </w:r>
      <w:r w:rsidRPr="00E540AE">
        <w:t>ACDDE</w:t>
      </w:r>
      <w:r w:rsidR="00437C5B">
        <w:t>”</w:t>
      </w:r>
      <w:r w:rsidRPr="00E540AE">
        <w:t>) will host a one-day supplier diversity workshop for small, minority-owned, women-owned and other diverse businesses</w:t>
      </w:r>
      <w:r w:rsidR="00712462">
        <w:t xml:space="preserve"> next Monday, June 4, 2018</w:t>
      </w:r>
      <w:r w:rsidRPr="00E540AE">
        <w:t>.</w:t>
      </w:r>
      <w:r>
        <w:rPr>
          <w:vertAlign w:val="superscript"/>
        </w:rPr>
        <w:footnoteReference w:id="3"/>
      </w:r>
      <w:r w:rsidRPr="00E540AE">
        <w:t xml:space="preserve">  This workshop will be held at FCC Headquarters, 445 12</w:t>
      </w:r>
      <w:r w:rsidRPr="00E540AE">
        <w:rPr>
          <w:vertAlign w:val="superscript"/>
        </w:rPr>
        <w:t>th</w:t>
      </w:r>
      <w:r w:rsidRPr="00E540AE">
        <w:t xml:space="preserve"> Street SW, Washington, DC, from 9:30 a.m. to 4:30 p.m. EDT, in the Commission Meeting Room (TW-C305). </w:t>
      </w:r>
      <w:r w:rsidR="005C5A34">
        <w:t xml:space="preserve"> The full workshop agenda is attached to this Public Notice as </w:t>
      </w:r>
      <w:r w:rsidR="002F1EC7">
        <w:t xml:space="preserve">an </w:t>
      </w:r>
      <w:r w:rsidR="005C5A34">
        <w:t>Appendix.</w:t>
      </w:r>
    </w:p>
    <w:p w:rsidR="00E540AE" w:rsidRPr="00E540AE" w:rsidP="00E540AE">
      <w:pPr>
        <w:ind w:firstLine="720"/>
      </w:pPr>
    </w:p>
    <w:p w:rsidR="00E540AE" w:rsidRPr="00E540AE" w:rsidP="00E540AE">
      <w:pPr>
        <w:ind w:firstLine="720"/>
      </w:pPr>
      <w:r w:rsidRPr="00E540AE">
        <w:t>T</w:t>
      </w:r>
      <w:r w:rsidRPr="00E540AE" w:rsidR="00712462">
        <w:t>o increase awareness about the expectations of procurement managers responsible for goods and services contracting</w:t>
      </w:r>
      <w:r w:rsidR="00712462">
        <w:t>, t</w:t>
      </w:r>
      <w:r w:rsidRPr="00E540AE">
        <w:t xml:space="preserve">he workshop will teach small business entrepreneurs how to navigate corporate supplier diversity programs; identify successful strategies utilized by diverse entrepreneurs who do business with corporate entities; and enable one-on-one networking between participating firms and workshop participants.  Workshop presentations and one-on-one consulting will be provided by representatives from various industry sectors, including voice, video and data providers, Internet </w:t>
      </w:r>
      <w:r w:rsidR="002F1EC7">
        <w:t>s</w:t>
      </w:r>
      <w:r w:rsidRPr="00E540AE">
        <w:t xml:space="preserve">ervice </w:t>
      </w:r>
      <w:r w:rsidR="002F1EC7">
        <w:t>p</w:t>
      </w:r>
      <w:r w:rsidRPr="00E540AE">
        <w:t xml:space="preserve">roviders, cable operators, broadcasters, public sector agencies, and tech companies. </w:t>
      </w:r>
    </w:p>
    <w:p w:rsidR="00E540AE" w:rsidRPr="00E540AE" w:rsidP="00E540AE">
      <w:pPr>
        <w:ind w:firstLine="720"/>
      </w:pPr>
    </w:p>
    <w:p w:rsidR="00E86E61" w:rsidP="00E540AE">
      <w:pPr>
        <w:ind w:firstLine="720"/>
        <w:rPr>
          <w:lang w:val="en"/>
        </w:rPr>
      </w:pPr>
      <w:r>
        <w:rPr>
          <w:lang w:val="en"/>
        </w:rPr>
        <w:t xml:space="preserve">The workshop will feature three </w:t>
      </w:r>
      <w:r w:rsidR="00F6179F">
        <w:rPr>
          <w:lang w:val="en"/>
        </w:rPr>
        <w:t xml:space="preserve">highly </w:t>
      </w:r>
      <w:r>
        <w:rPr>
          <w:lang w:val="en"/>
        </w:rPr>
        <w:t>informative panels:</w:t>
      </w:r>
    </w:p>
    <w:p w:rsidR="00E86E61" w:rsidP="00E540AE">
      <w:pPr>
        <w:ind w:firstLine="720"/>
        <w:rPr>
          <w:lang w:val="en"/>
        </w:rPr>
      </w:pPr>
    </w:p>
    <w:p w:rsidR="00E86E61" w:rsidP="00E540AE">
      <w:pPr>
        <w:ind w:firstLine="720"/>
        <w:rPr>
          <w:b/>
          <w:lang w:val="en"/>
        </w:rPr>
      </w:pPr>
      <w:r w:rsidRPr="00E86E61">
        <w:rPr>
          <w:b/>
          <w:lang w:val="en"/>
        </w:rPr>
        <w:t>Panel 1:  Procurement Opportunities for Diverse Suppliers</w:t>
      </w:r>
    </w:p>
    <w:p w:rsidR="00107387" w:rsidP="00E540AE">
      <w:pPr>
        <w:ind w:firstLine="720"/>
        <w:rPr>
          <w:b/>
          <w:lang w:val="en"/>
        </w:rPr>
      </w:pPr>
    </w:p>
    <w:p w:rsidR="00E86E61" w:rsidP="00E540AE">
      <w:pPr>
        <w:ind w:firstLine="720"/>
        <w:rPr>
          <w:lang w:val="en"/>
        </w:rPr>
      </w:pPr>
      <w:r>
        <w:rPr>
          <w:lang w:val="en"/>
        </w:rPr>
        <w:t>Panel 1 will feature corporate supplier executives and diversity officers discussing their respective companies’ contracting needs</w:t>
      </w:r>
      <w:r w:rsidR="002F1EC7">
        <w:rPr>
          <w:lang w:val="en"/>
        </w:rPr>
        <w:t xml:space="preserve"> and</w:t>
      </w:r>
      <w:r>
        <w:rPr>
          <w:lang w:val="en"/>
        </w:rPr>
        <w:t xml:space="preserve">, the policies and practices diverse suppliers </w:t>
      </w:r>
      <w:r w:rsidR="00712462">
        <w:rPr>
          <w:lang w:val="en"/>
        </w:rPr>
        <w:t>must</w:t>
      </w:r>
      <w:r>
        <w:rPr>
          <w:lang w:val="en"/>
        </w:rPr>
        <w:t xml:space="preserve"> follow to </w:t>
      </w:r>
      <w:r>
        <w:rPr>
          <w:lang w:val="en"/>
        </w:rPr>
        <w:t>do business with those firms</w:t>
      </w:r>
      <w:r w:rsidR="004305C2">
        <w:rPr>
          <w:lang w:val="en"/>
        </w:rPr>
        <w:t xml:space="preserve">.  Panelists </w:t>
      </w:r>
      <w:r w:rsidR="004305C2">
        <w:t>will</w:t>
      </w:r>
      <w:r w:rsidRPr="004305C2" w:rsidR="004305C2">
        <w:t xml:space="preserve"> </w:t>
      </w:r>
      <w:r w:rsidR="00712462">
        <w:t>discuss</w:t>
      </w:r>
      <w:r w:rsidRPr="004305C2" w:rsidR="004305C2">
        <w:t xml:space="preserve"> the impact of future infrastructure investment on the supplier market and how suppliers should navigate the competitive procurement process to secure business</w:t>
      </w:r>
      <w:r w:rsidR="004305C2">
        <w:t>.</w:t>
      </w:r>
      <w:r>
        <w:rPr>
          <w:lang w:val="en"/>
        </w:rPr>
        <w:t xml:space="preserve">  Senior executives from </w:t>
      </w:r>
      <w:r w:rsidRPr="00A418A8" w:rsidR="00677AAF">
        <w:rPr>
          <w:b/>
          <w:lang w:val="en"/>
        </w:rPr>
        <w:t>Charter</w:t>
      </w:r>
      <w:r w:rsidR="00677AAF">
        <w:rPr>
          <w:b/>
          <w:lang w:val="en"/>
        </w:rPr>
        <w:t xml:space="preserve"> Communications</w:t>
      </w:r>
      <w:r w:rsidRPr="00A418A8" w:rsidR="00677AAF">
        <w:rPr>
          <w:b/>
          <w:lang w:val="en"/>
        </w:rPr>
        <w:t xml:space="preserve">, T-Mobile, AT&amp;T, and </w:t>
      </w:r>
      <w:r w:rsidRPr="00A418A8" w:rsidR="007E2D8C">
        <w:rPr>
          <w:b/>
          <w:lang w:val="en"/>
        </w:rPr>
        <w:t>Verizon</w:t>
      </w:r>
      <w:r w:rsidR="007E2D8C">
        <w:rPr>
          <w:lang w:val="en"/>
        </w:rPr>
        <w:t xml:space="preserve"> will</w:t>
      </w:r>
      <w:r>
        <w:rPr>
          <w:lang w:val="en"/>
        </w:rPr>
        <w:t xml:space="preserve"> participate</w:t>
      </w:r>
      <w:r w:rsidR="00D21CB7">
        <w:rPr>
          <w:lang w:val="en"/>
        </w:rPr>
        <w:t>.</w:t>
      </w:r>
      <w:r>
        <w:rPr>
          <w:lang w:val="en"/>
        </w:rPr>
        <w:t xml:space="preserve">   </w:t>
      </w:r>
    </w:p>
    <w:p w:rsidR="00107387" w:rsidP="00E540AE">
      <w:pPr>
        <w:ind w:firstLine="720"/>
        <w:rPr>
          <w:lang w:val="en"/>
        </w:rPr>
      </w:pPr>
    </w:p>
    <w:p w:rsidR="00107387" w:rsidRPr="00F6179F" w:rsidP="00E540AE">
      <w:pPr>
        <w:ind w:firstLine="720"/>
        <w:rPr>
          <w:b/>
          <w:lang w:val="en"/>
        </w:rPr>
      </w:pPr>
      <w:r w:rsidRPr="00F6179F">
        <w:rPr>
          <w:b/>
          <w:lang w:val="en"/>
        </w:rPr>
        <w:t>Panel 2:</w:t>
      </w:r>
      <w:r w:rsidRPr="00F6179F" w:rsidR="00F6179F">
        <w:rPr>
          <w:b/>
          <w:lang w:val="en"/>
        </w:rPr>
        <w:t xml:space="preserve">  The Supplier Experience:  Succeeding as a Diverse </w:t>
      </w:r>
      <w:r w:rsidR="002F1EC7">
        <w:rPr>
          <w:b/>
          <w:lang w:val="en"/>
        </w:rPr>
        <w:t>Supplier</w:t>
      </w:r>
      <w:r w:rsidRPr="00F6179F">
        <w:rPr>
          <w:b/>
          <w:lang w:val="en"/>
        </w:rPr>
        <w:t xml:space="preserve">  </w:t>
      </w:r>
    </w:p>
    <w:p w:rsidR="00E86E61" w:rsidP="00E540AE">
      <w:pPr>
        <w:ind w:firstLine="720"/>
        <w:rPr>
          <w:b/>
          <w:lang w:val="en"/>
        </w:rPr>
      </w:pPr>
    </w:p>
    <w:p w:rsidR="00E86E61" w:rsidP="00E540AE">
      <w:pPr>
        <w:ind w:firstLine="720"/>
      </w:pPr>
      <w:r>
        <w:t xml:space="preserve">Panel 2 will be a lively conversation among </w:t>
      </w:r>
      <w:r w:rsidRPr="00FB3978">
        <w:t>diverse suppliers shar</w:t>
      </w:r>
      <w:r>
        <w:t>ing</w:t>
      </w:r>
      <w:r w:rsidRPr="00FB3978">
        <w:t xml:space="preserve"> strategies for success, challenges </w:t>
      </w:r>
      <w:r w:rsidR="009C6EEA">
        <w:t xml:space="preserve">suppliers </w:t>
      </w:r>
      <w:r w:rsidRPr="00FB3978">
        <w:t>face</w:t>
      </w:r>
      <w:r>
        <w:t>,</w:t>
      </w:r>
      <w:r w:rsidRPr="00FB3978">
        <w:t xml:space="preserve"> and ideas for </w:t>
      </w:r>
      <w:r w:rsidR="009155C0">
        <w:t xml:space="preserve">entrepreneurs seeking new opportunities in the digital economy.  </w:t>
      </w:r>
      <w:r>
        <w:t xml:space="preserve">  T</w:t>
      </w:r>
      <w:r w:rsidRPr="00FB3978">
        <w:t>opics w</w:t>
      </w:r>
      <w:r>
        <w:t>ill</w:t>
      </w:r>
      <w:r w:rsidRPr="00FB3978">
        <w:t xml:space="preserve"> </w:t>
      </w:r>
      <w:r w:rsidR="00592CE4">
        <w:t>include</w:t>
      </w:r>
      <w:r w:rsidRPr="00FB3978">
        <w:t xml:space="preserve"> how start</w:t>
      </w:r>
      <w:r w:rsidR="00592CE4">
        <w:t>-</w:t>
      </w:r>
      <w:r w:rsidRPr="00FB3978">
        <w:t xml:space="preserve">ups can mature and </w:t>
      </w:r>
      <w:r w:rsidR="00592CE4">
        <w:t>grow their</w:t>
      </w:r>
      <w:r w:rsidRPr="00FB3978">
        <w:t xml:space="preserve"> business</w:t>
      </w:r>
      <w:r w:rsidR="00592CE4">
        <w:t>es</w:t>
      </w:r>
      <w:r>
        <w:t>.</w:t>
      </w:r>
      <w:r w:rsidR="00141A4F">
        <w:t xml:space="preserve">  Panelists include </w:t>
      </w:r>
      <w:r w:rsidRPr="0073430F" w:rsidR="0073430F">
        <w:rPr>
          <w:b/>
        </w:rPr>
        <w:t>The</w:t>
      </w:r>
      <w:r w:rsidR="0073430F">
        <w:t xml:space="preserve"> </w:t>
      </w:r>
      <w:r w:rsidRPr="00033652" w:rsidR="00141A4F">
        <w:rPr>
          <w:b/>
        </w:rPr>
        <w:t>Act</w:t>
      </w:r>
      <w:r w:rsidR="0073430F">
        <w:rPr>
          <w:b/>
        </w:rPr>
        <w:t>One Group</w:t>
      </w:r>
      <w:r w:rsidRPr="00033652" w:rsidR="00141A4F">
        <w:rPr>
          <w:b/>
        </w:rPr>
        <w:t>, The IT Architect</w:t>
      </w:r>
      <w:r w:rsidR="00C030DB">
        <w:rPr>
          <w:b/>
        </w:rPr>
        <w:t xml:space="preserve"> Corporation</w:t>
      </w:r>
      <w:r w:rsidRPr="00033652" w:rsidR="00141A4F">
        <w:rPr>
          <w:b/>
        </w:rPr>
        <w:t xml:space="preserve">, </w:t>
      </w:r>
      <w:r w:rsidRPr="00033652" w:rsidR="00B360A0">
        <w:rPr>
          <w:b/>
        </w:rPr>
        <w:t>National LGBT Chamber of Commerce, National Center for American Indian Enterprise Development, Pinnacle Group</w:t>
      </w:r>
      <w:r w:rsidR="00B360A0">
        <w:t xml:space="preserve"> </w:t>
      </w:r>
      <w:r w:rsidRPr="00033652" w:rsidR="00B360A0">
        <w:rPr>
          <w:b/>
        </w:rPr>
        <w:t xml:space="preserve">and </w:t>
      </w:r>
      <w:r w:rsidRPr="00033652" w:rsidR="002D75D7">
        <w:rPr>
          <w:b/>
        </w:rPr>
        <w:t>Commdex</w:t>
      </w:r>
      <w:r w:rsidR="002D75D7">
        <w:t>.</w:t>
      </w:r>
    </w:p>
    <w:p w:rsidR="00141A4F" w:rsidP="00E540AE">
      <w:pPr>
        <w:ind w:firstLine="720"/>
      </w:pPr>
    </w:p>
    <w:p w:rsidR="00033652" w:rsidP="00E540AE">
      <w:pPr>
        <w:ind w:firstLine="720"/>
        <w:rPr>
          <w:b/>
        </w:rPr>
      </w:pPr>
      <w:r w:rsidRPr="00033652">
        <w:rPr>
          <w:b/>
        </w:rPr>
        <w:t xml:space="preserve">Panel 3:  A Toolkit for Doing Business:  Supplier Certification and Beyond  </w:t>
      </w:r>
    </w:p>
    <w:p w:rsidR="003C30A3" w:rsidP="00E540AE">
      <w:pPr>
        <w:ind w:firstLine="720"/>
        <w:rPr>
          <w:b/>
        </w:rPr>
      </w:pPr>
    </w:p>
    <w:p w:rsidR="003C30A3" w:rsidP="00E540AE">
      <w:pPr>
        <w:ind w:firstLine="720"/>
      </w:pPr>
      <w:r>
        <w:t>Panel 3 will consist of government and private sector experts providing practical information about the various state and federal certification</w:t>
      </w:r>
      <w:r w:rsidR="002375CA">
        <w:t>s</w:t>
      </w:r>
      <w:r>
        <w:t xml:space="preserve"> required for diverse businesses</w:t>
      </w:r>
      <w:r w:rsidR="002375CA">
        <w:t>,</w:t>
      </w:r>
      <w:r>
        <w:t xml:space="preserve"> as well as available resources for small business training and support.</w:t>
      </w:r>
      <w:r w:rsidR="006C72B1">
        <w:t xml:space="preserve">  </w:t>
      </w:r>
      <w:r w:rsidR="002375CA">
        <w:t>Panel d</w:t>
      </w:r>
      <w:r w:rsidRPr="006C72B1" w:rsidR="006C72B1">
        <w:t>iscussion</w:t>
      </w:r>
      <w:r w:rsidR="002375CA">
        <w:t>s centering</w:t>
      </w:r>
      <w:r w:rsidRPr="006C72B1" w:rsidR="006C72B1">
        <w:t xml:space="preserve"> on business formation requirements and supply chain operating procedures w</w:t>
      </w:r>
      <w:r w:rsidR="006C72B1">
        <w:t>ill</w:t>
      </w:r>
      <w:r w:rsidRPr="006C72B1" w:rsidR="006C72B1">
        <w:t xml:space="preserve"> </w:t>
      </w:r>
      <w:r w:rsidR="007605C6">
        <w:t>provide</w:t>
      </w:r>
      <w:r w:rsidRPr="006C72B1" w:rsidR="006C72B1">
        <w:t xml:space="preserve"> a practical </w:t>
      </w:r>
      <w:r w:rsidR="007605C6">
        <w:t>introduction</w:t>
      </w:r>
      <w:r w:rsidRPr="006C72B1" w:rsidR="007605C6">
        <w:t xml:space="preserve"> </w:t>
      </w:r>
      <w:r w:rsidRPr="006C72B1" w:rsidR="006C72B1">
        <w:t>for new entrants</w:t>
      </w:r>
      <w:r w:rsidR="006C72B1">
        <w:t xml:space="preserve">, as well as </w:t>
      </w:r>
      <w:r w:rsidRPr="006C72B1" w:rsidR="006C72B1">
        <w:t xml:space="preserve">a refresher for more experienced entrepreneurs. </w:t>
      </w:r>
      <w:r w:rsidR="004F399F">
        <w:t xml:space="preserve"> Panelists </w:t>
      </w:r>
      <w:r w:rsidR="00545DF9">
        <w:t xml:space="preserve">will represent the </w:t>
      </w:r>
      <w:r w:rsidRPr="00512823" w:rsidR="00545DF9">
        <w:rPr>
          <w:b/>
        </w:rPr>
        <w:t>U.S. Small</w:t>
      </w:r>
      <w:r w:rsidR="00545DF9">
        <w:t xml:space="preserve"> </w:t>
      </w:r>
      <w:r w:rsidRPr="00512823" w:rsidR="00545DF9">
        <w:rPr>
          <w:b/>
        </w:rPr>
        <w:t>Business Administration</w:t>
      </w:r>
      <w:r w:rsidR="00545DF9">
        <w:t xml:space="preserve">, </w:t>
      </w:r>
      <w:r w:rsidRPr="00512823" w:rsidR="00545DF9">
        <w:rPr>
          <w:b/>
        </w:rPr>
        <w:t>U.S. Department of Commerce (Minority Enterprise Development)</w:t>
      </w:r>
      <w:r w:rsidR="00545DF9">
        <w:t xml:space="preserve">, </w:t>
      </w:r>
      <w:r w:rsidRPr="00512823" w:rsidR="00E44005">
        <w:rPr>
          <w:b/>
        </w:rPr>
        <w:t>Capital Region Minority Diversity Supplier Council</w:t>
      </w:r>
      <w:r w:rsidR="00E44005">
        <w:t xml:space="preserve">, </w:t>
      </w:r>
      <w:r w:rsidR="00A5446D">
        <w:t xml:space="preserve">and the </w:t>
      </w:r>
      <w:r w:rsidRPr="00512823" w:rsidR="00E54784">
        <w:rPr>
          <w:b/>
        </w:rPr>
        <w:t>U.S. Pan Asian American C</w:t>
      </w:r>
      <w:r w:rsidR="00D85BFB">
        <w:rPr>
          <w:b/>
        </w:rPr>
        <w:t>hamber of Commerce</w:t>
      </w:r>
      <w:r w:rsidR="00A5446D">
        <w:t>.</w:t>
      </w:r>
    </w:p>
    <w:p w:rsidR="002D7ACC" w:rsidP="00E540AE">
      <w:pPr>
        <w:ind w:firstLine="720"/>
      </w:pPr>
    </w:p>
    <w:p w:rsidR="002D7ACC" w:rsidRPr="003C30A3" w:rsidP="00E540AE">
      <w:pPr>
        <w:ind w:firstLine="720"/>
      </w:pPr>
      <w:r>
        <w:t xml:space="preserve">The final component of the workshop, from 2:30 pm to 4:30 p.m., will feature one-on-one confidential consultations during which small business owners will receive individualized advice on supplier strategies and information regarding current contracting opportunities from firms including AT&amp;T, </w:t>
      </w:r>
      <w:r w:rsidR="002F5808">
        <w:t xml:space="preserve">Comcast, T-Mobile, and Charter Communications.  </w:t>
      </w:r>
      <w:r>
        <w:t>While appointments for these confidential sessions have been made in advance, there may be limited opportunities for walk-up appointments.</w:t>
      </w:r>
    </w:p>
    <w:p w:rsidR="00141A4F" w:rsidRPr="00FB3978" w:rsidP="00E540AE">
      <w:pPr>
        <w:ind w:firstLine="720"/>
        <w:rPr>
          <w:lang w:val="en"/>
        </w:rPr>
      </w:pPr>
    </w:p>
    <w:p w:rsidR="008B39B3" w:rsidRPr="008B39B3" w:rsidP="008B39B3">
      <w:pPr>
        <w:ind w:firstLine="720"/>
        <w:rPr>
          <w:szCs w:val="22"/>
        </w:rPr>
      </w:pPr>
      <w:r w:rsidRPr="008B229B">
        <w:rPr>
          <w:szCs w:val="22"/>
          <w:lang w:val="en"/>
        </w:rPr>
        <w:t xml:space="preserve">The </w:t>
      </w:r>
      <w:r w:rsidRPr="008B229B" w:rsidR="005A6780">
        <w:rPr>
          <w:szCs w:val="22"/>
          <w:lang w:val="en"/>
        </w:rPr>
        <w:t xml:space="preserve">workshop is open to the public.  The FCC will accommodate as many attendees as possible; however, admittance will be limited to seating availability.  </w:t>
      </w:r>
      <w:r w:rsidRPr="008B39B3">
        <w:rPr>
          <w:szCs w:val="22"/>
        </w:rPr>
        <w:t xml:space="preserve">Audio/Video coverage of this meeting will be broadcast live with open captioning over the Internet from the FCC Live web page at </w:t>
      </w:r>
      <w:r>
        <w:fldChar w:fldCharType="begin"/>
      </w:r>
      <w:r>
        <w:instrText xml:space="preserve"> HYPERLINK "http://www.fcc.gov/live" </w:instrText>
      </w:r>
      <w:r>
        <w:fldChar w:fldCharType="separate"/>
      </w:r>
      <w:r w:rsidRPr="008B39B3">
        <w:rPr>
          <w:rStyle w:val="Hyperlink"/>
          <w:szCs w:val="22"/>
        </w:rPr>
        <w:t>www.fcc.gov/live</w:t>
      </w:r>
      <w:r>
        <w:fldChar w:fldCharType="end"/>
      </w:r>
      <w:r w:rsidRPr="008B39B3">
        <w:rPr>
          <w:szCs w:val="22"/>
        </w:rPr>
        <w:t xml:space="preserve">. If you want to follow the event on social media via </w:t>
      </w:r>
      <w:r w:rsidR="00760E13">
        <w:rPr>
          <w:szCs w:val="22"/>
        </w:rPr>
        <w:t>T</w:t>
      </w:r>
      <w:r w:rsidRPr="008B39B3">
        <w:rPr>
          <w:szCs w:val="22"/>
        </w:rPr>
        <w:t xml:space="preserve">witter, please use the hashtag #FCCLive or #FCCSupplierDiversity during the course of the livestream.  Questions may also be submitted online during the event via e-mail to </w:t>
      </w:r>
      <w:r>
        <w:fldChar w:fldCharType="begin"/>
      </w:r>
      <w:r>
        <w:instrText xml:space="preserve"> HYPERLINK "mailto:livequestions@fcc.gov" </w:instrText>
      </w:r>
      <w:r>
        <w:fldChar w:fldCharType="separate"/>
      </w:r>
      <w:r w:rsidRPr="008B39B3">
        <w:rPr>
          <w:rStyle w:val="Hyperlink"/>
          <w:szCs w:val="22"/>
        </w:rPr>
        <w:t>livequestions@fcc.gov</w:t>
      </w:r>
      <w:r>
        <w:fldChar w:fldCharType="end"/>
      </w:r>
      <w:r w:rsidRPr="008B39B3">
        <w:rPr>
          <w:szCs w:val="22"/>
        </w:rPr>
        <w:t xml:space="preserve">. More information about this event is available on the event page at </w:t>
      </w:r>
      <w:r>
        <w:fldChar w:fldCharType="begin"/>
      </w:r>
      <w:r>
        <w:instrText xml:space="preserve"> HYPERLINK "https://www.fcc.gov/news-events/events/2018/06/supplier-diversity-conference-and-workshop" </w:instrText>
      </w:r>
      <w:r>
        <w:fldChar w:fldCharType="separate"/>
      </w:r>
      <w:r w:rsidRPr="008B39B3">
        <w:rPr>
          <w:rStyle w:val="Hyperlink"/>
          <w:szCs w:val="22"/>
        </w:rPr>
        <w:t>https://www.fcc.gov/news-events/events/2018/06/supplier-diversity-conference-and-workshop</w:t>
      </w:r>
      <w:r>
        <w:fldChar w:fldCharType="end"/>
      </w:r>
      <w:r w:rsidRPr="008B39B3">
        <w:rPr>
          <w:szCs w:val="22"/>
        </w:rPr>
        <w:t xml:space="preserve">.  </w:t>
      </w:r>
    </w:p>
    <w:p w:rsidR="00E540AE" w:rsidRPr="000E614B" w:rsidP="00E540AE">
      <w:pPr>
        <w:ind w:firstLine="720"/>
        <w:rPr>
          <w:highlight w:val="yellow"/>
        </w:rPr>
      </w:pPr>
    </w:p>
    <w:p w:rsidR="00E540AE" w:rsidRPr="00E540AE" w:rsidP="00E540AE">
      <w:pPr>
        <w:ind w:firstLine="720"/>
        <w:rPr>
          <w:i/>
          <w:lang w:val="en"/>
        </w:rPr>
      </w:pPr>
      <w:r w:rsidRPr="00154C40">
        <w:rPr>
          <w:i/>
        </w:rPr>
        <w:t xml:space="preserve">You may follow the FCC on Twitter at </w:t>
      </w:r>
      <w:r>
        <w:fldChar w:fldCharType="begin"/>
      </w:r>
      <w:r>
        <w:instrText xml:space="preserve"> HYPERLINK "http://twitter.com/FCC" </w:instrText>
      </w:r>
      <w:r>
        <w:fldChar w:fldCharType="separate"/>
      </w:r>
      <w:r w:rsidRPr="00154C40">
        <w:rPr>
          <w:rStyle w:val="Hyperlink"/>
        </w:rPr>
        <w:t>http://twitter.com/FCC</w:t>
      </w:r>
      <w:r>
        <w:fldChar w:fldCharType="end"/>
      </w:r>
      <w:r w:rsidRPr="00154C40">
        <w:rPr>
          <w:i/>
        </w:rPr>
        <w:t xml:space="preserve"> and on Facebook at </w:t>
      </w:r>
      <w:r>
        <w:fldChar w:fldCharType="begin"/>
      </w:r>
      <w:r>
        <w:instrText xml:space="preserve"> HYPERLINK "http://facebook.com/FCC" </w:instrText>
      </w:r>
      <w:r>
        <w:fldChar w:fldCharType="separate"/>
      </w:r>
      <w:r w:rsidRPr="00154C40" w:rsidR="0023291F">
        <w:rPr>
          <w:rStyle w:val="Hyperlink"/>
        </w:rPr>
        <w:t>http://facebook.com/FCC</w:t>
      </w:r>
      <w:r>
        <w:fldChar w:fldCharType="end"/>
      </w:r>
      <w:r w:rsidRPr="00154C40">
        <w:rPr>
          <w:i/>
        </w:rPr>
        <w:t>.</w:t>
      </w:r>
    </w:p>
    <w:p w:rsidR="00E540AE" w:rsidP="004D0EC2">
      <w:pPr>
        <w:ind w:firstLine="720"/>
      </w:pPr>
    </w:p>
    <w:p w:rsidR="00E540AE" w:rsidP="004D0EC2">
      <w:pPr>
        <w:ind w:firstLine="720"/>
      </w:pPr>
    </w:p>
    <w:p w:rsidR="002C6D5A" w:rsidP="00177712">
      <w:pPr>
        <w:ind w:firstLine="720"/>
        <w:rPr>
          <w:szCs w:val="22"/>
        </w:rPr>
      </w:pPr>
    </w:p>
    <w:p w:rsidR="00177712" w:rsidRPr="00931CB9" w:rsidP="00177712">
      <w:pPr>
        <w:widowControl w:val="0"/>
        <w:autoSpaceDE w:val="0"/>
        <w:autoSpaceDN w:val="0"/>
        <w:adjustRightInd w:val="0"/>
        <w:jc w:val="center"/>
      </w:pPr>
    </w:p>
    <w:p w:rsidR="00177712" w:rsidRPr="00943118" w:rsidP="00177712">
      <w:pPr>
        <w:widowControl w:val="0"/>
        <w:tabs>
          <w:tab w:val="left" w:pos="7050"/>
          <w:tab w:val="left" w:pos="8490"/>
        </w:tabs>
        <w:autoSpaceDE w:val="0"/>
        <w:autoSpaceDN w:val="0"/>
        <w:adjustRightInd w:val="0"/>
      </w:pPr>
      <w:r w:rsidRPr="00943118">
        <w:tab/>
      </w:r>
      <w:r w:rsidRPr="00943118">
        <w:tab/>
      </w: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943118">
        <w:rPr>
          <w:b/>
          <w:bCs/>
        </w:rPr>
        <w:t>- FCC</w:t>
      </w:r>
      <w:r w:rsidRPr="0094311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–</w:t>
      </w: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3E5E41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3E5E41" w:rsidP="003E5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</w:p>
    <w:p w:rsidR="003E5E41" w:rsidP="003E5E41">
      <w:pPr>
        <w:jc w:val="center"/>
        <w:rPr>
          <w:b/>
          <w:sz w:val="28"/>
          <w:szCs w:val="28"/>
        </w:rPr>
      </w:pPr>
    </w:p>
    <w:p w:rsidR="003E5E41" w:rsidP="003E5E41">
      <w:pPr>
        <w:jc w:val="center"/>
        <w:rPr>
          <w:b/>
          <w:sz w:val="28"/>
          <w:szCs w:val="28"/>
        </w:rPr>
      </w:pPr>
    </w:p>
    <w:p w:rsidR="003E5E41" w:rsidP="003E5E41">
      <w:pPr>
        <w:jc w:val="center"/>
        <w:rPr>
          <w:b/>
          <w:sz w:val="28"/>
          <w:szCs w:val="28"/>
        </w:rPr>
      </w:pPr>
      <w:r w:rsidRPr="00E14095">
        <w:rPr>
          <w:noProof/>
        </w:rPr>
        <w:drawing>
          <wp:inline distT="0" distB="0" distL="0" distR="0">
            <wp:extent cx="904875" cy="828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41" w:rsidP="003E5E41">
      <w:pPr>
        <w:jc w:val="center"/>
        <w:rPr>
          <w:b/>
        </w:rPr>
      </w:pPr>
    </w:p>
    <w:p w:rsidR="003E5E41" w:rsidP="003E5E41">
      <w:pPr>
        <w:jc w:val="center"/>
        <w:rPr>
          <w:b/>
        </w:rPr>
      </w:pPr>
    </w:p>
    <w:p w:rsidR="003E5E41" w:rsidRPr="002A4A0C" w:rsidP="003E5E41">
      <w:pPr>
        <w:jc w:val="center"/>
        <w:rPr>
          <w:b/>
          <w:sz w:val="32"/>
          <w:szCs w:val="32"/>
        </w:rPr>
      </w:pPr>
      <w:r w:rsidRPr="002A4A0C">
        <w:rPr>
          <w:b/>
          <w:sz w:val="32"/>
          <w:szCs w:val="32"/>
        </w:rPr>
        <w:t>SUPPLIER DIVERSITY WORKSHOP</w:t>
      </w:r>
    </w:p>
    <w:p w:rsidR="003E5E41" w:rsidP="003E5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CO-SPONSORED BY THE</w:t>
      </w:r>
    </w:p>
    <w:p w:rsidR="003E5E41" w:rsidP="003E5E41">
      <w:pPr>
        <w:jc w:val="center"/>
        <w:rPr>
          <w:b/>
          <w:sz w:val="24"/>
          <w:szCs w:val="24"/>
        </w:rPr>
      </w:pPr>
    </w:p>
    <w:p w:rsidR="003E5E41" w:rsidP="003E5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FCC OFFICE OF COMMUNICATIONS BUSINESS OPPORTUNITIES</w:t>
      </w:r>
    </w:p>
    <w:p w:rsidR="003E5E41" w:rsidP="003E5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MEDIA BUREAU </w:t>
      </w:r>
    </w:p>
    <w:p w:rsidR="003E5E41" w:rsidP="003E5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 THE</w:t>
      </w:r>
    </w:p>
    <w:p w:rsidR="003E5E41" w:rsidP="003E5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DIGITAL EMPOWERMENT AND INCLUSION WORKING GROUP OF THE</w:t>
      </w:r>
    </w:p>
    <w:p w:rsidR="003E5E41" w:rsidRPr="003B0255" w:rsidP="003E5E41">
      <w:pPr>
        <w:jc w:val="center"/>
        <w:rPr>
          <w:b/>
          <w:sz w:val="24"/>
          <w:szCs w:val="24"/>
        </w:rPr>
      </w:pPr>
      <w:r w:rsidRPr="003B0255">
        <w:rPr>
          <w:b/>
          <w:sz w:val="24"/>
          <w:szCs w:val="24"/>
        </w:rPr>
        <w:t>ADVISORY COMMITTEE ON DIVERSITY AND DIGITAL EMPOWERMENT</w:t>
      </w:r>
    </w:p>
    <w:p w:rsidR="003E5E41" w:rsidRPr="003B0255" w:rsidP="003E5E41">
      <w:pPr>
        <w:jc w:val="center"/>
        <w:rPr>
          <w:b/>
          <w:sz w:val="24"/>
          <w:szCs w:val="24"/>
        </w:rPr>
      </w:pPr>
    </w:p>
    <w:p w:rsidR="003E5E41" w:rsidRPr="003B0255" w:rsidP="003E5E41">
      <w:pPr>
        <w:jc w:val="center"/>
        <w:rPr>
          <w:b/>
          <w:sz w:val="24"/>
          <w:szCs w:val="24"/>
        </w:rPr>
      </w:pPr>
      <w:r w:rsidRPr="003B0255">
        <w:rPr>
          <w:b/>
          <w:sz w:val="24"/>
          <w:szCs w:val="24"/>
        </w:rPr>
        <w:t>Federal Communications Commission</w:t>
      </w:r>
    </w:p>
    <w:p w:rsidR="003E5E41" w:rsidRPr="003B0255" w:rsidP="003E5E41">
      <w:pPr>
        <w:jc w:val="center"/>
        <w:rPr>
          <w:b/>
          <w:sz w:val="24"/>
          <w:szCs w:val="24"/>
        </w:rPr>
      </w:pPr>
      <w:r w:rsidRPr="003B0255">
        <w:rPr>
          <w:b/>
          <w:sz w:val="24"/>
          <w:szCs w:val="24"/>
        </w:rPr>
        <w:t>445 12</w:t>
      </w:r>
      <w:r w:rsidRPr="003B0255">
        <w:rPr>
          <w:b/>
          <w:sz w:val="24"/>
          <w:szCs w:val="24"/>
          <w:vertAlign w:val="superscript"/>
        </w:rPr>
        <w:t>th</w:t>
      </w:r>
      <w:r w:rsidRPr="003B0255">
        <w:rPr>
          <w:b/>
          <w:sz w:val="24"/>
          <w:szCs w:val="24"/>
        </w:rPr>
        <w:t xml:space="preserve"> Street, S.W., Room TW-C305, Washington, D.C.  20554</w:t>
      </w:r>
    </w:p>
    <w:p w:rsidR="003E5E41" w:rsidRPr="003B0255" w:rsidP="003E5E41">
      <w:pPr>
        <w:jc w:val="center"/>
        <w:rPr>
          <w:b/>
          <w:sz w:val="24"/>
          <w:szCs w:val="24"/>
        </w:rPr>
      </w:pPr>
    </w:p>
    <w:p w:rsidR="003E5E41" w:rsidRPr="003B0255" w:rsidP="003E5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4</w:t>
      </w:r>
      <w:r w:rsidRPr="003B0255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</w:p>
    <w:p w:rsidR="003E5E41" w:rsidRPr="003B0255" w:rsidP="003E5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9:30</w:t>
      </w:r>
      <w:r w:rsidRPr="003B0255">
        <w:rPr>
          <w:b/>
          <w:sz w:val="24"/>
          <w:szCs w:val="24"/>
        </w:rPr>
        <w:t xml:space="preserve"> a.m. – </w:t>
      </w:r>
      <w:r>
        <w:rPr>
          <w:b/>
          <w:sz w:val="24"/>
          <w:szCs w:val="24"/>
        </w:rPr>
        <w:t>4:30</w:t>
      </w:r>
      <w:r w:rsidRPr="003B0255">
        <w:rPr>
          <w:b/>
          <w:sz w:val="24"/>
          <w:szCs w:val="24"/>
        </w:rPr>
        <w:t xml:space="preserve"> p.m.</w:t>
      </w:r>
    </w:p>
    <w:p w:rsidR="003E5E41" w:rsidRPr="003B0255" w:rsidP="003E5E41">
      <w:pPr>
        <w:jc w:val="center"/>
        <w:rPr>
          <w:b/>
          <w:sz w:val="24"/>
          <w:szCs w:val="24"/>
        </w:rPr>
      </w:pPr>
    </w:p>
    <w:p w:rsidR="003E5E41" w:rsidP="003E5E41"/>
    <w:p w:rsidR="003E5E41" w:rsidP="003E5E41">
      <w:pPr>
        <w:rPr>
          <w:b/>
        </w:rPr>
      </w:pPr>
      <w:r>
        <w:t>9:30 am:</w:t>
      </w:r>
      <w:r>
        <w:tab/>
      </w:r>
      <w:r>
        <w:tab/>
      </w:r>
      <w:r w:rsidRPr="000D1E98">
        <w:rPr>
          <w:b/>
        </w:rPr>
        <w:t>Welcome</w:t>
      </w:r>
      <w:r>
        <w:rPr>
          <w:b/>
        </w:rPr>
        <w:t xml:space="preserve"> and Opening of Workshop</w:t>
      </w:r>
    </w:p>
    <w:p w:rsidR="003E5E41" w:rsidP="003E5E41">
      <w:r>
        <w:rPr>
          <w:b/>
        </w:rPr>
        <w:tab/>
      </w:r>
      <w:r>
        <w:rPr>
          <w:b/>
        </w:rPr>
        <w:tab/>
      </w:r>
      <w:r>
        <w:rPr>
          <w:b/>
        </w:rPr>
        <w:tab/>
        <w:t>FCC Chairman Ajit Pai</w:t>
      </w:r>
    </w:p>
    <w:p w:rsidR="003E5E41" w:rsidP="003E5E41"/>
    <w:p w:rsidR="003E5E41" w:rsidP="003E5E41">
      <w:pPr>
        <w:rPr>
          <w:b/>
        </w:rPr>
      </w:pPr>
      <w:r>
        <w:tab/>
      </w:r>
      <w:r>
        <w:tab/>
      </w:r>
      <w:r>
        <w:tab/>
      </w:r>
      <w:r w:rsidRPr="00F66223">
        <w:rPr>
          <w:b/>
        </w:rPr>
        <w:t>Welcome Remarks</w:t>
      </w:r>
    </w:p>
    <w:p w:rsidR="003E5E41" w:rsidRPr="006A3F5F" w:rsidP="003E5E4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3F5F">
        <w:t xml:space="preserve">FCC </w:t>
      </w:r>
      <w:r>
        <w:t>OCBO Director Sanford Williams</w:t>
      </w:r>
    </w:p>
    <w:p w:rsidR="003E5E41" w:rsidP="003E5E41">
      <w:pPr>
        <w:ind w:left="1440" w:firstLine="720"/>
      </w:pPr>
      <w:r>
        <w:t>DEI Working Group Chair Heather Gate, Director of Digital Inclusion,</w:t>
      </w:r>
    </w:p>
    <w:p w:rsidR="003E5E41" w:rsidP="003E5E41">
      <w:pPr>
        <w:ind w:left="1440" w:firstLine="720"/>
      </w:pPr>
      <w:r>
        <w:t>Connected Nation</w:t>
      </w:r>
    </w:p>
    <w:p w:rsidR="003E5E41" w:rsidP="003E5E41">
      <w:pPr>
        <w:ind w:left="2160"/>
      </w:pPr>
      <w:r>
        <w:t xml:space="preserve">Access Subcommittee Chair Rudy Brioche, Vice President and Counsel, Global Public Policy, Comcast Corporation  </w:t>
      </w:r>
    </w:p>
    <w:p w:rsidR="003E5E41" w:rsidP="003E5E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5E41" w:rsidP="003E5E41">
      <w:pPr>
        <w:rPr>
          <w:b/>
        </w:rPr>
      </w:pPr>
      <w:r>
        <w:t>10:00 am —</w:t>
      </w:r>
      <w:r>
        <w:tab/>
      </w:r>
      <w:r>
        <w:tab/>
      </w:r>
      <w:r w:rsidRPr="00D43607">
        <w:rPr>
          <w:b/>
        </w:rPr>
        <w:t>Panel 1:  Procurement Opportunities for Diverse Suppliers</w:t>
      </w:r>
    </w:p>
    <w:p w:rsidR="003E5E41" w:rsidP="003E5E41">
      <w:r w:rsidRPr="007978F7">
        <w:t>11:00 am</w:t>
      </w:r>
      <w:r>
        <w:t>:</w:t>
      </w:r>
      <w:r>
        <w:rPr>
          <w:b/>
        </w:rPr>
        <w:tab/>
      </w:r>
      <w:r>
        <w:rPr>
          <w:b/>
        </w:rPr>
        <w:tab/>
        <w:t>Moderator, Dr. Ronald Johnson, President, Solutions4Change</w:t>
      </w:r>
    </w:p>
    <w:p w:rsidR="00E037B0" w:rsidP="003E5E41">
      <w:pPr>
        <w:ind w:left="2160"/>
      </w:pPr>
      <w:r w:rsidRPr="006A42C1">
        <w:rPr>
          <w:i/>
        </w:rPr>
        <w:t>Panelists:</w:t>
      </w:r>
      <w:r>
        <w:t xml:space="preserve">  </w:t>
      </w:r>
    </w:p>
    <w:p w:rsidR="00E037B0" w:rsidP="003E5E41">
      <w:pPr>
        <w:ind w:left="2160"/>
      </w:pPr>
      <w:r>
        <w:t>Megan Rast</w:t>
      </w:r>
      <w:r w:rsidR="00E93320">
        <w:t>,</w:t>
      </w:r>
      <w:r>
        <w:t xml:space="preserve"> Senior Manager, Supplier Diversity, Charter Communications</w:t>
      </w:r>
    </w:p>
    <w:p w:rsidR="003E5E41" w:rsidP="003E5E41">
      <w:pPr>
        <w:ind w:left="2160"/>
      </w:pPr>
      <w:r>
        <w:t>Chi Pak, Senior Manager, Supplier Diversity, T-Mobile</w:t>
      </w:r>
    </w:p>
    <w:p w:rsidR="00E037B0" w:rsidP="003E5E41">
      <w:pPr>
        <w:ind w:left="2160"/>
      </w:pPr>
      <w:r>
        <w:t xml:space="preserve">Pat Patterson, Manager, Supplier Diversity, Verizon </w:t>
      </w:r>
    </w:p>
    <w:p w:rsidR="003E5E41" w:rsidP="003E5E41">
      <w:pPr>
        <w:ind w:left="2160"/>
      </w:pPr>
      <w:r>
        <w:t xml:space="preserve">Yvette Mouton, Manager, Supplier Diversity, AT&amp;T </w:t>
      </w:r>
    </w:p>
    <w:p w:rsidR="00AB11A5" w:rsidP="003E5E41">
      <w:pPr>
        <w:ind w:left="2160"/>
      </w:pPr>
    </w:p>
    <w:p w:rsidR="00AB11A5" w:rsidP="003E5E41">
      <w:pPr>
        <w:ind w:left="2160"/>
      </w:pPr>
    </w:p>
    <w:p w:rsidR="00AB11A5" w:rsidP="003E5E41">
      <w:pPr>
        <w:ind w:left="2160"/>
      </w:pPr>
    </w:p>
    <w:p w:rsidR="00AB11A5" w:rsidP="003E5E41">
      <w:pPr>
        <w:ind w:left="2160"/>
      </w:pPr>
    </w:p>
    <w:p w:rsidR="00AB11A5" w:rsidP="003E5E41">
      <w:pPr>
        <w:ind w:left="2160"/>
      </w:pPr>
    </w:p>
    <w:p w:rsidR="003E5E41" w:rsidP="003E5E41">
      <w:r>
        <w:tab/>
      </w:r>
      <w:r>
        <w:tab/>
      </w:r>
      <w:r>
        <w:tab/>
      </w:r>
    </w:p>
    <w:p w:rsidR="003E5E41" w:rsidP="003E5E41">
      <w:pPr>
        <w:rPr>
          <w:b/>
        </w:rPr>
      </w:pPr>
      <w:r>
        <w:t>11:10 am —</w:t>
      </w:r>
      <w:r>
        <w:tab/>
      </w:r>
      <w:r>
        <w:tab/>
      </w:r>
      <w:r w:rsidRPr="00BB1693">
        <w:rPr>
          <w:b/>
        </w:rPr>
        <w:t xml:space="preserve">Panel 2: </w:t>
      </w:r>
      <w:r>
        <w:rPr>
          <w:b/>
        </w:rPr>
        <w:t xml:space="preserve"> The Supplier Experience:  </w:t>
      </w:r>
      <w:r w:rsidRPr="00BB1693">
        <w:rPr>
          <w:b/>
        </w:rPr>
        <w:t xml:space="preserve">Succeeding as a Diverse </w:t>
      </w:r>
      <w:r>
        <w:rPr>
          <w:b/>
        </w:rPr>
        <w:t>Supplier</w:t>
      </w:r>
    </w:p>
    <w:p w:rsidR="003E5E41" w:rsidRPr="00182480" w:rsidP="003E5E41">
      <w:r w:rsidRPr="007978F7">
        <w:t>12:10 pm</w:t>
      </w:r>
      <w:r>
        <w:t>:</w:t>
      </w:r>
      <w:r>
        <w:rPr>
          <w:b/>
        </w:rPr>
        <w:tab/>
      </w:r>
      <w:r>
        <w:rPr>
          <w:b/>
        </w:rPr>
        <w:tab/>
        <w:t>Moderator, Sanford Williams, Director, FCC</w:t>
      </w:r>
      <w:r w:rsidR="00DE3B94">
        <w:rPr>
          <w:b/>
        </w:rPr>
        <w:t xml:space="preserve"> </w:t>
      </w:r>
      <w:r>
        <w:rPr>
          <w:b/>
        </w:rPr>
        <w:t>OCBO</w:t>
      </w:r>
    </w:p>
    <w:p w:rsidR="005946BC" w:rsidP="003E5E41">
      <w:pPr>
        <w:ind w:left="2160"/>
      </w:pPr>
      <w:r w:rsidRPr="006A42C1">
        <w:rPr>
          <w:i/>
        </w:rPr>
        <w:t>Panelists</w:t>
      </w:r>
      <w:r>
        <w:t xml:space="preserve">:  </w:t>
      </w:r>
    </w:p>
    <w:p w:rsidR="005946BC" w:rsidP="003E5E41">
      <w:pPr>
        <w:ind w:left="2160"/>
      </w:pPr>
      <w:r>
        <w:t xml:space="preserve">Janice Bryant Howroyd, </w:t>
      </w:r>
      <w:r w:rsidR="00962932">
        <w:t>Founder</w:t>
      </w:r>
      <w:r>
        <w:t xml:space="preserve"> and CEO, </w:t>
      </w:r>
      <w:r w:rsidR="00962932">
        <w:t xml:space="preserve">The </w:t>
      </w:r>
      <w:r>
        <w:t>Act</w:t>
      </w:r>
      <w:r w:rsidR="00962932">
        <w:t>One Group</w:t>
      </w:r>
      <w:r>
        <w:t xml:space="preserve"> </w:t>
      </w:r>
    </w:p>
    <w:p w:rsidR="005946BC" w:rsidP="003E5E41">
      <w:pPr>
        <w:ind w:left="2160"/>
      </w:pPr>
      <w:r>
        <w:t xml:space="preserve">Prince Niyyar, President, Commdex </w:t>
      </w:r>
    </w:p>
    <w:p w:rsidR="005946BC" w:rsidP="003E5E41">
      <w:pPr>
        <w:ind w:left="2160"/>
      </w:pPr>
      <w:r>
        <w:t xml:space="preserve">Nina Vaca, Chairman &amp; CEO, Pinnacle Group </w:t>
      </w:r>
    </w:p>
    <w:p w:rsidR="005946BC" w:rsidP="003E5E41">
      <w:pPr>
        <w:ind w:left="2160"/>
      </w:pPr>
      <w:r>
        <w:t xml:space="preserve">Sabrina G. Kent, Chief of Staff, National LGBT Chamber of Commerce </w:t>
      </w:r>
    </w:p>
    <w:p w:rsidR="005946BC" w:rsidP="003E5E41">
      <w:pPr>
        <w:ind w:left="2160"/>
      </w:pPr>
      <w:r>
        <w:t xml:space="preserve">Chris James, President and CEO, National Center for American Indian Enterprise Development </w:t>
      </w:r>
    </w:p>
    <w:p w:rsidR="003E5E41" w:rsidRPr="00182480" w:rsidP="003E5E41">
      <w:pPr>
        <w:ind w:left="2160"/>
      </w:pPr>
      <w:r>
        <w:t>Charles Harrell II, President, The IT Architect</w:t>
      </w:r>
      <w:r w:rsidR="00E30417">
        <w:t xml:space="preserve"> Corporation</w:t>
      </w:r>
    </w:p>
    <w:p w:rsidR="003E5E41" w:rsidP="003E5E41"/>
    <w:p w:rsidR="003E5E41" w:rsidP="003E5E41"/>
    <w:p w:rsidR="003E5E41" w:rsidP="003E5E41">
      <w:pPr>
        <w:rPr>
          <w:b/>
        </w:rPr>
      </w:pPr>
      <w:r>
        <w:t>12:10 pm —</w:t>
      </w:r>
      <w:r>
        <w:tab/>
      </w:r>
      <w:r>
        <w:tab/>
      </w:r>
      <w:r w:rsidRPr="00AB40D2">
        <w:rPr>
          <w:b/>
        </w:rPr>
        <w:t>L</w:t>
      </w:r>
      <w:r>
        <w:rPr>
          <w:b/>
        </w:rPr>
        <w:t xml:space="preserve">UNCH </w:t>
      </w:r>
      <w:r w:rsidRPr="00AB40D2">
        <w:rPr>
          <w:b/>
        </w:rPr>
        <w:t>B</w:t>
      </w:r>
      <w:r>
        <w:rPr>
          <w:b/>
        </w:rPr>
        <w:t>REAK</w:t>
      </w:r>
    </w:p>
    <w:p w:rsidR="003E5E41" w:rsidRPr="00182480" w:rsidP="003E5E41">
      <w:r w:rsidRPr="005727D4">
        <w:t>1:10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2480">
        <w:t xml:space="preserve"> </w:t>
      </w:r>
    </w:p>
    <w:p w:rsidR="003E5E41" w:rsidRPr="00337F61" w:rsidP="003E5E41"/>
    <w:p w:rsidR="003E5E41" w:rsidRPr="00823CA9" w:rsidP="003E5E41">
      <w:pPr>
        <w:rPr>
          <w:b/>
        </w:rPr>
      </w:pPr>
      <w:r>
        <w:t>1:15 pm —</w:t>
      </w:r>
      <w:r>
        <w:tab/>
      </w:r>
      <w:r>
        <w:tab/>
      </w:r>
      <w:r w:rsidRPr="00823CA9">
        <w:rPr>
          <w:b/>
        </w:rPr>
        <w:t>Panel 3:  A Toolkit for Doing Business</w:t>
      </w:r>
      <w:r w:rsidR="00C225D9">
        <w:rPr>
          <w:b/>
        </w:rPr>
        <w:t>:  Supplier Certification and Beyond</w:t>
      </w:r>
    </w:p>
    <w:p w:rsidR="003E5E41" w:rsidRPr="00C61112" w:rsidP="00D85BFB">
      <w:pPr>
        <w:ind w:left="2160" w:hanging="2160"/>
      </w:pPr>
      <w:r w:rsidRPr="00823CA9">
        <w:t>2:15 pm:</w:t>
      </w:r>
      <w:r>
        <w:rPr>
          <w:b/>
        </w:rPr>
        <w:tab/>
        <w:t xml:space="preserve">Moderator, Carolyn </w:t>
      </w:r>
      <w:r w:rsidR="00D85BFB">
        <w:rPr>
          <w:b/>
        </w:rPr>
        <w:t>Fleming-</w:t>
      </w:r>
      <w:r>
        <w:rPr>
          <w:b/>
        </w:rPr>
        <w:t>Williams, Senior Deputy Director, FCC</w:t>
      </w:r>
      <w:r w:rsidR="00065C7B">
        <w:rPr>
          <w:b/>
        </w:rPr>
        <w:t xml:space="preserve"> </w:t>
      </w:r>
      <w:r>
        <w:rPr>
          <w:b/>
        </w:rPr>
        <w:t>OCBO</w:t>
      </w:r>
    </w:p>
    <w:p w:rsidR="00D85BFB" w:rsidP="003E5E41">
      <w:pPr>
        <w:ind w:left="2160"/>
      </w:pPr>
      <w:r w:rsidRPr="00AA0DE6">
        <w:rPr>
          <w:i/>
        </w:rPr>
        <w:t>Panelists</w:t>
      </w:r>
      <w:r>
        <w:t xml:space="preserve">:  </w:t>
      </w:r>
    </w:p>
    <w:p w:rsidR="00D85BFB" w:rsidP="003E5E41">
      <w:pPr>
        <w:ind w:left="2160"/>
      </w:pPr>
      <w:r>
        <w:t xml:space="preserve">Major Clark III, Acting Chief Counsel, Office of Advocacy, U.S. Small Business Administration </w:t>
      </w:r>
    </w:p>
    <w:p w:rsidR="00BF7399" w:rsidP="003E5E41">
      <w:pPr>
        <w:ind w:left="2160"/>
      </w:pPr>
      <w:r>
        <w:t xml:space="preserve">Susan Au Allen, National President &amp; CEO, U.S. Pan Asian American Chamber of Commerce </w:t>
      </w:r>
    </w:p>
    <w:p w:rsidR="00BF7399" w:rsidP="003E5E41">
      <w:pPr>
        <w:ind w:left="2160"/>
      </w:pPr>
      <w:r>
        <w:t xml:space="preserve">Maureen A. Lewis, Director, Minority Telecommunications Development, NTIA, U.S. Department of Commerce </w:t>
      </w:r>
    </w:p>
    <w:p w:rsidR="003E5E41" w:rsidP="003E5E41">
      <w:pPr>
        <w:ind w:left="2160"/>
      </w:pPr>
      <w:r>
        <w:t>Sharon Pinder, President and CEO, Capital Region Minority Supplier Diversity Council</w:t>
      </w:r>
    </w:p>
    <w:p w:rsidR="003E5E41" w:rsidP="003E5E41"/>
    <w:p w:rsidR="003E5E41" w:rsidRPr="00C64AA3" w:rsidP="003E5E41">
      <w:pPr>
        <w:rPr>
          <w:b/>
        </w:rPr>
      </w:pPr>
      <w:r>
        <w:t>2:15 pm —</w:t>
      </w:r>
      <w:r>
        <w:tab/>
      </w:r>
      <w:r>
        <w:tab/>
      </w:r>
      <w:r w:rsidRPr="00C64AA3">
        <w:rPr>
          <w:b/>
        </w:rPr>
        <w:t xml:space="preserve">Closing Remarks </w:t>
      </w:r>
    </w:p>
    <w:p w:rsidR="003E5E41" w:rsidRPr="00166F2C" w:rsidP="003E5E41">
      <w:r w:rsidRPr="00AA0DE6">
        <w:t>2:30 pm:</w:t>
      </w:r>
      <w:r>
        <w:rPr>
          <w:b/>
        </w:rPr>
        <w:tab/>
      </w:r>
      <w:r>
        <w:rPr>
          <w:b/>
        </w:rPr>
        <w:tab/>
      </w:r>
      <w:r w:rsidRPr="00E64685">
        <w:t>ACDDE Designated Federal Officer Jamila Bess Johnson</w:t>
      </w:r>
    </w:p>
    <w:p w:rsidR="003E5E41" w:rsidRPr="00DC7336" w:rsidP="003E5E41">
      <w:r>
        <w:tab/>
      </w:r>
      <w:r>
        <w:tab/>
      </w:r>
      <w:r>
        <w:tab/>
        <w:t xml:space="preserve">ACDDE Deputy </w:t>
      </w:r>
      <w:r w:rsidR="005E36B5">
        <w:t xml:space="preserve">Designated </w:t>
      </w:r>
      <w:r>
        <w:t xml:space="preserve">Federal Officer Brenda </w:t>
      </w:r>
      <w:r w:rsidR="00EB0C51">
        <w:t xml:space="preserve">D. </w:t>
      </w:r>
      <w:r>
        <w:t>Villanueva</w:t>
      </w:r>
    </w:p>
    <w:p w:rsidR="003E5E41" w:rsidP="003E5E41">
      <w:r>
        <w:tab/>
      </w:r>
      <w:r>
        <w:tab/>
      </w:r>
      <w:r>
        <w:tab/>
        <w:t>OCBO Director Sanford Williams</w:t>
      </w:r>
    </w:p>
    <w:p w:rsidR="003E5E41" w:rsidP="003E5E41">
      <w:r>
        <w:tab/>
      </w:r>
      <w:r>
        <w:tab/>
      </w:r>
      <w:r>
        <w:tab/>
        <w:t>OCBO Sr. Deputy Director Carolyn Fleming-Williams</w:t>
      </w:r>
    </w:p>
    <w:p w:rsidR="003E5E41" w:rsidP="003E5E41"/>
    <w:p w:rsidR="003E5E41" w:rsidRPr="003D76EC" w:rsidP="003E5E41">
      <w:pPr>
        <w:rPr>
          <w:b/>
        </w:rPr>
      </w:pPr>
      <w:r>
        <w:t>2:30 pm —</w:t>
      </w:r>
      <w:r>
        <w:tab/>
      </w:r>
      <w:r>
        <w:tab/>
      </w:r>
      <w:r w:rsidRPr="003D76EC">
        <w:rPr>
          <w:b/>
        </w:rPr>
        <w:t>One-on-One Consultations with Suppliers and Workshop Panelists</w:t>
      </w:r>
    </w:p>
    <w:p w:rsidR="003E5E41" w:rsidP="003E5E41">
      <w:r>
        <w:t>4:30 pm</w:t>
      </w:r>
      <w:r>
        <w:tab/>
      </w:r>
      <w:r>
        <w:tab/>
        <w:t>(By Appointment)</w:t>
      </w:r>
    </w:p>
    <w:p w:rsidR="003E5E41" w:rsidP="003E5E41"/>
    <w:p w:rsidR="003E5E41" w:rsidP="003E5E41"/>
    <w:p w:rsidR="003E5E41" w:rsidP="003E5E41">
      <w:pPr>
        <w:rPr>
          <w:i/>
        </w:rPr>
      </w:pPr>
    </w:p>
    <w:p w:rsidR="003E5E41" w:rsidRPr="00BF2108" w:rsidP="003E5E41"/>
    <w:p w:rsidR="003E5E41" w:rsidP="003E5E41"/>
    <w:p w:rsidR="003E5E41" w:rsidP="003E5E41">
      <w:pPr>
        <w:jc w:val="center"/>
      </w:pP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620304" w:rsidRPr="00E70BBD" w:rsidP="00050056">
      <w:pPr>
        <w:jc w:val="center"/>
        <w:rPr>
          <w:szCs w:val="22"/>
        </w:rPr>
      </w:pPr>
    </w:p>
    <w:sectPr>
      <w:headerReference w:type="first" r:id="rId15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0EA"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Footer"/>
      <w:jc w:val="center"/>
    </w:pPr>
  </w:p>
  <w:p w:rsidR="00785D65">
    <w:pPr>
      <w:pStyle w:val="Footer"/>
    </w:pPr>
    <w:r>
      <w:t>DRAFT 1/26/17 - NON-PUBLIC: FOR 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86409">
      <w:r>
        <w:separator/>
      </w:r>
    </w:p>
  </w:footnote>
  <w:footnote w:type="continuationSeparator" w:id="1">
    <w:p w:rsidR="00D86409">
      <w:r>
        <w:continuationSeparator/>
      </w:r>
    </w:p>
  </w:footnote>
  <w:footnote w:type="continuationNotice" w:id="2">
    <w:p w:rsidR="00D86409"/>
  </w:footnote>
  <w:footnote w:id="3">
    <w:p w:rsidR="00E540AE" w:rsidRPr="006C1054" w:rsidP="00E540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1054">
        <w:t xml:space="preserve">Additional information about the ACDDE is available at </w:t>
      </w:r>
      <w:r>
        <w:fldChar w:fldCharType="begin"/>
      </w:r>
      <w:r>
        <w:instrText xml:space="preserve"> HYPERLINK "https://www.fcc.gov/advisory-committee-diversity-and-digital-enpowerment" </w:instrText>
      </w:r>
      <w:r>
        <w:fldChar w:fldCharType="separate"/>
      </w:r>
      <w:r w:rsidRPr="006C1054">
        <w:rPr>
          <w:rStyle w:val="Hyperlink"/>
        </w:rPr>
        <w:t>https://www.fcc.gov/advisory-committee-diversity-and-digital-enpowerment</w:t>
      </w:r>
      <w:r>
        <w:fldChar w:fldCharType="end"/>
      </w:r>
      <w:r>
        <w:t>.</w:t>
      </w:r>
    </w:p>
    <w:p w:rsidR="00E540AE" w:rsidP="00E540A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8379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1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8480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0528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8720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0" name="Picture 10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86681" name="Picture 10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7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79822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7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712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177712"/>
    <w:rPr>
      <w:sz w:val="22"/>
    </w:rPr>
  </w:style>
  <w:style w:type="character" w:customStyle="1" w:styleId="FooterChar">
    <w:name w:val="Footer Char"/>
    <w:link w:val="Footer"/>
    <w:uiPriority w:val="99"/>
    <w:rsid w:val="00177712"/>
    <w:rPr>
      <w:sz w:val="22"/>
    </w:rPr>
  </w:style>
  <w:style w:type="paragraph" w:styleId="ListParagraph">
    <w:name w:val="List Paragraph"/>
    <w:basedOn w:val="Normal"/>
    <w:uiPriority w:val="34"/>
    <w:qFormat/>
    <w:rsid w:val="00177712"/>
    <w:pPr>
      <w:spacing w:after="120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7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9A145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header" Target="header4.xml" /><Relationship Id="rId13" Type="http://schemas.openxmlformats.org/officeDocument/2006/relationships/footer" Target="footer5.xml" /><Relationship Id="rId14" Type="http://schemas.openxmlformats.org/officeDocument/2006/relationships/image" Target="media/image2.png" /><Relationship Id="rId15" Type="http://schemas.openxmlformats.org/officeDocument/2006/relationships/header" Target="header5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