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4058C" w:rsidRPr="0029562D" w:rsidP="00D1591E">
      <w:pPr>
        <w:widowControl w:val="0"/>
        <w:spacing w:before="120"/>
        <w:jc w:val="right"/>
        <w:rPr>
          <w:b/>
          <w:szCs w:val="22"/>
        </w:rPr>
      </w:pPr>
      <w:r w:rsidRPr="0029562D">
        <w:rPr>
          <w:b/>
          <w:szCs w:val="22"/>
        </w:rPr>
        <w:t>DA 1</w:t>
      </w:r>
      <w:r>
        <w:rPr>
          <w:b/>
          <w:szCs w:val="22"/>
        </w:rPr>
        <w:t>8</w:t>
      </w:r>
      <w:r w:rsidRPr="0029562D">
        <w:rPr>
          <w:b/>
          <w:szCs w:val="22"/>
        </w:rPr>
        <w:t>-</w:t>
      </w:r>
      <w:r w:rsidR="002F2FC6">
        <w:rPr>
          <w:b/>
          <w:szCs w:val="22"/>
        </w:rPr>
        <w:t>564</w:t>
      </w:r>
    </w:p>
    <w:p w:rsidR="0014058C" w:rsidRPr="0029562D" w:rsidP="00D1591E">
      <w:pPr>
        <w:widowControl w:val="0"/>
        <w:jc w:val="right"/>
        <w:rPr>
          <w:b/>
          <w:szCs w:val="22"/>
        </w:rPr>
      </w:pPr>
      <w:r>
        <w:rPr>
          <w:b/>
          <w:szCs w:val="22"/>
        </w:rPr>
        <w:t xml:space="preserve">Released: </w:t>
      </w:r>
      <w:r w:rsidR="00CC5E40">
        <w:rPr>
          <w:b/>
          <w:szCs w:val="22"/>
        </w:rPr>
        <w:t>Ma</w:t>
      </w:r>
      <w:r w:rsidR="004E05FE">
        <w:rPr>
          <w:b/>
          <w:szCs w:val="22"/>
        </w:rPr>
        <w:t>y</w:t>
      </w:r>
      <w:r w:rsidR="00CC5E40">
        <w:rPr>
          <w:b/>
          <w:szCs w:val="22"/>
        </w:rPr>
        <w:t xml:space="preserve"> </w:t>
      </w:r>
      <w:r w:rsidR="005662BB">
        <w:rPr>
          <w:b/>
          <w:szCs w:val="22"/>
        </w:rPr>
        <w:t>30</w:t>
      </w:r>
      <w:r>
        <w:rPr>
          <w:b/>
          <w:szCs w:val="22"/>
        </w:rPr>
        <w:t>, 2018</w:t>
      </w:r>
    </w:p>
    <w:p w:rsidR="0014058C" w:rsidRPr="0029562D" w:rsidP="00D1591E">
      <w:pPr>
        <w:widowControl w:val="0"/>
        <w:tabs>
          <w:tab w:val="left" w:pos="5900"/>
        </w:tabs>
        <w:rPr>
          <w:szCs w:val="22"/>
        </w:rPr>
      </w:pPr>
      <w:bookmarkStart w:id="0" w:name="_GoBack"/>
      <w:bookmarkEnd w:id="0"/>
    </w:p>
    <w:p w:rsidR="0014058C" w:rsidRPr="00D1591E" w:rsidP="00D1591E">
      <w:pPr>
        <w:widowControl w:val="0"/>
        <w:jc w:val="center"/>
        <w:rPr>
          <w:b/>
          <w:caps/>
          <w:szCs w:val="22"/>
        </w:rPr>
      </w:pPr>
      <w:r w:rsidRPr="00D1591E">
        <w:rPr>
          <w:b/>
          <w:caps/>
          <w:szCs w:val="22"/>
        </w:rPr>
        <w:t>Interconnected VoIP Numbering Authorization Application Filed By Number Access, LLC Pursuant To Section 52.15(g)(3) Of The Commission’s Rules</w:t>
      </w:r>
    </w:p>
    <w:p w:rsidR="0014058C" w:rsidRPr="0029562D" w:rsidP="00D1591E">
      <w:pPr>
        <w:widowControl w:val="0"/>
        <w:jc w:val="center"/>
        <w:rPr>
          <w:b/>
          <w:szCs w:val="22"/>
        </w:rPr>
      </w:pPr>
    </w:p>
    <w:p w:rsidR="0014058C" w:rsidRPr="0029562D" w:rsidP="00D1591E">
      <w:pPr>
        <w:widowControl w:val="0"/>
        <w:jc w:val="center"/>
        <w:rPr>
          <w:b/>
          <w:szCs w:val="22"/>
        </w:rPr>
      </w:pPr>
      <w:r w:rsidRPr="0029562D">
        <w:rPr>
          <w:b/>
          <w:szCs w:val="22"/>
        </w:rPr>
        <w:t>STREAMLINED PLEADING CYCLE ESTABLISHED</w:t>
      </w:r>
    </w:p>
    <w:p w:rsidR="0014058C" w:rsidRPr="0029562D" w:rsidP="00D1591E">
      <w:pPr>
        <w:widowControl w:val="0"/>
        <w:jc w:val="center"/>
        <w:rPr>
          <w:b/>
          <w:szCs w:val="22"/>
        </w:rPr>
      </w:pPr>
    </w:p>
    <w:p w:rsidR="0014058C" w:rsidRPr="0029562D" w:rsidP="00D1591E">
      <w:pPr>
        <w:widowControl w:val="0"/>
        <w:jc w:val="center"/>
        <w:rPr>
          <w:b/>
          <w:szCs w:val="22"/>
        </w:rPr>
      </w:pPr>
      <w:r w:rsidRPr="0029562D">
        <w:rPr>
          <w:b/>
          <w:szCs w:val="22"/>
        </w:rPr>
        <w:t xml:space="preserve">WC Docket No. </w:t>
      </w:r>
      <w:r>
        <w:rPr>
          <w:b/>
          <w:szCs w:val="22"/>
        </w:rPr>
        <w:t>18-</w:t>
      </w:r>
      <w:r w:rsidR="00E14FFC">
        <w:rPr>
          <w:b/>
          <w:szCs w:val="22"/>
        </w:rPr>
        <w:t>137</w:t>
      </w:r>
      <w:r>
        <w:rPr>
          <w:rStyle w:val="FootnoteReference"/>
          <w:b/>
          <w:szCs w:val="22"/>
        </w:rPr>
        <w:footnoteReference w:id="2"/>
      </w:r>
    </w:p>
    <w:p w:rsidR="0014058C" w:rsidRPr="0029562D" w:rsidP="00D1591E">
      <w:pPr>
        <w:widowControl w:val="0"/>
        <w:jc w:val="center"/>
        <w:rPr>
          <w:szCs w:val="22"/>
        </w:rPr>
      </w:pPr>
    </w:p>
    <w:p w:rsidR="0014058C" w:rsidRPr="0029562D" w:rsidP="00D1591E">
      <w:pPr>
        <w:pStyle w:val="NoSpacing"/>
        <w:widowControl w:val="0"/>
        <w:rPr>
          <w:b/>
          <w:szCs w:val="22"/>
        </w:rPr>
      </w:pPr>
      <w:r w:rsidRPr="0029562D">
        <w:rPr>
          <w:b/>
          <w:szCs w:val="22"/>
        </w:rPr>
        <w:t xml:space="preserve">Comments Due:  </w:t>
      </w:r>
      <w:r w:rsidR="008E0D2F">
        <w:rPr>
          <w:b/>
          <w:szCs w:val="22"/>
        </w:rPr>
        <w:t>June</w:t>
      </w:r>
      <w:r>
        <w:rPr>
          <w:b/>
          <w:szCs w:val="22"/>
        </w:rPr>
        <w:t xml:space="preserve"> </w:t>
      </w:r>
      <w:r w:rsidR="005662BB">
        <w:rPr>
          <w:b/>
          <w:szCs w:val="22"/>
        </w:rPr>
        <w:t>14</w:t>
      </w:r>
      <w:r>
        <w:rPr>
          <w:b/>
          <w:szCs w:val="22"/>
        </w:rPr>
        <w:t>,</w:t>
      </w:r>
      <w:r w:rsidR="00782B4C">
        <w:rPr>
          <w:b/>
          <w:szCs w:val="22"/>
        </w:rPr>
        <w:t xml:space="preserve"> </w:t>
      </w:r>
      <w:r>
        <w:rPr>
          <w:b/>
          <w:szCs w:val="22"/>
        </w:rPr>
        <w:t>2018</w:t>
      </w:r>
    </w:p>
    <w:p w:rsidR="0014058C" w:rsidRPr="0069551B" w:rsidP="00D1591E">
      <w:pPr>
        <w:pStyle w:val="NoSpacing"/>
        <w:widowControl w:val="0"/>
        <w:rPr>
          <w:b/>
          <w:szCs w:val="22"/>
        </w:rPr>
      </w:pPr>
    </w:p>
    <w:p w:rsidR="0014058C" w:rsidRPr="0029562D" w:rsidP="00D1591E">
      <w:pPr>
        <w:widowControl w:val="0"/>
        <w:autoSpaceDE w:val="0"/>
        <w:autoSpaceDN w:val="0"/>
        <w:adjustRightInd w:val="0"/>
        <w:ind w:firstLine="720"/>
        <w:rPr>
          <w:szCs w:val="22"/>
        </w:rPr>
      </w:pPr>
      <w:r w:rsidRPr="0069551B">
        <w:rPr>
          <w:szCs w:val="22"/>
        </w:rPr>
        <w:t xml:space="preserve">On </w:t>
      </w:r>
      <w:r w:rsidR="004E05FE">
        <w:rPr>
          <w:szCs w:val="22"/>
        </w:rPr>
        <w:t>March 5</w:t>
      </w:r>
      <w:r>
        <w:rPr>
          <w:szCs w:val="22"/>
        </w:rPr>
        <w:t>, 2018</w:t>
      </w:r>
      <w:r w:rsidR="008E0D2F">
        <w:rPr>
          <w:szCs w:val="22"/>
        </w:rPr>
        <w:t>,</w:t>
      </w:r>
      <w:r>
        <w:rPr>
          <w:szCs w:val="22"/>
        </w:rPr>
        <w:t xml:space="preserve"> </w:t>
      </w:r>
      <w:r w:rsidRPr="004E05FE" w:rsidR="004E05FE">
        <w:t xml:space="preserve">Number Access, LLC </w:t>
      </w:r>
      <w:r w:rsidRPr="00F00070" w:rsidR="00F00070">
        <w:t>(</w:t>
      </w:r>
      <w:bookmarkStart w:id="1" w:name="_Hlk513309474"/>
      <w:r w:rsidR="004E05FE">
        <w:t>Number Access</w:t>
      </w:r>
      <w:bookmarkEnd w:id="1"/>
      <w:r w:rsidR="00F00070">
        <w:t xml:space="preserve">) </w:t>
      </w:r>
      <w:r w:rsidRPr="0029562D">
        <w:rPr>
          <w:szCs w:val="22"/>
        </w:rPr>
        <w:t>filed an application,</w:t>
      </w:r>
      <w:r>
        <w:rPr>
          <w:rStyle w:val="FootnoteReference"/>
          <w:szCs w:val="22"/>
        </w:rPr>
        <w:footnoteReference w:id="3"/>
      </w:r>
      <w:r w:rsidRPr="0029562D">
        <w:rPr>
          <w:szCs w:val="22"/>
        </w:rPr>
        <w:t xml:space="preserve"> pursuant to </w:t>
      </w:r>
      <w:r w:rsidR="006E4087">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14058C" w:rsidRPr="0029562D" w:rsidP="00D1591E">
      <w:pPr>
        <w:widowControl w:val="0"/>
        <w:autoSpaceDE w:val="0"/>
        <w:autoSpaceDN w:val="0"/>
        <w:adjustRightInd w:val="0"/>
        <w:ind w:firstLine="720"/>
        <w:rPr>
          <w:szCs w:val="22"/>
        </w:rPr>
      </w:pPr>
    </w:p>
    <w:p w:rsidR="0014058C" w:rsidRPr="00B86A2A" w:rsidP="00D1591E">
      <w:pPr>
        <w:widowControl w:val="0"/>
        <w:autoSpaceDE w:val="0"/>
        <w:autoSpaceDN w:val="0"/>
        <w:adjustRightInd w:val="0"/>
        <w:ind w:firstLine="720"/>
        <w:rPr>
          <w:szCs w:val="22"/>
        </w:rPr>
      </w:pPr>
      <w:r>
        <w:rPr>
          <w:szCs w:val="22"/>
        </w:rPr>
        <w:t xml:space="preserve">In its application, </w:t>
      </w:r>
      <w:r w:rsidR="004E05FE">
        <w:t>Number Access</w:t>
      </w:r>
      <w:r>
        <w:rPr>
          <w:szCs w:val="22"/>
        </w:rPr>
        <w:t xml:space="preserve">, an interconnected Voice over Internet Protocol (VoIP) provider, included the contact information and acknowledgements required by </w:t>
      </w:r>
      <w:r w:rsidR="00D46350">
        <w:rPr>
          <w:szCs w:val="22"/>
        </w:rPr>
        <w:t>s</w:t>
      </w:r>
      <w:r>
        <w:rPr>
          <w:szCs w:val="22"/>
        </w:rPr>
        <w:t>ection 52.15(g)(3)(</w:t>
      </w:r>
      <w:r>
        <w:rPr>
          <w:szCs w:val="22"/>
        </w:rPr>
        <w:t>i</w:t>
      </w:r>
      <w:r>
        <w:rPr>
          <w:szCs w:val="22"/>
        </w:rPr>
        <w:t>) of the Commission’s rules.</w:t>
      </w:r>
      <w:r>
        <w:rPr>
          <w:rStyle w:val="FootnoteReference"/>
          <w:szCs w:val="22"/>
        </w:rPr>
        <w:footnoteReference w:id="6"/>
      </w:r>
      <w:r w:rsidRPr="0029562D">
        <w:rPr>
          <w:szCs w:val="22"/>
        </w:rPr>
        <w:t xml:space="preserve"> </w:t>
      </w:r>
      <w:r>
        <w:rPr>
          <w:szCs w:val="22"/>
        </w:rPr>
        <w:t xml:space="preserve"> In addition, </w:t>
      </w:r>
      <w:r w:rsidR="004E05FE">
        <w:t>Number Access</w:t>
      </w:r>
      <w:r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w:t>
      </w:r>
      <w:r w:rsidR="00DF3C79">
        <w:rPr>
          <w:szCs w:val="22"/>
        </w:rPr>
        <w:t>d 911 obligations set forth in s</w:t>
      </w:r>
      <w:r>
        <w:rPr>
          <w:szCs w:val="22"/>
        </w:rPr>
        <w:t>ection 52.15(g)(3)(</w:t>
      </w:r>
      <w:r>
        <w:rPr>
          <w:szCs w:val="22"/>
        </w:rPr>
        <w:t>i</w:t>
      </w:r>
      <w:r>
        <w:rPr>
          <w:szCs w:val="22"/>
        </w:rPr>
        <w:t>)(E)</w:t>
      </w:r>
      <w:r w:rsidRPr="00B86A2A">
        <w:rPr>
          <w:szCs w:val="22"/>
        </w:rPr>
        <w:t>.</w:t>
      </w:r>
      <w:r>
        <w:rPr>
          <w:rStyle w:val="FootnoteReference"/>
          <w:szCs w:val="22"/>
        </w:rPr>
        <w:footnoteReference w:id="8"/>
      </w:r>
      <w:r>
        <w:rPr>
          <w:szCs w:val="22"/>
        </w:rPr>
        <w:t xml:space="preserve">  </w:t>
      </w:r>
      <w:r w:rsidR="00E43463">
        <w:t>Number Access</w:t>
      </w:r>
      <w:r>
        <w:rPr>
          <w:szCs w:val="22"/>
        </w:rPr>
        <w:t xml:space="preserve"> 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w:t>
      </w:r>
      <w:r>
        <w:rPr>
          <w:szCs w:val="22"/>
        </w:rPr>
        <w:t xml:space="preserve">benefits pursuant to </w:t>
      </w:r>
      <w:r w:rsidR="00DF3C79">
        <w:rPr>
          <w:szCs w:val="22"/>
        </w:rPr>
        <w:t>s</w:t>
      </w:r>
      <w:r>
        <w:rPr>
          <w:szCs w:val="22"/>
        </w:rPr>
        <w:t>ection 5301 of the Anti-Drug Abuse Act of 1988.</w:t>
      </w:r>
      <w:r>
        <w:rPr>
          <w:rStyle w:val="FootnoteReference"/>
          <w:szCs w:val="22"/>
        </w:rPr>
        <w:footnoteReference w:id="11"/>
      </w:r>
      <w:r>
        <w:rPr>
          <w:szCs w:val="22"/>
        </w:rPr>
        <w:t xml:space="preserve">  Finally, </w:t>
      </w:r>
      <w:r w:rsidR="004E05FE">
        <w:t>Number Access</w:t>
      </w:r>
      <w:r>
        <w:rPr>
          <w:szCs w:val="22"/>
        </w:rPr>
        <w:t xml:space="preserve"> identified the states in which it intends to request numbers.</w:t>
      </w:r>
      <w:r>
        <w:rPr>
          <w:rStyle w:val="FootnoteReference"/>
          <w:szCs w:val="22"/>
        </w:rPr>
        <w:footnoteReference w:id="12"/>
      </w:r>
      <w:r>
        <w:rPr>
          <w:szCs w:val="22"/>
        </w:rPr>
        <w:t xml:space="preserve">  </w:t>
      </w:r>
    </w:p>
    <w:p w:rsidR="0014058C" w:rsidRPr="0005565B" w:rsidP="00D1591E">
      <w:pPr>
        <w:widowControl w:val="0"/>
        <w:autoSpaceDE w:val="0"/>
        <w:autoSpaceDN w:val="0"/>
        <w:adjustRightInd w:val="0"/>
        <w:ind w:firstLine="720"/>
        <w:rPr>
          <w:szCs w:val="22"/>
        </w:rPr>
      </w:pPr>
    </w:p>
    <w:p w:rsidR="0014058C" w:rsidRPr="0029562D" w:rsidP="00D1591E">
      <w:pPr>
        <w:widowControl w:val="0"/>
        <w:ind w:right="720"/>
        <w:rPr>
          <w:szCs w:val="22"/>
        </w:rPr>
      </w:pPr>
      <w:r w:rsidRPr="0029562D">
        <w:rPr>
          <w:b/>
          <w:szCs w:val="22"/>
          <w:u w:val="single"/>
        </w:rPr>
        <w:t>GENERAL INFORMATION</w:t>
      </w:r>
    </w:p>
    <w:p w:rsidR="0014058C" w:rsidRPr="0029562D" w:rsidP="00D1591E">
      <w:pPr>
        <w:widowControl w:val="0"/>
        <w:ind w:right="720"/>
        <w:rPr>
          <w:szCs w:val="22"/>
        </w:rPr>
      </w:pPr>
    </w:p>
    <w:p w:rsidR="0014058C" w:rsidRPr="0029562D" w:rsidP="00D1591E">
      <w:pPr>
        <w:widowControl w:val="0"/>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96362E">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w:t>
      </w:r>
      <w:r w:rsidR="00A046A0">
        <w:rPr>
          <w:szCs w:val="22"/>
        </w:rPr>
        <w:t>8</w:t>
      </w:r>
      <w:r>
        <w:rPr>
          <w:szCs w:val="22"/>
        </w:rPr>
        <w:t>-</w:t>
      </w:r>
      <w:r w:rsidR="00E14FFC">
        <w:rPr>
          <w:szCs w:val="22"/>
        </w:rPr>
        <w:t>137</w:t>
      </w:r>
      <w:r w:rsidRPr="0029562D">
        <w:rPr>
          <w:szCs w:val="22"/>
        </w:rPr>
        <w:t xml:space="preserve"> </w:t>
      </w:r>
      <w:r w:rsidRPr="0029562D">
        <w:rPr>
          <w:b/>
          <w:szCs w:val="22"/>
        </w:rPr>
        <w:t xml:space="preserve">on or before </w:t>
      </w:r>
      <w:r w:rsidR="0096362E">
        <w:rPr>
          <w:b/>
          <w:szCs w:val="22"/>
        </w:rPr>
        <w:t>June</w:t>
      </w:r>
      <w:r w:rsidR="004E05FE">
        <w:rPr>
          <w:b/>
          <w:szCs w:val="22"/>
        </w:rPr>
        <w:t xml:space="preserve"> </w:t>
      </w:r>
      <w:r w:rsidR="005662BB">
        <w:rPr>
          <w:b/>
          <w:szCs w:val="22"/>
        </w:rPr>
        <w:t>14</w:t>
      </w:r>
      <w:r>
        <w:rPr>
          <w:b/>
          <w:szCs w:val="22"/>
        </w:rPr>
        <w:t>, 201</w:t>
      </w:r>
      <w:r w:rsidR="00A046A0">
        <w:rPr>
          <w:b/>
          <w:szCs w:val="22"/>
        </w:rPr>
        <w:t>8</w:t>
      </w:r>
      <w:r w:rsidRPr="0029562D">
        <w:rPr>
          <w:szCs w:val="22"/>
        </w:rPr>
        <w:t>.</w:t>
      </w:r>
      <w:r>
        <w:rPr>
          <w:szCs w:val="22"/>
        </w:rPr>
        <w:t xml:space="preserve">  Commenters must serve a copy of comments on </w:t>
      </w:r>
      <w:r w:rsidR="004E05FE">
        <w:t>Number Access</w:t>
      </w:r>
      <w:r w:rsidR="00A046A0">
        <w:t xml:space="preserve"> </w:t>
      </w:r>
      <w:r>
        <w:rPr>
          <w:szCs w:val="22"/>
        </w:rPr>
        <w:t>no later than the above comment filing date.</w:t>
      </w:r>
      <w:r w:rsidRPr="0029562D">
        <w:rPr>
          <w:szCs w:val="22"/>
        </w:rPr>
        <w:t xml:space="preserve">  Unless otherw</w:t>
      </w:r>
      <w:r>
        <w:rPr>
          <w:szCs w:val="22"/>
        </w:rPr>
        <w:t xml:space="preserve">ise notified by the Commission, </w:t>
      </w:r>
      <w:r w:rsidR="004E05FE">
        <w:t>Number Access</w:t>
      </w:r>
      <w:r w:rsidR="00A046A0">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14058C" w:rsidRPr="0029562D" w:rsidP="00D1591E">
      <w:pPr>
        <w:widowControl w:val="0"/>
        <w:rPr>
          <w:szCs w:val="22"/>
        </w:rPr>
      </w:pPr>
    </w:p>
    <w:p w:rsidR="0014058C" w:rsidRPr="0029562D" w:rsidP="00D1591E">
      <w:pPr>
        <w:widowControl w:val="0"/>
        <w:ind w:firstLine="720"/>
        <w:rPr>
          <w:szCs w:val="22"/>
        </w:rPr>
      </w:pPr>
      <w:r>
        <w:rPr>
          <w:szCs w:val="22"/>
        </w:rPr>
        <w:t>Pu</w:t>
      </w:r>
      <w:r w:rsidR="003633C5">
        <w:rPr>
          <w:szCs w:val="22"/>
        </w:rPr>
        <w:t>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14058C" w:rsidRPr="0029562D" w:rsidP="00D1591E">
      <w:pPr>
        <w:widowControl w:val="0"/>
        <w:rPr>
          <w:szCs w:val="22"/>
        </w:rPr>
      </w:pPr>
    </w:p>
    <w:p w:rsidR="0014058C" w:rsidRPr="0029562D" w:rsidP="00D1591E">
      <w:pPr>
        <w:widowControl w:val="0"/>
        <w:rPr>
          <w:b/>
          <w:szCs w:val="22"/>
        </w:rPr>
      </w:pPr>
      <w:r w:rsidRPr="0029562D">
        <w:rPr>
          <w:b/>
          <w:szCs w:val="22"/>
        </w:rPr>
        <w:t>In addition, e-mail one copy of each pleading to each of the following:</w:t>
      </w:r>
    </w:p>
    <w:p w:rsidR="0014058C" w:rsidRPr="0029562D" w:rsidP="00D1591E">
      <w:pPr>
        <w:widowControl w:val="0"/>
        <w:rPr>
          <w:szCs w:val="22"/>
        </w:rPr>
      </w:pPr>
    </w:p>
    <w:p w:rsidR="0014058C" w:rsidRPr="0029562D" w:rsidP="00D1591E">
      <w:pPr>
        <w:widowControl w:val="0"/>
        <w:numPr>
          <w:ilvl w:val="0"/>
          <w:numId w:val="15"/>
        </w:numPr>
        <w:rPr>
          <w:szCs w:val="22"/>
        </w:rPr>
      </w:pPr>
      <w:r w:rsidRPr="0029562D">
        <w:rPr>
          <w:szCs w:val="22"/>
        </w:rPr>
        <w:t>Margoux Brown, Competition Policy Division, Wireline Competition Bureau, margoux.brown@fcc.gov;</w:t>
      </w:r>
    </w:p>
    <w:p w:rsidR="0014058C" w:rsidRPr="0029562D" w:rsidP="00D1591E">
      <w:pPr>
        <w:widowControl w:val="0"/>
        <w:rPr>
          <w:szCs w:val="22"/>
        </w:rPr>
      </w:pPr>
    </w:p>
    <w:p w:rsidR="0014058C" w:rsidRPr="0029562D" w:rsidP="00D1591E">
      <w:pPr>
        <w:widowControl w:val="0"/>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14058C" w:rsidRPr="0029562D" w:rsidP="00D1591E">
      <w:pPr>
        <w:widowControl w:val="0"/>
        <w:rPr>
          <w:szCs w:val="22"/>
        </w:rPr>
      </w:pPr>
    </w:p>
    <w:p w:rsidR="0014058C" w:rsidRPr="0029562D" w:rsidP="00D1591E">
      <w:pPr>
        <w:widowControl w:val="0"/>
        <w:numPr>
          <w:ilvl w:val="0"/>
          <w:numId w:val="15"/>
        </w:numPr>
        <w:rPr>
          <w:szCs w:val="22"/>
        </w:rPr>
      </w:pPr>
      <w:r w:rsidRPr="0029562D">
        <w:rPr>
          <w:szCs w:val="22"/>
        </w:rPr>
        <w:t>Marilyn Jones, Competition Policy Division, Wireline Competition Bureau, marilyn.jones@fcc.gov.</w:t>
      </w:r>
    </w:p>
    <w:p w:rsidR="0014058C" w:rsidRPr="0029562D" w:rsidP="00D1591E">
      <w:pPr>
        <w:widowControl w:val="0"/>
        <w:rPr>
          <w:szCs w:val="22"/>
        </w:rPr>
      </w:pPr>
    </w:p>
    <w:p w:rsidR="0014058C" w:rsidRPr="0029562D" w:rsidP="00D1591E">
      <w:pPr>
        <w:widowControl w:val="0"/>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14058C" w:rsidRPr="0029562D" w:rsidP="00D1591E">
      <w:pPr>
        <w:widowControl w:val="0"/>
        <w:rPr>
          <w:szCs w:val="22"/>
        </w:rPr>
      </w:pPr>
    </w:p>
    <w:p w:rsidR="0014058C" w:rsidRPr="0029562D" w:rsidP="00D1591E">
      <w:pPr>
        <w:widowControl w:val="0"/>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w:t>
      </w:r>
      <w:r w:rsidRPr="0029562D">
        <w:rPr>
          <w:szCs w:val="22"/>
        </w:rPr>
        <w:t xml:space="preserve">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14058C" w:rsidRPr="0029562D" w:rsidP="00D1591E">
      <w:pPr>
        <w:widowControl w:val="0"/>
        <w:rPr>
          <w:szCs w:val="22"/>
        </w:rPr>
      </w:pPr>
    </w:p>
    <w:p w:rsidR="0014058C" w:rsidP="00D1591E">
      <w:pPr>
        <w:widowControl w:val="0"/>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004E7161">
        <w:rPr>
          <w:szCs w:val="22"/>
        </w:rPr>
        <w:t>Michelle Sclater</w:t>
      </w:r>
      <w:r w:rsidRPr="0029562D">
        <w:rPr>
          <w:szCs w:val="22"/>
        </w:rPr>
        <w:t xml:space="preserve"> at (202) 418-</w:t>
      </w:r>
      <w:r w:rsidR="004E7161">
        <w:rPr>
          <w:szCs w:val="22"/>
        </w:rPr>
        <w:t>0388</w:t>
      </w:r>
      <w:r w:rsidRPr="0029562D">
        <w:rPr>
          <w:szCs w:val="22"/>
        </w:rPr>
        <w:t>.</w:t>
      </w:r>
    </w:p>
    <w:p w:rsidR="0014058C" w:rsidP="00D1591E">
      <w:pPr>
        <w:widowControl w:val="0"/>
        <w:rPr>
          <w:szCs w:val="22"/>
        </w:rPr>
      </w:pPr>
    </w:p>
    <w:p w:rsidR="0014058C" w:rsidRPr="0029562D" w:rsidP="00D1591E">
      <w:pPr>
        <w:widowControl w:val="0"/>
        <w:rPr>
          <w:szCs w:val="22"/>
        </w:rPr>
      </w:pPr>
    </w:p>
    <w:p w:rsidR="0014058C" w:rsidRPr="0029562D" w:rsidP="00D1591E">
      <w:pPr>
        <w:widowControl w:val="0"/>
        <w:jc w:val="center"/>
        <w:rPr>
          <w:szCs w:val="22"/>
        </w:rPr>
      </w:pPr>
      <w:r w:rsidRPr="0029562D">
        <w:rPr>
          <w:b/>
          <w:szCs w:val="22"/>
        </w:rPr>
        <w:t>- FCC -</w:t>
      </w:r>
    </w:p>
    <w:p w:rsidR="00602577" w:rsidP="00D1591E">
      <w:pPr>
        <w:widowControl w:val="0"/>
        <w:spacing w:before="60"/>
        <w:rPr>
          <w:sz w:val="24"/>
        </w:rPr>
      </w:pPr>
    </w:p>
    <w:sectPr w:rsidSect="00D1591E">
      <w:headerReference w:type="default" r:id="rId6"/>
      <w:footerReference w:type="default" r:id="rId7"/>
      <w:headerReference w:type="first" r:id="rId8"/>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sidR="005662B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2D9">
      <w:r>
        <w:separator/>
      </w:r>
    </w:p>
  </w:footnote>
  <w:footnote w:type="continuationSeparator" w:id="1">
    <w:p w:rsidR="00B212D9">
      <w:r>
        <w:continuationSeparator/>
      </w:r>
    </w:p>
  </w:footnote>
  <w:footnote w:id="2">
    <w:p w:rsidR="0014058C" w:rsidRPr="00E5169D" w:rsidP="00D1591E">
      <w:pPr>
        <w:pStyle w:val="FootnoteText"/>
        <w:tabs>
          <w:tab w:val="clear" w:pos="720"/>
        </w:tabs>
        <w:spacing w:after="120"/>
        <w:rPr>
          <w:sz w:val="20"/>
        </w:rPr>
      </w:pPr>
      <w:r w:rsidRPr="00340C6B">
        <w:rPr>
          <w:rStyle w:val="FootnoteReference"/>
          <w:sz w:val="20"/>
        </w:rPr>
        <w:footnoteRef/>
      </w:r>
      <w:r w:rsidRPr="00340C6B">
        <w:rPr>
          <w:sz w:val="20"/>
        </w:rPr>
        <w:t xml:space="preserve"> We assign WC Docket No. 1</w:t>
      </w:r>
      <w:r>
        <w:rPr>
          <w:sz w:val="20"/>
        </w:rPr>
        <w:t>8</w:t>
      </w:r>
      <w:r w:rsidRPr="00340C6B">
        <w:rPr>
          <w:sz w:val="20"/>
        </w:rPr>
        <w:t>-</w:t>
      </w:r>
      <w:r w:rsidR="00E14FFC">
        <w:rPr>
          <w:sz w:val="20"/>
        </w:rPr>
        <w:t>137</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xml:space="preserve">, Public Notice, 31 FCC </w:t>
      </w:r>
      <w:r w:rsidRPr="00340C6B">
        <w:rPr>
          <w:color w:val="020100"/>
          <w:sz w:val="20"/>
        </w:rPr>
        <w:t>Rcd</w:t>
      </w:r>
      <w:r w:rsidRPr="00340C6B">
        <w:rPr>
          <w:color w:val="020100"/>
          <w:sz w:val="20"/>
        </w:rPr>
        <w:t xml:space="preserve"> 949, 950 (WCB 201</w:t>
      </w:r>
      <w:r w:rsidRPr="00E5169D">
        <w:rPr>
          <w:color w:val="020100"/>
          <w:sz w:val="20"/>
        </w:rPr>
        <w:t xml:space="preserve">6). </w:t>
      </w:r>
    </w:p>
  </w:footnote>
  <w:footnote w:id="3">
    <w:p w:rsidR="00446E90" w:rsidRPr="00E43463" w:rsidP="00D1591E">
      <w:pPr>
        <w:pStyle w:val="FootnoteText"/>
        <w:spacing w:after="120"/>
        <w:rPr>
          <w:sz w:val="20"/>
        </w:rPr>
      </w:pPr>
      <w:r w:rsidRPr="00E5169D">
        <w:rPr>
          <w:rStyle w:val="FootnoteReference"/>
          <w:sz w:val="20"/>
        </w:rPr>
        <w:footnoteRef/>
      </w:r>
      <w:r w:rsidRPr="00E5169D">
        <w:rPr>
          <w:sz w:val="20"/>
        </w:rPr>
        <w:t xml:space="preserve"> </w:t>
      </w:r>
      <w:r w:rsidRPr="00E5169D">
        <w:rPr>
          <w:i/>
          <w:sz w:val="20"/>
        </w:rPr>
        <w:t>See</w:t>
      </w:r>
      <w:r w:rsidRPr="00E5169D">
        <w:rPr>
          <w:sz w:val="20"/>
        </w:rPr>
        <w:t xml:space="preserve"> Application of </w:t>
      </w:r>
      <w:r w:rsidRPr="004E05FE" w:rsidR="004E05FE">
        <w:rPr>
          <w:sz w:val="20"/>
        </w:rPr>
        <w:t>Number Access</w:t>
      </w:r>
      <w:r w:rsidR="004E05FE">
        <w:rPr>
          <w:sz w:val="20"/>
        </w:rPr>
        <w:t xml:space="preserve">, LLC </w:t>
      </w:r>
      <w:r w:rsidR="00022F8E">
        <w:rPr>
          <w:sz w:val="20"/>
        </w:rPr>
        <w:t>for Authorization to Obtain Numbering Resources,</w:t>
      </w:r>
      <w:r w:rsidRPr="00446E90">
        <w:rPr>
          <w:sz w:val="20"/>
        </w:rPr>
        <w:t xml:space="preserve"> WC Docket No. 18-</w:t>
      </w:r>
      <w:r w:rsidR="00E14FFC">
        <w:rPr>
          <w:sz w:val="20"/>
        </w:rPr>
        <w:t>137</w:t>
      </w:r>
      <w:r w:rsidRPr="00446E90">
        <w:rPr>
          <w:sz w:val="20"/>
        </w:rPr>
        <w:t xml:space="preserve"> (filed </w:t>
      </w:r>
      <w:r w:rsidR="004E05FE">
        <w:rPr>
          <w:sz w:val="20"/>
        </w:rPr>
        <w:t>Mar</w:t>
      </w:r>
      <w:r w:rsidR="006E4087">
        <w:rPr>
          <w:sz w:val="20"/>
        </w:rPr>
        <w:t>.</w:t>
      </w:r>
      <w:r w:rsidR="004E05FE">
        <w:rPr>
          <w:sz w:val="20"/>
        </w:rPr>
        <w:t xml:space="preserve"> 5</w:t>
      </w:r>
      <w:r w:rsidRPr="00446E90">
        <w:rPr>
          <w:sz w:val="20"/>
        </w:rPr>
        <w:t xml:space="preserve">, 2018), </w:t>
      </w:r>
      <w:r>
        <w:fldChar w:fldCharType="begin"/>
      </w:r>
      <w:r>
        <w:instrText xml:space="preserve"> HYPERLINK "https://www.fcc.gov/ecfs/search/filings?proceedings_name=18-137&amp;sort=date_disseminated,DESC" </w:instrText>
      </w:r>
      <w:r>
        <w:fldChar w:fldCharType="separate"/>
      </w:r>
      <w:r w:rsidRPr="0087516D" w:rsidR="00D010D9">
        <w:rPr>
          <w:rStyle w:val="Hyperlink"/>
          <w:sz w:val="20"/>
        </w:rPr>
        <w:t>https://www.fcc.gov/ecfs/search/filings?proceedings_name=18-137&amp;sort=date_disseminated,DESC</w:t>
      </w:r>
      <w:r>
        <w:fldChar w:fldCharType="end"/>
      </w:r>
      <w:r w:rsidR="00D010D9">
        <w:rPr>
          <w:sz w:val="20"/>
        </w:rPr>
        <w:t xml:space="preserve"> </w:t>
      </w:r>
      <w:r w:rsidRPr="008A5FF9" w:rsidR="008A5FF9">
        <w:rPr>
          <w:rStyle w:val="Hyperlink"/>
          <w:color w:val="auto"/>
          <w:sz w:val="20"/>
          <w:u w:val="none"/>
        </w:rPr>
        <w:t>(</w:t>
      </w:r>
      <w:r w:rsidRPr="004E05FE" w:rsidR="004E05FE">
        <w:rPr>
          <w:rStyle w:val="Hyperlink"/>
          <w:color w:val="auto"/>
          <w:sz w:val="20"/>
          <w:u w:val="none"/>
        </w:rPr>
        <w:t>Number Access</w:t>
      </w:r>
      <w:r w:rsidRPr="008A5FF9" w:rsidR="008A5FF9">
        <w:rPr>
          <w:rStyle w:val="Hyperlink"/>
          <w:color w:val="auto"/>
          <w:sz w:val="20"/>
          <w:u w:val="none"/>
        </w:rPr>
        <w:t xml:space="preserve"> Application).</w:t>
      </w:r>
      <w:r w:rsidR="008A5FF9">
        <w:rPr>
          <w:rStyle w:val="Hyperlink"/>
          <w:color w:val="auto"/>
          <w:sz w:val="20"/>
          <w:u w:val="none"/>
        </w:rPr>
        <w:t xml:space="preserve">  </w:t>
      </w:r>
    </w:p>
  </w:footnote>
  <w:footnote w:id="4">
    <w:p w:rsidR="0014058C" w:rsidRPr="00340C6B" w:rsidP="00D1591E">
      <w:pPr>
        <w:pStyle w:val="FootnoteText"/>
        <w:spacing w:after="120"/>
        <w:rPr>
          <w:sz w:val="20"/>
        </w:rPr>
      </w:pPr>
      <w:r w:rsidRPr="00446E90">
        <w:rPr>
          <w:rStyle w:val="FootnoteReference"/>
          <w:sz w:val="20"/>
        </w:rPr>
        <w:footnoteRef/>
      </w:r>
      <w:r w:rsidRPr="00446E90">
        <w:rPr>
          <w:sz w:val="20"/>
        </w:rPr>
        <w:t xml:space="preserve"> 47 CFR § 52.15(g)(3).</w:t>
      </w:r>
    </w:p>
  </w:footnote>
  <w:footnote w:id="5">
    <w:p w:rsidR="0014058C" w:rsidRPr="00340C6B" w:rsidP="00D1591E">
      <w:pPr>
        <w:pStyle w:val="FootnoteText"/>
        <w:spacing w:after="120"/>
        <w:rPr>
          <w:sz w:val="20"/>
        </w:rPr>
      </w:pPr>
      <w:r w:rsidRPr="00340C6B">
        <w:rPr>
          <w:rStyle w:val="FootnoteReference"/>
          <w:sz w:val="20"/>
        </w:rPr>
        <w:footnoteRef/>
      </w:r>
      <w:r w:rsidRPr="00340C6B">
        <w:rPr>
          <w:sz w:val="20"/>
        </w:rPr>
        <w:t xml:space="preserve"> For purposes of this Public Notice, the Numbering Administrators include the North American Numbering Plan Administrator and the Pooling Administrator.  </w:t>
      </w:r>
    </w:p>
  </w:footnote>
  <w:footnote w:id="6">
    <w:p w:rsidR="0014058C" w:rsidRPr="00340C6B" w:rsidP="00D1591E">
      <w:pPr>
        <w:pStyle w:val="FootnoteText"/>
        <w:spacing w:after="120"/>
        <w:rPr>
          <w:sz w:val="20"/>
        </w:rPr>
      </w:pPr>
      <w:r w:rsidRPr="00340C6B">
        <w:rPr>
          <w:rStyle w:val="FootnoteReference"/>
          <w:sz w:val="20"/>
        </w:rPr>
        <w:footnoteRef/>
      </w:r>
      <w:r w:rsidRPr="00340C6B">
        <w:rPr>
          <w:sz w:val="20"/>
        </w:rPr>
        <w:t xml:space="preserve"> 47 CFR § 52.15(g)(3)(</w:t>
      </w:r>
      <w:r w:rsidRPr="00340C6B">
        <w:rPr>
          <w:sz w:val="20"/>
        </w:rPr>
        <w:t>i</w:t>
      </w:r>
      <w:r w:rsidRPr="00340C6B">
        <w:rPr>
          <w:sz w:val="20"/>
        </w:rPr>
        <w:t>)(A)-(C), (F).</w:t>
      </w:r>
    </w:p>
  </w:footnote>
  <w:footnote w:id="7">
    <w:p w:rsidR="0014058C" w:rsidRPr="00340C6B" w:rsidP="00D1591E">
      <w:pPr>
        <w:pStyle w:val="FootnoteText"/>
        <w:spacing w:after="120"/>
        <w:rPr>
          <w:sz w:val="20"/>
        </w:rPr>
      </w:pPr>
      <w:r w:rsidRPr="00340C6B">
        <w:rPr>
          <w:rStyle w:val="FootnoteReference"/>
          <w:sz w:val="20"/>
        </w:rPr>
        <w:footnoteRef/>
      </w:r>
      <w:r w:rsidRPr="00340C6B">
        <w:rPr>
          <w:sz w:val="20"/>
        </w:rPr>
        <w:t xml:space="preserve"> 47 CFR § 52.15(g)(3)(</w:t>
      </w:r>
      <w:r w:rsidRPr="00340C6B">
        <w:rPr>
          <w:sz w:val="20"/>
        </w:rPr>
        <w:t>i</w:t>
      </w:r>
      <w:r w:rsidRPr="00340C6B">
        <w:rPr>
          <w:sz w:val="20"/>
        </w:rPr>
        <w:t>)(D).</w:t>
      </w:r>
    </w:p>
  </w:footnote>
  <w:footnote w:id="8">
    <w:p w:rsidR="0014058C" w:rsidRPr="00340C6B" w:rsidP="00D1591E">
      <w:pPr>
        <w:pStyle w:val="FootnoteText"/>
        <w:spacing w:after="120"/>
        <w:rPr>
          <w:sz w:val="20"/>
        </w:rPr>
      </w:pPr>
      <w:r w:rsidRPr="00340C6B">
        <w:rPr>
          <w:rStyle w:val="FootnoteReference"/>
          <w:sz w:val="20"/>
        </w:rPr>
        <w:footnoteRef/>
      </w:r>
      <w:r w:rsidRPr="00340C6B">
        <w:rPr>
          <w:sz w:val="20"/>
        </w:rPr>
        <w:t xml:space="preserve"> 47 CFR § 52.15(g)(3)(</w:t>
      </w:r>
      <w:r w:rsidRPr="00340C6B">
        <w:rPr>
          <w:sz w:val="20"/>
        </w:rPr>
        <w:t>i</w:t>
      </w:r>
      <w:r w:rsidRPr="00340C6B">
        <w:rPr>
          <w:sz w:val="20"/>
        </w:rPr>
        <w:t xml:space="preserve">)(E); </w:t>
      </w:r>
      <w:r w:rsidRPr="00340C6B">
        <w:rPr>
          <w:i/>
          <w:sz w:val="20"/>
        </w:rPr>
        <w:t>see also</w:t>
      </w:r>
      <w:r w:rsidRPr="00340C6B">
        <w:rPr>
          <w:sz w:val="20"/>
        </w:rPr>
        <w:t xml:space="preserve"> 47 CFR §§ 1.1154, 52.17, 52.32, 64.604(c)(5)(iii); 47 CFR pts. 9 and 54, </w:t>
      </w:r>
      <w:r w:rsidRPr="00340C6B">
        <w:rPr>
          <w:sz w:val="20"/>
        </w:rPr>
        <w:t>subpt</w:t>
      </w:r>
      <w:r w:rsidRPr="00340C6B">
        <w:rPr>
          <w:sz w:val="20"/>
        </w:rPr>
        <w:t>. H.</w:t>
      </w:r>
    </w:p>
  </w:footnote>
  <w:footnote w:id="9">
    <w:p w:rsidR="0014058C" w:rsidRPr="00470685" w:rsidP="00D1591E">
      <w:pPr>
        <w:pStyle w:val="FootnoteText"/>
        <w:tabs>
          <w:tab w:val="clear" w:pos="720"/>
        </w:tabs>
        <w:spacing w:after="120"/>
        <w:rPr>
          <w:sz w:val="20"/>
        </w:rPr>
      </w:pPr>
      <w:r w:rsidRPr="00470685">
        <w:rPr>
          <w:rStyle w:val="FootnoteReference"/>
          <w:sz w:val="20"/>
        </w:rPr>
        <w:footnoteRef/>
      </w:r>
      <w:r w:rsidRPr="00470685">
        <w:rPr>
          <w:sz w:val="20"/>
        </w:rPr>
        <w:t xml:space="preserve"> 47 CFR § 52.15(g)(3)(</w:t>
      </w:r>
      <w:r w:rsidRPr="00470685">
        <w:rPr>
          <w:sz w:val="20"/>
        </w:rPr>
        <w:t>i</w:t>
      </w:r>
      <w:r w:rsidRPr="00470685">
        <w:rPr>
          <w:sz w:val="20"/>
        </w:rPr>
        <w:t>)(F).</w:t>
      </w:r>
    </w:p>
  </w:footnote>
  <w:footnote w:id="10">
    <w:p w:rsidR="0014058C" w:rsidRPr="00470685" w:rsidP="00D1591E">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1">
    <w:p w:rsidR="0014058C" w:rsidRPr="00470685" w:rsidP="00D1591E">
      <w:pPr>
        <w:pStyle w:val="FootnoteText"/>
        <w:spacing w:after="120"/>
        <w:rPr>
          <w:sz w:val="20"/>
        </w:rPr>
      </w:pPr>
      <w:r w:rsidRPr="00470685">
        <w:rPr>
          <w:rStyle w:val="FootnoteReference"/>
          <w:sz w:val="20"/>
        </w:rPr>
        <w:footnoteRef/>
      </w:r>
      <w:r w:rsidRPr="00470685">
        <w:rPr>
          <w:sz w:val="20"/>
        </w:rPr>
        <w:t xml:space="preserve"> 47 CFR § 52.15(g)(3)(</w:t>
      </w:r>
      <w:r w:rsidRPr="00470685">
        <w:rPr>
          <w:sz w:val="20"/>
        </w:rPr>
        <w:t>i</w:t>
      </w:r>
      <w:r w:rsidRPr="00470685">
        <w:rPr>
          <w:sz w:val="20"/>
        </w:rPr>
        <w:t xml:space="preserve">)(G); </w:t>
      </w:r>
      <w:r w:rsidRPr="00470685">
        <w:rPr>
          <w:i/>
          <w:sz w:val="20"/>
        </w:rPr>
        <w:t>see also</w:t>
      </w:r>
      <w:r w:rsidRPr="00470685">
        <w:rPr>
          <w:sz w:val="20"/>
        </w:rPr>
        <w:t xml:space="preserve"> 21 U.S.C. § 862.</w:t>
      </w:r>
    </w:p>
  </w:footnote>
  <w:footnote w:id="12">
    <w:p w:rsidR="0014058C" w:rsidRPr="00470685" w:rsidP="00D1591E">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1D230C">
        <w:rPr>
          <w:sz w:val="20"/>
        </w:rPr>
        <w:t>Number Access</w:t>
      </w:r>
      <w:r w:rsidR="00271341">
        <w:rPr>
          <w:sz w:val="20"/>
        </w:rPr>
        <w:t xml:space="preserve"> Application at </w:t>
      </w:r>
      <w:r w:rsidR="0096362E">
        <w:rPr>
          <w:sz w:val="20"/>
        </w:rPr>
        <w:t>2</w:t>
      </w:r>
      <w:r w:rsidR="00271341">
        <w:rPr>
          <w:sz w:val="20"/>
        </w:rPr>
        <w:t xml:space="preserve">.  </w:t>
      </w:r>
      <w:r w:rsidRPr="00271341" w:rsidR="00271341">
        <w:rPr>
          <w:i/>
          <w:sz w:val="20"/>
        </w:rPr>
        <w:t>See also</w:t>
      </w:r>
      <w:r w:rsidR="00271341">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3">
    <w:p w:rsidR="0014058C" w:rsidRPr="00470685" w:rsidP="00D1591E">
      <w:pPr>
        <w:pStyle w:val="FootnoteText"/>
        <w:spacing w:after="120"/>
        <w:rPr>
          <w:sz w:val="20"/>
        </w:rPr>
      </w:pPr>
      <w:r w:rsidRPr="00470685">
        <w:rPr>
          <w:rStyle w:val="FootnoteReference"/>
          <w:sz w:val="20"/>
        </w:rPr>
        <w:footnoteRef/>
      </w:r>
      <w:r w:rsidRPr="00470685">
        <w:rPr>
          <w:sz w:val="20"/>
        </w:rPr>
        <w:t xml:space="preserve"> 47 CFR § 52.15(g)(3)(ii).</w:t>
      </w:r>
    </w:p>
  </w:footnote>
  <w:footnote w:id="14">
    <w:p w:rsidR="0014058C" w:rsidRPr="00470685" w:rsidP="00D1591E">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xml:space="preserve">, 30 FCC </w:t>
      </w:r>
      <w:r w:rsidRPr="00470685">
        <w:rPr>
          <w:sz w:val="20"/>
        </w:rPr>
        <w:t>Rcd</w:t>
      </w:r>
      <w:r w:rsidRPr="00470685">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14058C" w:rsidRPr="00470685" w:rsidP="00D1591E">
      <w:pPr>
        <w:pStyle w:val="FootnoteText"/>
        <w:spacing w:after="120"/>
        <w:rPr>
          <w:sz w:val="20"/>
        </w:rPr>
      </w:pPr>
      <w:r w:rsidRPr="00470685">
        <w:rPr>
          <w:rStyle w:val="FootnoteReference"/>
          <w:sz w:val="20"/>
        </w:rPr>
        <w:footnoteRef/>
      </w:r>
      <w:r w:rsidRPr="00470685">
        <w:rPr>
          <w:sz w:val="20"/>
        </w:rPr>
        <w:t xml:space="preserve"> 47 CFR § 52.15(g)(3)(ii).</w:t>
      </w:r>
    </w:p>
  </w:footnote>
  <w:footnote w:id="16">
    <w:p w:rsidR="0014058C" w:rsidRPr="00470685" w:rsidP="00D1591E">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D1591E">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noProof/>
        <w:sz w:val="24"/>
      </w:rPr>
      <w:drawing>
        <wp:anchor distT="0" distB="0" distL="114300" distR="114300" simplePos="0" relativeHeight="251664384" behindDoc="0" locked="0" layoutInCell="0" allowOverlap="1">
          <wp:simplePos x="0" y="0"/>
          <wp:positionH relativeFrom="leftMargin">
            <wp:posOffset>247650</wp:posOffset>
          </wp:positionH>
          <wp:positionV relativeFrom="paragraph">
            <wp:posOffset>146050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DA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D9A4D-60DF-469F-AAAD-7AB836C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708</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cp:lastPrinted>2002-01-31T15:18:00Z</cp:lastPrinted>
  <dcterms:created xsi:type="dcterms:W3CDTF">2018-05-31T15:18:00Z</dcterms:created>
  <dcterms:modified xsi:type="dcterms:W3CDTF">2018-05-31T15:18:00Z</dcterms:modified>
</cp:coreProperties>
</file>