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115B6"/>
    <w:p w:rsidR="009115B6"/>
    <w:p w:rsidR="009115B6">
      <w:pPr>
        <w:rPr>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sz w:val="22"/>
          <w:szCs w:val="22"/>
        </w:rPr>
        <w:t xml:space="preserve">DA </w:t>
      </w:r>
      <w:r w:rsidR="000F68EB">
        <w:rPr>
          <w:sz w:val="22"/>
          <w:szCs w:val="22"/>
        </w:rPr>
        <w:t>18-</w:t>
      </w:r>
      <w:r w:rsidR="00805444">
        <w:rPr>
          <w:sz w:val="22"/>
          <w:szCs w:val="22"/>
        </w:rPr>
        <w:t>567</w:t>
      </w:r>
      <w:bookmarkStart w:id="0" w:name="_GoBack"/>
      <w:bookmarkEnd w:id="0"/>
    </w:p>
    <w:p w:rsidR="009115B6">
      <w:pPr>
        <w:rPr>
          <w:sz w:val="22"/>
          <w:szCs w:val="22"/>
        </w:rPr>
      </w:pPr>
    </w:p>
    <w:p w:rsidR="009115B6">
      <w:pPr>
        <w:rPr>
          <w:sz w:val="22"/>
          <w:szCs w:val="22"/>
        </w:rPr>
      </w:pPr>
      <w:r>
        <w:rPr>
          <w:sz w:val="22"/>
          <w:szCs w:val="22"/>
        </w:rPr>
        <w:t>Charles P. Adkins</w:t>
      </w:r>
    </w:p>
    <w:p w:rsidR="000F68EB">
      <w:pPr>
        <w:rPr>
          <w:sz w:val="22"/>
          <w:szCs w:val="22"/>
        </w:rPr>
      </w:pPr>
      <w:r>
        <w:rPr>
          <w:sz w:val="22"/>
          <w:szCs w:val="22"/>
        </w:rPr>
        <w:t>1821 Leblanc St.</w:t>
      </w:r>
    </w:p>
    <w:p w:rsidR="000F68EB">
      <w:pPr>
        <w:rPr>
          <w:sz w:val="22"/>
          <w:szCs w:val="22"/>
        </w:rPr>
      </w:pPr>
      <w:r>
        <w:rPr>
          <w:sz w:val="22"/>
          <w:szCs w:val="22"/>
        </w:rPr>
        <w:t>Lincoln Park, MI 48146</w:t>
      </w:r>
    </w:p>
    <w:p w:rsidR="009115B6">
      <w:pPr>
        <w:rPr>
          <w:sz w:val="22"/>
          <w:szCs w:val="22"/>
        </w:rPr>
      </w:pPr>
    </w:p>
    <w:p w:rsidR="009115B6">
      <w:pPr>
        <w:rPr>
          <w:sz w:val="22"/>
          <w:szCs w:val="22"/>
        </w:rPr>
      </w:pPr>
      <w:r>
        <w:rPr>
          <w:sz w:val="22"/>
          <w:szCs w:val="22"/>
        </w:rPr>
        <w:t xml:space="preserve">Dear Mr. </w:t>
      </w:r>
      <w:r w:rsidR="000F68EB">
        <w:rPr>
          <w:sz w:val="22"/>
          <w:szCs w:val="22"/>
        </w:rPr>
        <w:t>Adkins</w:t>
      </w:r>
      <w:r>
        <w:rPr>
          <w:sz w:val="22"/>
          <w:szCs w:val="22"/>
        </w:rPr>
        <w:t>:</w:t>
      </w:r>
    </w:p>
    <w:p w:rsidR="009115B6">
      <w:pPr>
        <w:rPr>
          <w:sz w:val="22"/>
          <w:szCs w:val="22"/>
        </w:rPr>
      </w:pPr>
    </w:p>
    <w:p w:rsidR="000F68EB" w:rsidP="00097A0A">
      <w:pPr>
        <w:autoSpaceDE w:val="0"/>
        <w:autoSpaceDN w:val="0"/>
        <w:adjustRightInd w:val="0"/>
        <w:ind w:firstLine="720"/>
        <w:rPr>
          <w:sz w:val="22"/>
          <w:szCs w:val="22"/>
        </w:rPr>
      </w:pPr>
      <w:r>
        <w:rPr>
          <w:sz w:val="22"/>
          <w:szCs w:val="22"/>
        </w:rPr>
        <w:t xml:space="preserve">We have before us your petition requesting that the </w:t>
      </w:r>
      <w:r w:rsidR="005F4F37">
        <w:rPr>
          <w:sz w:val="22"/>
          <w:szCs w:val="22"/>
        </w:rPr>
        <w:t>Commission commence a rulemaking proceeding proposing to amend s</w:t>
      </w:r>
      <w:r>
        <w:rPr>
          <w:sz w:val="22"/>
          <w:szCs w:val="22"/>
        </w:rPr>
        <w:t>ect</w:t>
      </w:r>
      <w:r w:rsidR="005C4198">
        <w:rPr>
          <w:sz w:val="22"/>
          <w:szCs w:val="22"/>
        </w:rPr>
        <w:t>ion 97.205 of the Commission’s r</w:t>
      </w:r>
      <w:r>
        <w:rPr>
          <w:sz w:val="22"/>
          <w:szCs w:val="22"/>
        </w:rPr>
        <w:t>ules</w:t>
      </w:r>
      <w:r>
        <w:rPr>
          <w:rStyle w:val="FootnoteReference"/>
          <w:szCs w:val="22"/>
        </w:rPr>
        <w:footnoteReference w:id="2"/>
      </w:r>
      <w:r>
        <w:rPr>
          <w:sz w:val="22"/>
          <w:szCs w:val="22"/>
        </w:rPr>
        <w:t xml:space="preserve"> to </w:t>
      </w:r>
      <w:r w:rsidR="00A81A8A">
        <w:rPr>
          <w:sz w:val="22"/>
          <w:szCs w:val="22"/>
        </w:rPr>
        <w:t xml:space="preserve">ensure that </w:t>
      </w:r>
      <w:r w:rsidRPr="00A81A8A" w:rsidR="00A81A8A">
        <w:rPr>
          <w:sz w:val="22"/>
          <w:szCs w:val="22"/>
        </w:rPr>
        <w:t>amate</w:t>
      </w:r>
      <w:r w:rsidR="00A81A8A">
        <w:rPr>
          <w:sz w:val="22"/>
          <w:szCs w:val="22"/>
        </w:rPr>
        <w:t xml:space="preserve">ur repeater stations using </w:t>
      </w:r>
      <w:r w:rsidRPr="00A81A8A" w:rsidR="00A81A8A">
        <w:rPr>
          <w:sz w:val="22"/>
          <w:szCs w:val="22"/>
        </w:rPr>
        <w:t>digital communication protocols</w:t>
      </w:r>
      <w:r w:rsidR="00A81A8A">
        <w:rPr>
          <w:sz w:val="22"/>
          <w:szCs w:val="22"/>
        </w:rPr>
        <w:t xml:space="preserve"> do not cause interference to analog amateur repeater stations</w:t>
      </w:r>
      <w:r>
        <w:rPr>
          <w:sz w:val="22"/>
          <w:szCs w:val="22"/>
        </w:rPr>
        <w:t>.</w:t>
      </w:r>
      <w:r>
        <w:rPr>
          <w:rStyle w:val="FootnoteReference"/>
          <w:szCs w:val="22"/>
        </w:rPr>
        <w:footnoteReference w:id="3"/>
      </w:r>
      <w:r>
        <w:rPr>
          <w:sz w:val="22"/>
          <w:szCs w:val="22"/>
        </w:rPr>
        <w:t xml:space="preserve">  </w:t>
      </w:r>
      <w:r w:rsidRPr="00A81A8A" w:rsidR="00A81A8A">
        <w:rPr>
          <w:sz w:val="22"/>
          <w:szCs w:val="22"/>
        </w:rPr>
        <w:t xml:space="preserve">Specifically, </w:t>
      </w:r>
      <w:r w:rsidR="005F4F37">
        <w:rPr>
          <w:sz w:val="22"/>
          <w:szCs w:val="22"/>
        </w:rPr>
        <w:t xml:space="preserve">you request that the rule be amended to separate analog and digital repeaters either geographically (by prohibiting </w:t>
      </w:r>
      <w:r w:rsidR="00A81A8A">
        <w:rPr>
          <w:sz w:val="22"/>
          <w:szCs w:val="22"/>
        </w:rPr>
        <w:t>digital repeater</w:t>
      </w:r>
      <w:r w:rsidR="005F4F37">
        <w:rPr>
          <w:sz w:val="22"/>
          <w:szCs w:val="22"/>
        </w:rPr>
        <w:t>s</w:t>
      </w:r>
      <w:r w:rsidRPr="00A81A8A" w:rsidR="00A81A8A">
        <w:rPr>
          <w:sz w:val="22"/>
          <w:szCs w:val="22"/>
        </w:rPr>
        <w:t xml:space="preserve"> within 250 car miles of an </w:t>
      </w:r>
      <w:r w:rsidR="00A81A8A">
        <w:rPr>
          <w:sz w:val="22"/>
          <w:szCs w:val="22"/>
        </w:rPr>
        <w:t>existing analog repeater system</w:t>
      </w:r>
      <w:r w:rsidR="005F4F37">
        <w:rPr>
          <w:sz w:val="22"/>
          <w:szCs w:val="22"/>
        </w:rPr>
        <w:t>) or spectrally (by designating specific frequency segments for digital repeaters and limi</w:t>
      </w:r>
      <w:r w:rsidR="000F64E0">
        <w:rPr>
          <w:sz w:val="22"/>
          <w:szCs w:val="22"/>
        </w:rPr>
        <w:t>ting their power to ten watts).</w:t>
      </w:r>
      <w:r>
        <w:rPr>
          <w:rStyle w:val="FootnoteReference"/>
          <w:szCs w:val="22"/>
        </w:rPr>
        <w:footnoteReference w:id="4"/>
      </w:r>
      <w:r w:rsidR="00097A0A">
        <w:rPr>
          <w:sz w:val="22"/>
          <w:szCs w:val="22"/>
        </w:rPr>
        <w:t xml:space="preserve">  </w:t>
      </w:r>
      <w:r w:rsidR="000F64E0">
        <w:rPr>
          <w:sz w:val="22"/>
          <w:szCs w:val="22"/>
        </w:rPr>
        <w:t>You state that digital repeaters are “a major annoyance” to analog operators.</w:t>
      </w:r>
      <w:r>
        <w:rPr>
          <w:rStyle w:val="FootnoteReference"/>
          <w:szCs w:val="22"/>
        </w:rPr>
        <w:footnoteReference w:id="5"/>
      </w:r>
      <w:r w:rsidR="000F64E0">
        <w:rPr>
          <w:sz w:val="22"/>
          <w:szCs w:val="22"/>
        </w:rPr>
        <w:t xml:space="preserve">  </w:t>
      </w:r>
      <w:r>
        <w:rPr>
          <w:sz w:val="22"/>
          <w:szCs w:val="22"/>
        </w:rPr>
        <w:t>For the reasons set forth below, we dismiss the petition.</w:t>
      </w:r>
    </w:p>
    <w:p w:rsidR="005C4198" w:rsidP="005C4198">
      <w:pPr>
        <w:rPr>
          <w:sz w:val="22"/>
          <w:szCs w:val="22"/>
        </w:rPr>
      </w:pPr>
    </w:p>
    <w:p w:rsidR="00B108B7" w:rsidP="00C10979">
      <w:pPr>
        <w:ind w:firstLine="720"/>
        <w:rPr>
          <w:sz w:val="22"/>
          <w:szCs w:val="22"/>
        </w:rPr>
      </w:pPr>
      <w:r>
        <w:rPr>
          <w:sz w:val="22"/>
          <w:szCs w:val="22"/>
        </w:rPr>
        <w:t>In 2008</w:t>
      </w:r>
      <w:r>
        <w:rPr>
          <w:sz w:val="22"/>
          <w:szCs w:val="22"/>
        </w:rPr>
        <w:t xml:space="preserve">, </w:t>
      </w:r>
      <w:r w:rsidR="000F64E0">
        <w:rPr>
          <w:sz w:val="22"/>
          <w:szCs w:val="22"/>
        </w:rPr>
        <w:t>we</w:t>
      </w:r>
      <w:r>
        <w:rPr>
          <w:sz w:val="22"/>
          <w:szCs w:val="22"/>
        </w:rPr>
        <w:t xml:space="preserve"> re</w:t>
      </w:r>
      <w:r>
        <w:rPr>
          <w:sz w:val="22"/>
          <w:szCs w:val="22"/>
        </w:rPr>
        <w:t>jected a suggestion to</w:t>
      </w:r>
      <w:r>
        <w:rPr>
          <w:sz w:val="22"/>
          <w:szCs w:val="22"/>
        </w:rPr>
        <w:t xml:space="preserve"> </w:t>
      </w:r>
      <w:r w:rsidR="000F64E0">
        <w:rPr>
          <w:sz w:val="22"/>
          <w:szCs w:val="22"/>
        </w:rPr>
        <w:t>amend s</w:t>
      </w:r>
      <w:r w:rsidRPr="009A732C">
        <w:rPr>
          <w:sz w:val="22"/>
          <w:szCs w:val="22"/>
        </w:rPr>
        <w:t xml:space="preserve">ection 97.205(b) to </w:t>
      </w:r>
      <w:r w:rsidR="000F64E0">
        <w:rPr>
          <w:sz w:val="22"/>
          <w:szCs w:val="22"/>
        </w:rPr>
        <w:t>designate separate spectrum for digital repeaters in order to se</w:t>
      </w:r>
      <w:r w:rsidR="00C10979">
        <w:rPr>
          <w:sz w:val="22"/>
          <w:szCs w:val="22"/>
        </w:rPr>
        <w:t>greg</w:t>
      </w:r>
      <w:r w:rsidR="000F64E0">
        <w:rPr>
          <w:sz w:val="22"/>
          <w:szCs w:val="22"/>
        </w:rPr>
        <w:t>ate digital and analog communications</w:t>
      </w:r>
      <w:r>
        <w:rPr>
          <w:sz w:val="22"/>
          <w:szCs w:val="22"/>
        </w:rPr>
        <w:t>.</w:t>
      </w:r>
      <w:r>
        <w:rPr>
          <w:rStyle w:val="FootnoteReference"/>
          <w:szCs w:val="22"/>
        </w:rPr>
        <w:footnoteReference w:id="6"/>
      </w:r>
      <w:r w:rsidR="000F64E0">
        <w:rPr>
          <w:sz w:val="22"/>
          <w:szCs w:val="22"/>
        </w:rPr>
        <w:t xml:space="preserve">  We</w:t>
      </w:r>
      <w:r>
        <w:rPr>
          <w:sz w:val="22"/>
          <w:szCs w:val="22"/>
        </w:rPr>
        <w:t xml:space="preserve"> </w:t>
      </w:r>
      <w:r w:rsidR="005B6BB2">
        <w:rPr>
          <w:sz w:val="22"/>
          <w:szCs w:val="22"/>
        </w:rPr>
        <w:t>noted</w:t>
      </w:r>
      <w:r w:rsidR="00E57019">
        <w:rPr>
          <w:sz w:val="22"/>
          <w:szCs w:val="22"/>
        </w:rPr>
        <w:t xml:space="preserve"> that </w:t>
      </w:r>
      <w:r w:rsidRPr="000B4285" w:rsidR="000B4285">
        <w:rPr>
          <w:sz w:val="22"/>
        </w:rPr>
        <w:t xml:space="preserve">that when the Commission has previously addressed the issue of interference between amateur stations engaging in different operating activities, it has declined to revise the rules to limit a </w:t>
      </w:r>
      <w:r w:rsidRPr="000B4285" w:rsidR="000B4285">
        <w:rPr>
          <w:sz w:val="22"/>
          <w:szCs w:val="22"/>
        </w:rPr>
        <w:t xml:space="preserve">frequency segment </w:t>
      </w:r>
      <w:r w:rsidRPr="000B4285" w:rsidR="000B4285">
        <w:rPr>
          <w:sz w:val="22"/>
        </w:rPr>
        <w:t>to one emission type in order to prevent interference to the operating activities of other amateur radio service licensees.</w:t>
      </w:r>
      <w:r>
        <w:rPr>
          <w:sz w:val="22"/>
          <w:vertAlign w:val="superscript"/>
        </w:rPr>
        <w:footnoteReference w:id="7"/>
      </w:r>
      <w:r w:rsidRPr="000B4285" w:rsidR="000B4285">
        <w:rPr>
          <w:sz w:val="22"/>
        </w:rPr>
        <w:t xml:space="preserve">  </w:t>
      </w:r>
      <w:r w:rsidR="000B1656">
        <w:rPr>
          <w:sz w:val="22"/>
        </w:rPr>
        <w:t>Rather</w:t>
      </w:r>
      <w:r w:rsidRPr="000B4285" w:rsidR="000B4285">
        <w:rPr>
          <w:sz w:val="22"/>
        </w:rPr>
        <w:t>, interference between amateur st</w:t>
      </w:r>
      <w:r w:rsidR="000B1656">
        <w:rPr>
          <w:sz w:val="22"/>
        </w:rPr>
        <w:t>ations is already addressed by s</w:t>
      </w:r>
      <w:r w:rsidRPr="000B4285" w:rsidR="000B4285">
        <w:rPr>
          <w:sz w:val="22"/>
        </w:rPr>
        <w:t>ection 97.101(</w:t>
      </w:r>
      <w:r w:rsidR="005C4198">
        <w:rPr>
          <w:sz w:val="22"/>
        </w:rPr>
        <w:t>b) and (d) of the Commission’s r</w:t>
      </w:r>
      <w:r w:rsidRPr="000B4285" w:rsidR="000B4285">
        <w:rPr>
          <w:sz w:val="22"/>
        </w:rPr>
        <w:t>ules, which require amateur licensees to cooperate in selecting transmitting channels and in making the most effective use of amateur frequencies, provide that no amateur frequency will be assigned for the exclusive use of any station allocated to the Amateur Radio Service, and prohibit operators from willfully or maliciously interfering with or causing interference to any radio communication or signal.</w:t>
      </w:r>
      <w:r>
        <w:rPr>
          <w:sz w:val="22"/>
          <w:vertAlign w:val="superscript"/>
        </w:rPr>
        <w:footnoteReference w:id="8"/>
      </w:r>
      <w:r w:rsidR="00840090">
        <w:rPr>
          <w:sz w:val="22"/>
        </w:rPr>
        <w:t xml:space="preserve">  </w:t>
      </w:r>
      <w:r w:rsidR="000B1656">
        <w:rPr>
          <w:sz w:val="22"/>
        </w:rPr>
        <w:t xml:space="preserve">Moreover, </w:t>
      </w:r>
      <w:r w:rsidRPr="000B1656" w:rsidR="000B1656">
        <w:rPr>
          <w:sz w:val="22"/>
        </w:rPr>
        <w:t>section 97.205(c) already addresses how to resolve interferen</w:t>
      </w:r>
      <w:r w:rsidR="000B1656">
        <w:rPr>
          <w:sz w:val="22"/>
        </w:rPr>
        <w:t xml:space="preserve">ce </w:t>
      </w:r>
      <w:r w:rsidR="000B1656">
        <w:rPr>
          <w:sz w:val="22"/>
        </w:rPr>
        <w:t>disputes between repeaters.</w:t>
      </w:r>
      <w:r>
        <w:rPr>
          <w:rStyle w:val="FootnoteReference"/>
        </w:rPr>
        <w:footnoteReference w:id="9"/>
      </w:r>
      <w:r w:rsidR="00C10979">
        <w:rPr>
          <w:sz w:val="22"/>
        </w:rPr>
        <w:t xml:space="preserve">  </w:t>
      </w:r>
      <w:r>
        <w:rPr>
          <w:sz w:val="22"/>
          <w:szCs w:val="22"/>
        </w:rPr>
        <w:t xml:space="preserve">You have not demonstrated any changed circumstances or other reason that would warrant revisiting </w:t>
      </w:r>
      <w:r w:rsidR="00840090">
        <w:rPr>
          <w:sz w:val="22"/>
          <w:szCs w:val="22"/>
        </w:rPr>
        <w:t>this decision</w:t>
      </w:r>
      <w:r>
        <w:rPr>
          <w:sz w:val="22"/>
          <w:szCs w:val="22"/>
        </w:rPr>
        <w:t xml:space="preserve">. </w:t>
      </w:r>
      <w:r w:rsidR="00CC1E1E">
        <w:rPr>
          <w:sz w:val="22"/>
          <w:szCs w:val="22"/>
        </w:rPr>
        <w:t xml:space="preserve"> Consequently, we </w:t>
      </w:r>
      <w:r w:rsidR="00AB7F36">
        <w:rPr>
          <w:sz w:val="22"/>
          <w:szCs w:val="22"/>
        </w:rPr>
        <w:t>dismiss your p</w:t>
      </w:r>
      <w:r>
        <w:rPr>
          <w:sz w:val="22"/>
          <w:szCs w:val="22"/>
        </w:rPr>
        <w:t>etition.</w:t>
      </w:r>
    </w:p>
    <w:p w:rsidR="00F67DFA" w:rsidP="00F67DFA">
      <w:pPr>
        <w:rPr>
          <w:sz w:val="22"/>
        </w:rPr>
      </w:pPr>
    </w:p>
    <w:p w:rsidR="00F67DFA" w:rsidP="00F67DFA">
      <w:pPr>
        <w:autoSpaceDE w:val="0"/>
        <w:autoSpaceDN w:val="0"/>
        <w:adjustRightInd w:val="0"/>
        <w:ind w:firstLine="720"/>
        <w:rPr>
          <w:rFonts w:eastAsia="Calibri"/>
          <w:sz w:val="22"/>
          <w:szCs w:val="22"/>
        </w:rPr>
      </w:pPr>
      <w:r>
        <w:rPr>
          <w:rFonts w:eastAsia="Calibri"/>
          <w:sz w:val="22"/>
          <w:szCs w:val="22"/>
        </w:rPr>
        <w:t>Accordingly, IT IS ORDERED, pursuant to sections 4(i) and (j) and 303(r) of the</w:t>
      </w:r>
    </w:p>
    <w:p w:rsidR="00F67DFA" w:rsidP="00F67DFA">
      <w:pPr>
        <w:autoSpaceDE w:val="0"/>
        <w:autoSpaceDN w:val="0"/>
        <w:adjustRightInd w:val="0"/>
        <w:rPr>
          <w:rFonts w:eastAsia="Calibri"/>
          <w:sz w:val="22"/>
          <w:szCs w:val="22"/>
        </w:rPr>
      </w:pPr>
      <w:r>
        <w:rPr>
          <w:rFonts w:eastAsia="Calibri"/>
          <w:sz w:val="22"/>
          <w:szCs w:val="22"/>
        </w:rPr>
        <w:t>Communications Act of 1934, as amended, 47 U.S.C. §§ 154(i), (j), 303(r), and section 1.401(e) of the Commission's rules, 47 CFR § 1.401(e), that the petition for rulemaking filed by Charles P. Adkins on April 8, 2016, IS DISMISSED.</w:t>
      </w:r>
    </w:p>
    <w:p w:rsidR="00AC66EA" w:rsidP="00AC66EA">
      <w:pPr>
        <w:tabs>
          <w:tab w:val="left" w:pos="-720"/>
        </w:tabs>
        <w:suppressAutoHyphens/>
        <w:rPr>
          <w:sz w:val="22"/>
          <w:szCs w:val="22"/>
        </w:rPr>
      </w:pPr>
    </w:p>
    <w:p w:rsidR="00AC66EA" w:rsidP="00AC66EA">
      <w:pPr>
        <w:tabs>
          <w:tab w:val="left" w:pos="-720"/>
        </w:tabs>
        <w:suppressAutoHyphens/>
        <w:rPr>
          <w:sz w:val="22"/>
          <w:szCs w:val="22"/>
        </w:rPr>
      </w:pPr>
      <w:r>
        <w:rPr>
          <w:sz w:val="22"/>
          <w:szCs w:val="22"/>
        </w:rPr>
        <w:tab/>
        <w:t>This action is taken under delegated authority pursuant to Sections 0.131 and 0.331 of the Commission's Rules, 47 C.F.R. §§ 0.131 and 0.331.</w:t>
      </w:r>
    </w:p>
    <w:p w:rsidR="00B108B7" w:rsidP="00B108B7">
      <w:pPr>
        <w:autoSpaceDE w:val="0"/>
        <w:autoSpaceDN w:val="0"/>
        <w:adjustRightInd w:val="0"/>
        <w:rPr>
          <w:sz w:val="22"/>
          <w:szCs w:val="22"/>
        </w:rPr>
      </w:pPr>
    </w:p>
    <w:p w:rsidR="009115B6">
      <w:pPr>
        <w:keepNext/>
        <w:rPr>
          <w:sz w:val="22"/>
          <w:szCs w:val="22"/>
        </w:rPr>
      </w:pPr>
      <w:bookmarkStart w:id="1" w:name="start_here"/>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FEDERAL COMMUNICATIONS COMMISSION</w:t>
      </w:r>
    </w:p>
    <w:p w:rsidR="009115B6">
      <w:pPr>
        <w:keepNext/>
        <w:rPr>
          <w:sz w:val="22"/>
          <w:szCs w:val="22"/>
        </w:rPr>
      </w:pPr>
    </w:p>
    <w:p w:rsidR="009115B6">
      <w:pPr>
        <w:keepNext/>
        <w:rPr>
          <w:sz w:val="22"/>
          <w:szCs w:val="22"/>
        </w:rPr>
      </w:pPr>
    </w:p>
    <w:p w:rsidR="009115B6">
      <w:pPr>
        <w:keepNext/>
        <w:rPr>
          <w:sz w:val="22"/>
          <w:szCs w:val="22"/>
        </w:rPr>
      </w:pPr>
    </w:p>
    <w:p w:rsidR="009115B6">
      <w:pPr>
        <w:keepNext/>
        <w:rPr>
          <w:sz w:val="22"/>
          <w:szCs w:val="22"/>
        </w:rPr>
      </w:pPr>
    </w:p>
    <w:p w:rsidR="009115B6">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Scot Stone</w:t>
      </w:r>
    </w:p>
    <w:p w:rsidR="009115B6">
      <w:pPr>
        <w:keepN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Deputy Chief, Mobility Division</w:t>
      </w:r>
    </w:p>
    <w:p w:rsidR="009115B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A0A">
    <w:pPr>
      <w:pStyle w:val="Footer"/>
      <w:jc w:val="center"/>
    </w:pPr>
    <w:r>
      <w:fldChar w:fldCharType="begin"/>
    </w:r>
    <w:r>
      <w:instrText xml:space="preserve"> PAGE   \* MERGEFORMAT </w:instrText>
    </w:r>
    <w:r>
      <w:fldChar w:fldCharType="separate"/>
    </w:r>
    <w:r w:rsidR="00805444">
      <w:rPr>
        <w:noProof/>
      </w:rPr>
      <w:t>2</w:t>
    </w:r>
    <w:r>
      <w:rPr>
        <w:noProof/>
      </w:rPr>
      <w:fldChar w:fldCharType="end"/>
    </w:r>
  </w:p>
  <w:p w:rsidR="0009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492">
      <w:r>
        <w:separator/>
      </w:r>
    </w:p>
  </w:footnote>
  <w:footnote w:type="continuationSeparator" w:id="1">
    <w:p w:rsidR="006B7492">
      <w:r>
        <w:continuationSeparator/>
      </w:r>
    </w:p>
  </w:footnote>
  <w:footnote w:id="2">
    <w:p w:rsidR="00097A0A">
      <w:pPr>
        <w:pStyle w:val="FootnoteText"/>
      </w:pPr>
      <w:r>
        <w:rPr>
          <w:rStyle w:val="FootnoteReference"/>
        </w:rPr>
        <w:footnoteRef/>
      </w:r>
      <w:r>
        <w:t xml:space="preserve"> 47 CFR § 97.205.</w:t>
      </w:r>
    </w:p>
  </w:footnote>
  <w:footnote w:id="3">
    <w:p w:rsidR="00097A0A" w:rsidP="000F68EB">
      <w:pPr>
        <w:pStyle w:val="FootnoteText"/>
      </w:pPr>
      <w:r>
        <w:rPr>
          <w:rStyle w:val="FootnoteReference"/>
        </w:rPr>
        <w:footnoteRef/>
      </w:r>
      <w:r>
        <w:t xml:space="preserve"> Petition </w:t>
      </w:r>
      <w:r w:rsidR="00B56AEB">
        <w:t xml:space="preserve">of Charles P. Adkins </w:t>
      </w:r>
      <w:r w:rsidR="005F4F37">
        <w:t>for p</w:t>
      </w:r>
      <w:r>
        <w:t xml:space="preserve">roposed </w:t>
      </w:r>
      <w:r w:rsidR="005F4F37">
        <w:t>c</w:t>
      </w:r>
      <w:r>
        <w:t>han</w:t>
      </w:r>
      <w:r w:rsidR="005F4F37">
        <w:t>ges in 47 CFR Part §97.205 in r</w:t>
      </w:r>
      <w:r>
        <w:t>egards to Repeater Stations (filed Apr</w:t>
      </w:r>
      <w:r w:rsidR="005F4F37">
        <w:t>.</w:t>
      </w:r>
      <w:r>
        <w:t xml:space="preserve"> 8, 2016).  </w:t>
      </w:r>
    </w:p>
  </w:footnote>
  <w:footnote w:id="4">
    <w:p w:rsidR="00097A0A" w:rsidRPr="00097A0A">
      <w:pPr>
        <w:pStyle w:val="FootnoteText"/>
      </w:pPr>
      <w:r>
        <w:rPr>
          <w:rStyle w:val="FootnoteReference"/>
        </w:rPr>
        <w:footnoteRef/>
      </w:r>
      <w:r>
        <w:t xml:space="preserve"> </w:t>
      </w:r>
      <w:r>
        <w:rPr>
          <w:i/>
        </w:rPr>
        <w:t xml:space="preserve">See id. </w:t>
      </w:r>
      <w:r>
        <w:t>at 1-2.</w:t>
      </w:r>
      <w:r w:rsidR="000F64E0">
        <w:t xml:space="preserve">  You also suggest other limitations on the operation of digital repeaters.</w:t>
      </w:r>
    </w:p>
  </w:footnote>
  <w:footnote w:id="5">
    <w:p w:rsidR="000F64E0">
      <w:pPr>
        <w:pStyle w:val="FootnoteText"/>
      </w:pPr>
      <w:r>
        <w:rPr>
          <w:rStyle w:val="FootnoteReference"/>
        </w:rPr>
        <w:footnoteRef/>
      </w:r>
      <w:r>
        <w:t xml:space="preserve"> </w:t>
      </w:r>
      <w:r>
        <w:rPr>
          <w:i/>
        </w:rPr>
        <w:t xml:space="preserve">See id. </w:t>
      </w:r>
      <w:r>
        <w:t xml:space="preserve">at 2.  </w:t>
      </w:r>
    </w:p>
  </w:footnote>
  <w:footnote w:id="6">
    <w:p w:rsidR="00B108B7" w:rsidRPr="00A65766" w:rsidP="00B108B7">
      <w:pPr>
        <w:pStyle w:val="FootnoteText"/>
      </w:pPr>
      <w:r>
        <w:rPr>
          <w:rStyle w:val="FootnoteReference"/>
        </w:rPr>
        <w:footnoteRef/>
      </w:r>
      <w:r>
        <w:t xml:space="preserve"> </w:t>
      </w:r>
      <w:r>
        <w:rPr>
          <w:i/>
        </w:rPr>
        <w:t>See</w:t>
      </w:r>
      <w:r w:rsidR="00972B50">
        <w:rPr>
          <w:i/>
        </w:rPr>
        <w:t xml:space="preserve"> </w:t>
      </w:r>
      <w:r w:rsidRPr="00972B50" w:rsidR="00972B50">
        <w:t xml:space="preserve">Ken D. Chafin and Leon J. </w:t>
      </w:r>
      <w:r w:rsidR="00A65766">
        <w:t xml:space="preserve">Brown, </w:t>
      </w:r>
      <w:r w:rsidR="00A65766">
        <w:rPr>
          <w:i/>
        </w:rPr>
        <w:t>Letter</w:t>
      </w:r>
      <w:r w:rsidR="000F64E0">
        <w:rPr>
          <w:i/>
        </w:rPr>
        <w:t xml:space="preserve"> Order</w:t>
      </w:r>
      <w:r w:rsidR="00A65766">
        <w:rPr>
          <w:i/>
        </w:rPr>
        <w:t xml:space="preserve">, </w:t>
      </w:r>
      <w:r w:rsidRPr="00A65766" w:rsidR="00A65766">
        <w:t>23 FCC Rcd 7455</w:t>
      </w:r>
      <w:r w:rsidR="000F64E0">
        <w:t>, 7457</w:t>
      </w:r>
      <w:r w:rsidR="00A65766">
        <w:t xml:space="preserve"> (WTB </w:t>
      </w:r>
      <w:r w:rsidR="000F64E0">
        <w:t xml:space="preserve">MD </w:t>
      </w:r>
      <w:r w:rsidR="00A65766">
        <w:t>2008).</w:t>
      </w:r>
    </w:p>
  </w:footnote>
  <w:footnote w:id="7">
    <w:p w:rsidR="000B4285" w:rsidP="000B4285">
      <w:pPr>
        <w:pStyle w:val="FootnoteText"/>
      </w:pPr>
      <w:r>
        <w:rPr>
          <w:rStyle w:val="FootnoteReference"/>
        </w:rPr>
        <w:footnoteRef/>
      </w:r>
      <w:r>
        <w:t xml:space="preserve"> </w:t>
      </w:r>
      <w:r w:rsidR="000F64E0">
        <w:rPr>
          <w:i/>
        </w:rPr>
        <w:t xml:space="preserve">See id. </w:t>
      </w:r>
      <w:r w:rsidR="000F64E0">
        <w:t>at 7456 (citing</w:t>
      </w:r>
      <w:r>
        <w:rPr>
          <w:color w:val="000000"/>
        </w:rPr>
        <w:t xml:space="preserve"> Amendment of the Amateur Service Rules to Provide For Greater Use of Spread Spectrum Communication Technologies, </w:t>
      </w:r>
      <w:r>
        <w:rPr>
          <w:i/>
          <w:color w:val="000000"/>
        </w:rPr>
        <w:t>Report and Order</w:t>
      </w:r>
      <w:r>
        <w:rPr>
          <w:color w:val="000000"/>
        </w:rPr>
        <w:t>, WT Docket No. 97-12, 15 FCC Rcd 1481, 1491</w:t>
      </w:r>
      <w:r w:rsidR="005F4F37">
        <w:rPr>
          <w:color w:val="000000"/>
        </w:rPr>
        <w:t xml:space="preserve">, para. </w:t>
      </w:r>
      <w:r>
        <w:rPr>
          <w:color w:val="000000"/>
        </w:rPr>
        <w:t>25 (1999) (</w:t>
      </w:r>
      <w:r>
        <w:rPr>
          <w:i/>
          <w:color w:val="000000"/>
        </w:rPr>
        <w:t>Spread Spectrum Report and Order</w:t>
      </w:r>
      <w:r>
        <w:rPr>
          <w:color w:val="000000"/>
        </w:rPr>
        <w:t xml:space="preserve">); </w:t>
      </w:r>
      <w:r>
        <w:rPr>
          <w:color w:val="000000"/>
          <w:szCs w:val="19"/>
        </w:rPr>
        <w:t>Amendment of Parts 2 and 97 of the Commission's Rules Governing the Amateur Service to Authorize Operation on Additional Frequency Bands in American Samoa,</w:t>
      </w:r>
      <w:r>
        <w:rPr>
          <w:rFonts w:ascii="Verdana" w:hAnsi="Verdana"/>
          <w:color w:val="000000"/>
          <w:szCs w:val="19"/>
        </w:rPr>
        <w:t xml:space="preserve"> </w:t>
      </w:r>
      <w:r>
        <w:rPr>
          <w:i/>
          <w:color w:val="000000"/>
        </w:rPr>
        <w:t>Order</w:t>
      </w:r>
      <w:r>
        <w:rPr>
          <w:color w:val="000000"/>
        </w:rPr>
        <w:t>, 14 FCC Rcd 20595, 20607</w:t>
      </w:r>
      <w:r w:rsidR="005F4F37">
        <w:rPr>
          <w:color w:val="000000"/>
        </w:rPr>
        <w:t>, para.</w:t>
      </w:r>
      <w:r>
        <w:rPr>
          <w:color w:val="000000"/>
        </w:rPr>
        <w:t xml:space="preserve"> 23 (WTB PSPWD 1999)</w:t>
      </w:r>
      <w:r w:rsidR="000B1656">
        <w:rPr>
          <w:color w:val="000000"/>
        </w:rPr>
        <w:t>)</w:t>
      </w:r>
      <w:r>
        <w:rPr>
          <w:color w:val="000000"/>
        </w:rPr>
        <w:t xml:space="preserve">.  </w:t>
      </w:r>
    </w:p>
  </w:footnote>
  <w:footnote w:id="8">
    <w:p w:rsidR="000B4285" w:rsidP="000B4285">
      <w:pPr>
        <w:pStyle w:val="FootnoteText"/>
      </w:pPr>
      <w:r>
        <w:rPr>
          <w:rStyle w:val="FootnoteReference"/>
        </w:rPr>
        <w:footnoteRef/>
      </w:r>
      <w:r>
        <w:t xml:space="preserve"> </w:t>
      </w:r>
      <w:r w:rsidR="000B1656">
        <w:rPr>
          <w:i/>
        </w:rPr>
        <w:t xml:space="preserve">Id. </w:t>
      </w:r>
      <w:r w:rsidR="000B1656">
        <w:t>(citing</w:t>
      </w:r>
      <w:r>
        <w:rPr>
          <w:i/>
          <w:color w:val="000000"/>
        </w:rPr>
        <w:t xml:space="preserve"> Spread Spectrum Report and Order</w:t>
      </w:r>
      <w:r>
        <w:rPr>
          <w:szCs w:val="22"/>
        </w:rPr>
        <w:t xml:space="preserve">, </w:t>
      </w:r>
      <w:r>
        <w:rPr>
          <w:color w:val="000000"/>
        </w:rPr>
        <w:t>15 FCC Rcd at 1491</w:t>
      </w:r>
      <w:r w:rsidR="005F4F37">
        <w:rPr>
          <w:color w:val="000000"/>
        </w:rPr>
        <w:t>, para.</w:t>
      </w:r>
      <w:r>
        <w:rPr>
          <w:color w:val="000000"/>
        </w:rPr>
        <w:t xml:space="preserve"> 25 (citing </w:t>
      </w:r>
      <w:r>
        <w:t>47 CFR § 97.101(b), (d)</w:t>
      </w:r>
      <w:r>
        <w:rPr>
          <w:color w:val="000000"/>
        </w:rPr>
        <w:t>)</w:t>
      </w:r>
      <w:r w:rsidR="000B1656">
        <w:rPr>
          <w:color w:val="000000"/>
        </w:rPr>
        <w:t>)</w:t>
      </w:r>
      <w:r>
        <w:rPr>
          <w:color w:val="000000"/>
        </w:rPr>
        <w:t>.</w:t>
      </w:r>
      <w:r w:rsidR="005C4198">
        <w:rPr>
          <w:color w:val="000000"/>
        </w:rPr>
        <w:t xml:space="preserve">  </w:t>
      </w:r>
    </w:p>
  </w:footnote>
  <w:footnote w:id="9">
    <w:p w:rsidR="000B1656">
      <w:pPr>
        <w:pStyle w:val="FootnoteText"/>
      </w:pPr>
      <w:r>
        <w:rPr>
          <w:rStyle w:val="FootnoteReference"/>
        </w:rPr>
        <w:footnoteRef/>
      </w:r>
      <w:r>
        <w:t xml:space="preserve"> </w:t>
      </w:r>
      <w:r w:rsidRPr="000B1656">
        <w:rPr>
          <w:i/>
        </w:rPr>
        <w:t>See</w:t>
      </w:r>
      <w:r w:rsidRPr="000B1656">
        <w:t xml:space="preserve"> 47 CFR § 97.205(c).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A0A">
    <w:pPr>
      <w:pStyle w:val="Header"/>
    </w:pPr>
    <w:r>
      <w:t>Charles P. Adkins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A0A">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097A0A">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097A0A">
    <w:pPr>
      <w:pStyle w:val="Header"/>
      <w:tabs>
        <w:tab w:val="clear" w:pos="4320"/>
      </w:tabs>
      <w:jc w:val="center"/>
      <w:rPr>
        <w:sz w:val="22"/>
      </w:rPr>
    </w:pPr>
  </w:p>
  <w:p w:rsidR="00097A0A">
    <w:pPr>
      <w:pStyle w:val="Header"/>
      <w:tabs>
        <w:tab w:val="clear" w:pos="4320"/>
      </w:tabs>
      <w:jc w:val="center"/>
      <w:rPr>
        <w:sz w:val="22"/>
      </w:rPr>
    </w:pPr>
  </w:p>
  <w:p w:rsidR="00097A0A">
    <w:pPr>
      <w:pStyle w:val="Header"/>
      <w:tabs>
        <w:tab w:val="clear" w:pos="4320"/>
      </w:tabs>
      <w:jc w:val="center"/>
      <w:rPr>
        <w:sz w:val="24"/>
      </w:rPr>
    </w:pPr>
    <w:r>
      <w:rPr>
        <w:sz w:val="24"/>
      </w:rPr>
      <w:t>June 1</w:t>
    </w:r>
    <w:r>
      <w:rPr>
        <w:sz w:val="24"/>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 Char,Footnote Text Char Char Char Char Char,Footnote Text Char Char2,Footnote Text Char1,Footnote Text Char1 Char Char Char Char Char,Footnote Text Char1 Char2 Char Char,Footnote Text Char2,Footnote Text Char2 Char1 Char"/>
    <w:link w:val="FootnoteTextChar"/>
    <w:uiPriority w:val="99"/>
    <w:pPr>
      <w:spacing w:after="120"/>
    </w:pPr>
  </w:style>
  <w:style w:type="character" w:customStyle="1" w:styleId="FootnoteTextChar">
    <w:name w:val="Footnote Text Char"/>
    <w:aliases w:val="Footnote Text Char Char Char,Footnote Text Char Char Char Char Char Char,Footnote Text Char1 Char,Footnote Text Char1 Char Char Char Char Char Char,Footnote Text Char1 Char2 Char Char Char,Footnote Text Char2 Char1 Char Char"/>
    <w:basedOn w:val="DefaultParagraphFont"/>
    <w:link w:val="FootnoteText"/>
    <w:uiPriority w:val="99"/>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0"/>
      <w:vertAlign w:val="superscript"/>
    </w:rPr>
  </w:style>
  <w:style w:type="character" w:customStyle="1" w:styleId="FooterChar">
    <w:name w:val="Footer Char"/>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