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7503AB" w:rsidRPr="00D15848" w:rsidP="007503AB">
            <w:pPr>
              <w:tabs>
                <w:tab w:val="center" w:pos="4680"/>
              </w:tabs>
              <w:suppressAutoHyphens/>
              <w:rPr>
                <w:spacing w:val="-2"/>
              </w:rPr>
            </w:pPr>
            <w:r w:rsidRPr="00D15848">
              <w:rPr>
                <w:spacing w:val="-2"/>
              </w:rPr>
              <w:t>In the Matter of</w:t>
            </w:r>
          </w:p>
          <w:p w:rsidR="007503AB" w:rsidRPr="00D15848" w:rsidP="007503AB">
            <w:pPr>
              <w:tabs>
                <w:tab w:val="center" w:pos="4680"/>
              </w:tabs>
              <w:suppressAutoHyphens/>
              <w:rPr>
                <w:spacing w:val="-2"/>
              </w:rPr>
            </w:pPr>
          </w:p>
          <w:p w:rsidR="007503AB" w:rsidRPr="00D15848" w:rsidP="007503AB">
            <w:pPr>
              <w:tabs>
                <w:tab w:val="center" w:pos="4680"/>
              </w:tabs>
              <w:suppressAutoHyphens/>
            </w:pPr>
            <w:r>
              <w:t>Cumulus Media</w:t>
            </w:r>
            <w:r w:rsidR="00DB50C2">
              <w:t>, Inc., Debtor-in-Possession</w:t>
            </w:r>
          </w:p>
          <w:p w:rsidR="007503AB" w:rsidRPr="00D15848" w:rsidP="007503AB">
            <w:pPr>
              <w:tabs>
                <w:tab w:val="center" w:pos="4680"/>
              </w:tabs>
              <w:suppressAutoHyphens/>
            </w:pPr>
            <w:r w:rsidRPr="00D15848">
              <w:t>Seek</w:t>
            </w:r>
            <w:r w:rsidR="00C854D7">
              <w:t>s</w:t>
            </w:r>
            <w:r w:rsidRPr="00D15848">
              <w:t xml:space="preserve"> Approval to Transfer Control of and</w:t>
            </w:r>
          </w:p>
          <w:p w:rsidR="007503AB" w:rsidRPr="00D15848" w:rsidP="007503AB">
            <w:pPr>
              <w:tabs>
                <w:tab w:val="center" w:pos="4680"/>
              </w:tabs>
              <w:suppressAutoHyphens/>
            </w:pPr>
            <w:r w:rsidRPr="00D15848">
              <w:t>Assign FCC Authorizations and Licenses</w:t>
            </w:r>
          </w:p>
          <w:p w:rsidR="007503AB" w:rsidRPr="00D15848" w:rsidP="007503AB">
            <w:pPr>
              <w:tabs>
                <w:tab w:val="center" w:pos="4680"/>
              </w:tabs>
              <w:suppressAutoHyphens/>
            </w:pPr>
          </w:p>
          <w:p w:rsidR="007503AB" w:rsidP="007503AB">
            <w:pPr>
              <w:tabs>
                <w:tab w:val="center" w:pos="4680"/>
              </w:tabs>
              <w:suppressAutoHyphens/>
            </w:pPr>
            <w:r>
              <w:t xml:space="preserve">Current Shareholders of </w:t>
            </w:r>
            <w:r w:rsidR="00725DE7">
              <w:t>Cumulus Media, Inc.</w:t>
            </w:r>
            <w:r>
              <w:t>,</w:t>
            </w:r>
          </w:p>
          <w:p w:rsidR="00DB50C2" w:rsidRPr="00D15848" w:rsidP="007503AB">
            <w:pPr>
              <w:tabs>
                <w:tab w:val="center" w:pos="4680"/>
              </w:tabs>
              <w:suppressAutoHyphens/>
            </w:pPr>
            <w:r>
              <w:t>Debtor-in-Possession</w:t>
            </w:r>
          </w:p>
          <w:p w:rsidR="007503AB" w:rsidRPr="00D15848" w:rsidP="007503AB">
            <w:pPr>
              <w:tabs>
                <w:tab w:val="center" w:pos="4680"/>
              </w:tabs>
              <w:suppressAutoHyphens/>
            </w:pPr>
            <w:r w:rsidRPr="00D15848">
              <w:t>(Transferors)</w:t>
            </w:r>
            <w:r w:rsidRPr="00D15848">
              <w:tab/>
            </w:r>
          </w:p>
          <w:p w:rsidR="007503AB" w:rsidRPr="00D15848" w:rsidP="007503AB">
            <w:pPr>
              <w:tabs>
                <w:tab w:val="center" w:pos="4680"/>
              </w:tabs>
              <w:suppressAutoHyphens/>
            </w:pPr>
            <w:r w:rsidRPr="00D15848">
              <w:t>and</w:t>
            </w:r>
            <w:r w:rsidRPr="00D15848">
              <w:tab/>
            </w:r>
          </w:p>
          <w:p w:rsidR="007503AB" w:rsidP="007503AB">
            <w:pPr>
              <w:tabs>
                <w:tab w:val="center" w:pos="4680"/>
              </w:tabs>
              <w:suppressAutoHyphens/>
            </w:pPr>
            <w:r w:rsidRPr="00D15848">
              <w:t xml:space="preserve">Shareholders of </w:t>
            </w:r>
            <w:r w:rsidR="00DB50C2">
              <w:t>Cumulus Media, Inc. (as</w:t>
            </w:r>
          </w:p>
          <w:p w:rsidR="007503AB" w:rsidRPr="00D15848" w:rsidP="007503AB">
            <w:pPr>
              <w:tabs>
                <w:tab w:val="center" w:pos="4680"/>
              </w:tabs>
              <w:suppressAutoHyphens/>
              <w:rPr>
                <w:b/>
              </w:rPr>
            </w:pPr>
            <w:r>
              <w:t>Reorganized)</w:t>
            </w:r>
            <w:r w:rsidRPr="00D15848">
              <w:t xml:space="preserve"> (Transferees)</w:t>
            </w:r>
            <w:r w:rsidRPr="00D15848">
              <w:rPr>
                <w:b/>
              </w:rPr>
              <w:tab/>
            </w:r>
          </w:p>
          <w:p w:rsidR="007503AB" w:rsidRPr="00D15848" w:rsidP="007503AB">
            <w:pPr>
              <w:tabs>
                <w:tab w:val="center" w:pos="4680"/>
              </w:tabs>
              <w:suppressAutoHyphens/>
              <w:rPr>
                <w:b/>
              </w:rPr>
            </w:pPr>
          </w:p>
          <w:p w:rsidR="007503AB" w:rsidRPr="00D15848" w:rsidP="007503AB">
            <w:pPr>
              <w:tabs>
                <w:tab w:val="center" w:pos="4680"/>
              </w:tabs>
              <w:suppressAutoHyphens/>
              <w:rPr>
                <w:b/>
              </w:rPr>
            </w:pPr>
            <w:r w:rsidRPr="00D15848">
              <w:t>For Consent to Transfers of Control</w:t>
            </w:r>
            <w:r w:rsidRPr="00D15848">
              <w:rPr>
                <w:b/>
              </w:rPr>
              <w:tab/>
            </w:r>
          </w:p>
          <w:p w:rsidR="007503AB" w:rsidRPr="00D15848" w:rsidP="007503AB">
            <w:pPr>
              <w:tabs>
                <w:tab w:val="center" w:pos="4680"/>
              </w:tabs>
              <w:suppressAutoHyphens/>
              <w:rPr>
                <w:b/>
              </w:rPr>
            </w:pPr>
          </w:p>
          <w:p w:rsidR="007503AB" w:rsidRPr="00D15848" w:rsidP="007503AB">
            <w:pPr>
              <w:tabs>
                <w:tab w:val="center" w:pos="4680"/>
              </w:tabs>
              <w:suppressAutoHyphens/>
              <w:rPr>
                <w:spacing w:val="-2"/>
              </w:rPr>
            </w:pPr>
          </w:p>
          <w:p w:rsidR="007503AB" w:rsidRPr="00D15848" w:rsidP="007503AB">
            <w:pPr>
              <w:tabs>
                <w:tab w:val="center" w:pos="4680"/>
              </w:tabs>
              <w:suppressAutoHyphens/>
            </w:pPr>
            <w:r>
              <w:t>Cumulus Licensing, LLC</w:t>
            </w:r>
          </w:p>
          <w:p w:rsidR="007503AB" w:rsidRPr="00D15848" w:rsidP="007503AB">
            <w:pPr>
              <w:tabs>
                <w:tab w:val="center" w:pos="4680"/>
              </w:tabs>
              <w:suppressAutoHyphens/>
            </w:pPr>
            <w:r w:rsidRPr="00D15848">
              <w:t>(Assignors)</w:t>
            </w:r>
          </w:p>
          <w:p w:rsidR="007503AB" w:rsidRPr="00D15848" w:rsidP="007503AB">
            <w:pPr>
              <w:tabs>
                <w:tab w:val="center" w:pos="4680"/>
              </w:tabs>
              <w:suppressAutoHyphens/>
            </w:pPr>
            <w:r w:rsidRPr="00D15848">
              <w:t>and</w:t>
            </w:r>
          </w:p>
          <w:p w:rsidR="007503AB" w:rsidRPr="00D15848" w:rsidP="007503AB">
            <w:pPr>
              <w:tabs>
                <w:tab w:val="center" w:pos="4680"/>
              </w:tabs>
              <w:suppressAutoHyphens/>
            </w:pPr>
            <w:r w:rsidRPr="00D15848">
              <w:t xml:space="preserve">The </w:t>
            </w:r>
            <w:r w:rsidR="00FB2D76">
              <w:t>Mainstay Station Trust LLC</w:t>
            </w:r>
          </w:p>
          <w:p w:rsidR="007503AB" w:rsidRPr="00D15848" w:rsidP="007503AB">
            <w:pPr>
              <w:tabs>
                <w:tab w:val="center" w:pos="4680"/>
              </w:tabs>
              <w:suppressAutoHyphens/>
            </w:pPr>
            <w:r w:rsidRPr="00D15848">
              <w:t>(Assignee)</w:t>
            </w:r>
          </w:p>
          <w:p w:rsidR="007503AB" w:rsidRPr="00D15848" w:rsidP="007503AB">
            <w:pPr>
              <w:tabs>
                <w:tab w:val="center" w:pos="4680"/>
              </w:tabs>
              <w:suppressAutoHyphens/>
            </w:pPr>
          </w:p>
          <w:p w:rsidR="007503AB" w:rsidRPr="00D15848" w:rsidP="007503AB">
            <w:pPr>
              <w:tabs>
                <w:tab w:val="center" w:pos="4680"/>
              </w:tabs>
              <w:suppressAutoHyphens/>
            </w:pPr>
            <w:r w:rsidRPr="00D15848">
              <w:t>For Consent to Assignment of Licenses</w:t>
            </w:r>
          </w:p>
          <w:p w:rsidR="007503AB" w:rsidRPr="00D15848" w:rsidP="007503AB">
            <w:pPr>
              <w:tabs>
                <w:tab w:val="center" w:pos="4680"/>
              </w:tabs>
              <w:suppressAutoHyphens/>
            </w:pPr>
          </w:p>
          <w:p w:rsidR="004C2EE3" w:rsidRPr="007115F7" w:rsidP="007503AB">
            <w:pPr>
              <w:tabs>
                <w:tab w:val="center" w:pos="4680"/>
              </w:tabs>
              <w:suppressAutoHyphens/>
              <w:rPr>
                <w:spacing w:val="-2"/>
              </w:rPr>
            </w:pPr>
            <w:r w:rsidRPr="00D15848">
              <w:rPr>
                <w:b/>
              </w:rPr>
              <w:tab/>
            </w:r>
          </w:p>
        </w:tc>
        <w:tc>
          <w:tcPr>
            <w:tcW w:w="630" w:type="dxa"/>
          </w:tcPr>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r w:rsidRPr="00D15848">
              <w:rPr>
                <w:spacing w:val="-2"/>
              </w:rPr>
              <w:t>)</w:t>
            </w:r>
          </w:p>
          <w:p w:rsidR="007503AB" w:rsidRPr="00D15848" w:rsidP="007503AB">
            <w:pPr>
              <w:tabs>
                <w:tab w:val="center" w:pos="4680"/>
              </w:tabs>
              <w:suppressAutoHyphens/>
              <w:rPr>
                <w:spacing w:val="-2"/>
              </w:rPr>
            </w:pPr>
          </w:p>
          <w:p w:rsidR="004C2EE3" w:rsidP="007503AB">
            <w:pPr>
              <w:tabs>
                <w:tab w:val="center" w:pos="4680"/>
              </w:tabs>
              <w:suppressAutoHyphens/>
              <w:rPr>
                <w:spacing w:val="-2"/>
              </w:rPr>
            </w:pP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7503AB" w:rsidRPr="00D15848" w:rsidP="007503AB">
            <w:pPr>
              <w:tabs>
                <w:tab w:val="center" w:pos="4680"/>
              </w:tabs>
              <w:suppressAutoHyphens/>
            </w:pPr>
          </w:p>
          <w:p w:rsidR="007503AB" w:rsidRPr="00D15848" w:rsidP="007503AB">
            <w:pPr>
              <w:tabs>
                <w:tab w:val="center" w:pos="4680"/>
              </w:tabs>
              <w:suppressAutoHyphens/>
            </w:pPr>
          </w:p>
          <w:p w:rsidR="007503AB" w:rsidRPr="00D15848" w:rsidP="007503AB">
            <w:pPr>
              <w:tabs>
                <w:tab w:val="center" w:pos="4680"/>
              </w:tabs>
              <w:suppressAutoHyphens/>
            </w:pPr>
          </w:p>
          <w:p w:rsidR="007503AB" w:rsidRPr="00D15848" w:rsidP="007503AB">
            <w:pPr>
              <w:tabs>
                <w:tab w:val="center" w:pos="4680"/>
              </w:tabs>
              <w:suppressAutoHyphens/>
            </w:pPr>
          </w:p>
          <w:p w:rsidR="007503AB" w:rsidP="007503AB">
            <w:pPr>
              <w:tabs>
                <w:tab w:val="center" w:pos="4680"/>
              </w:tabs>
              <w:suppressAutoHyphens/>
            </w:pPr>
            <w:r>
              <w:t>BTC-20180322ABI,</w:t>
            </w:r>
            <w:r>
              <w:rPr>
                <w:i/>
              </w:rPr>
              <w:t xml:space="preserve"> et al.,</w:t>
            </w:r>
          </w:p>
          <w:p w:rsidR="00DB50C2" w:rsidP="007503AB">
            <w:pPr>
              <w:tabs>
                <w:tab w:val="center" w:pos="4680"/>
              </w:tabs>
              <w:suppressAutoHyphens/>
              <w:rPr>
                <w:i/>
              </w:rPr>
            </w:pPr>
            <w:r>
              <w:t>BTC-20180322A</w:t>
            </w:r>
            <w:r w:rsidR="00DB19CD">
              <w:t>KR</w:t>
            </w:r>
            <w:r>
              <w:t xml:space="preserve">, </w:t>
            </w:r>
            <w:r>
              <w:rPr>
                <w:i/>
              </w:rPr>
              <w:t>et al.,</w:t>
            </w:r>
          </w:p>
          <w:p w:rsidR="00DB50C2" w:rsidP="00DB19CD">
            <w:pPr>
              <w:tabs>
                <w:tab w:val="center" w:pos="4680"/>
              </w:tabs>
              <w:suppressAutoHyphens/>
              <w:jc w:val="both"/>
            </w:pPr>
            <w:r>
              <w:t>BTCH-20180322A</w:t>
            </w:r>
            <w:r w:rsidR="00DB19CD">
              <w:t>LP</w:t>
            </w:r>
            <w:r>
              <w:t xml:space="preserve">, </w:t>
            </w:r>
            <w:r>
              <w:rPr>
                <w:i/>
              </w:rPr>
              <w:t>et al</w:t>
            </w:r>
            <w:r>
              <w:t>.,</w:t>
            </w:r>
          </w:p>
          <w:p w:rsidR="00DB50C2" w:rsidP="007503AB">
            <w:pPr>
              <w:tabs>
                <w:tab w:val="center" w:pos="4680"/>
              </w:tabs>
              <w:suppressAutoHyphens/>
            </w:pPr>
            <w:r>
              <w:t>BTC-20180322A</w:t>
            </w:r>
            <w:r w:rsidR="00DB19CD">
              <w:t>MO</w:t>
            </w:r>
            <w:r>
              <w:t xml:space="preserve">, </w:t>
            </w:r>
            <w:r>
              <w:rPr>
                <w:i/>
              </w:rPr>
              <w:t>et al</w:t>
            </w:r>
            <w:r>
              <w:t>.,</w:t>
            </w:r>
          </w:p>
          <w:p w:rsidR="00DB50C2" w:rsidP="007503AB">
            <w:pPr>
              <w:tabs>
                <w:tab w:val="center" w:pos="4680"/>
              </w:tabs>
              <w:suppressAutoHyphens/>
            </w:pPr>
            <w:r>
              <w:t>BTCH-20180322AMU</w:t>
            </w:r>
            <w:r>
              <w:t xml:space="preserve">, </w:t>
            </w:r>
          </w:p>
          <w:p w:rsidR="00DB50C2" w:rsidP="007503AB">
            <w:pPr>
              <w:tabs>
                <w:tab w:val="center" w:pos="4680"/>
              </w:tabs>
              <w:suppressAutoHyphens/>
            </w:pPr>
            <w:r>
              <w:t>BTC-20180322AMV</w:t>
            </w:r>
            <w:r>
              <w:t>, and</w:t>
            </w:r>
          </w:p>
          <w:p w:rsidR="00DB50C2" w:rsidRPr="00DB19CD" w:rsidP="007503AB">
            <w:pPr>
              <w:tabs>
                <w:tab w:val="center" w:pos="4680"/>
              </w:tabs>
              <w:suppressAutoHyphens/>
              <w:rPr>
                <w:i/>
              </w:rPr>
            </w:pPr>
            <w:r>
              <w:t>BTCH-20180322AM</w:t>
            </w:r>
            <w:r w:rsidR="00DB19CD">
              <w:t xml:space="preserve">W, </w:t>
            </w:r>
            <w:r w:rsidR="00DB19CD">
              <w:rPr>
                <w:i/>
              </w:rPr>
              <w:t>et al.</w:t>
            </w:r>
          </w:p>
          <w:p w:rsidR="007503AB" w:rsidRPr="00D15848" w:rsidP="007503AB">
            <w:pPr>
              <w:tabs>
                <w:tab w:val="center" w:pos="4680"/>
              </w:tabs>
              <w:suppressAutoHyphens/>
            </w:pPr>
          </w:p>
          <w:p w:rsidR="007503AB" w:rsidP="007503AB"/>
          <w:p w:rsidR="00DB50C2" w:rsidP="007503AB"/>
          <w:p w:rsidR="007503AB" w:rsidRPr="00D15848" w:rsidP="007503AB">
            <w:pPr>
              <w:rPr>
                <w:i/>
              </w:rPr>
            </w:pPr>
            <w:r w:rsidRPr="00D15848">
              <w:t>BALH-201</w:t>
            </w:r>
            <w:r w:rsidR="00FB2D76">
              <w:t>80326AB</w:t>
            </w:r>
            <w:r w:rsidR="00BF5D54">
              <w:t>X</w:t>
            </w:r>
            <w:r w:rsidRPr="00D15848">
              <w:t xml:space="preserve">, </w:t>
            </w:r>
            <w:r w:rsidRPr="00D15848">
              <w:rPr>
                <w:i/>
              </w:rPr>
              <w:t>et al.</w:t>
            </w:r>
          </w:p>
          <w:p w:rsidR="004C2EE3" w:rsidP="007503AB">
            <w:pPr>
              <w:tabs>
                <w:tab w:val="center" w:pos="4680"/>
              </w:tabs>
              <w:suppressAutoHyphens/>
              <w:rPr>
                <w:spacing w:val="-2"/>
              </w:rPr>
            </w:pPr>
          </w:p>
        </w:tc>
      </w:tr>
    </w:tbl>
    <w:p w:rsidR="00841AB1" w:rsidP="00F021FA">
      <w:pPr>
        <w:pStyle w:val="StyleBoldCentered"/>
      </w:pPr>
      <w:r>
        <w:t>MEMORANDUM OPINION AND ORDER</w:t>
      </w:r>
    </w:p>
    <w:p w:rsidR="004C2EE3">
      <w:pPr>
        <w:tabs>
          <w:tab w:val="left" w:pos="-720"/>
        </w:tabs>
        <w:suppressAutoHyphens/>
        <w:spacing w:line="227" w:lineRule="auto"/>
        <w:rPr>
          <w:spacing w:val="-2"/>
        </w:rPr>
      </w:pPr>
    </w:p>
    <w:p w:rsidR="00822CE0" w:rsidP="009451DC">
      <w:pPr>
        <w:tabs>
          <w:tab w:val="left" w:pos="720"/>
          <w:tab w:val="right" w:pos="9360"/>
        </w:tabs>
        <w:suppressAutoHyphens/>
        <w:spacing w:line="227" w:lineRule="auto"/>
        <w:rPr>
          <w:b/>
          <w:spacing w:val="-2"/>
        </w:rPr>
      </w:pPr>
      <w:r>
        <w:rPr>
          <w:b/>
          <w:spacing w:val="-2"/>
        </w:rPr>
        <w:t>Adopted:</w:t>
      </w:r>
      <w:r w:rsidR="00FB2D76">
        <w:rPr>
          <w:b/>
          <w:spacing w:val="-2"/>
        </w:rPr>
        <w:t xml:space="preserve">  </w:t>
      </w:r>
      <w:r w:rsidR="00731B6E">
        <w:rPr>
          <w:b/>
          <w:spacing w:val="-2"/>
        </w:rPr>
        <w:t>June 1</w:t>
      </w:r>
      <w:r>
        <w:rPr>
          <w:b/>
          <w:spacing w:val="-2"/>
        </w:rPr>
        <w:t>, 201</w:t>
      </w:r>
      <w:r w:rsidR="00FB2D76">
        <w:rPr>
          <w:b/>
          <w:spacing w:val="-2"/>
        </w:rPr>
        <w:t>8</w:t>
      </w:r>
      <w:r>
        <w:rPr>
          <w:b/>
          <w:spacing w:val="-2"/>
        </w:rPr>
        <w:tab/>
      </w:r>
      <w:r>
        <w:rPr>
          <w:b/>
          <w:spacing w:val="-2"/>
        </w:rPr>
        <w:t>Released</w:t>
      </w:r>
      <w:r w:rsidR="004C2EE3">
        <w:rPr>
          <w:b/>
          <w:spacing w:val="-2"/>
        </w:rPr>
        <w:t>:</w:t>
      </w:r>
      <w:r>
        <w:rPr>
          <w:b/>
          <w:spacing w:val="-2"/>
        </w:rPr>
        <w:t xml:space="preserve"> </w:t>
      </w:r>
      <w:r w:rsidR="00731B6E">
        <w:rPr>
          <w:b/>
          <w:spacing w:val="-2"/>
        </w:rPr>
        <w:t>June 1</w:t>
      </w:r>
      <w:r w:rsidR="00FB2D76">
        <w:rPr>
          <w:b/>
          <w:spacing w:val="-2"/>
        </w:rPr>
        <w:t>, 2018</w:t>
      </w:r>
    </w:p>
    <w:p w:rsidR="009451DC" w:rsidP="009451DC">
      <w:pPr>
        <w:tabs>
          <w:tab w:val="left" w:pos="720"/>
          <w:tab w:val="right" w:pos="9360"/>
        </w:tabs>
        <w:suppressAutoHyphens/>
        <w:spacing w:line="227" w:lineRule="auto"/>
      </w:pPr>
    </w:p>
    <w:p w:rsidR="004C2EE3">
      <w:pPr>
        <w:rPr>
          <w:spacing w:val="-2"/>
        </w:rPr>
      </w:pPr>
      <w:r>
        <w:t xml:space="preserve">By </w:t>
      </w:r>
      <w:r w:rsidR="004E4A22">
        <w:t>the</w:t>
      </w:r>
      <w:r w:rsidR="002A2D2E">
        <w:t xml:space="preserve"> </w:t>
      </w:r>
      <w:r w:rsidR="007503AB">
        <w:rPr>
          <w:spacing w:val="-2"/>
        </w:rPr>
        <w:t xml:space="preserve">Chief, </w:t>
      </w:r>
      <w:r w:rsidR="00464DFA">
        <w:rPr>
          <w:spacing w:val="-2"/>
        </w:rPr>
        <w:t xml:space="preserve">Audio Division, </w:t>
      </w:r>
      <w:r w:rsidR="007503AB">
        <w:rPr>
          <w:spacing w:val="-2"/>
        </w:rPr>
        <w:t>Media Bureau</w:t>
      </w:r>
      <w:r>
        <w:rPr>
          <w:spacing w:val="-2"/>
        </w:rPr>
        <w:t>:</w:t>
      </w:r>
    </w:p>
    <w:p w:rsidR="00412FC5" w:rsidP="00412FC5"/>
    <w:p w:rsidR="007503AB" w:rsidRPr="00D15848" w:rsidP="007503AB">
      <w:pPr>
        <w:pStyle w:val="Heading1"/>
      </w:pPr>
      <w:r w:rsidRPr="00D15848">
        <w:t>INTRODUCTION</w:t>
      </w:r>
    </w:p>
    <w:p w:rsidR="00E52877" w:rsidRPr="00E52877" w:rsidP="007503AB">
      <w:pPr>
        <w:pStyle w:val="ParaNum"/>
        <w:widowControl/>
      </w:pPr>
      <w:r w:rsidRPr="00D15848">
        <w:t>The Media Bureau (Bureau) has under consideration the captioned transfer</w:t>
      </w:r>
      <w:r>
        <w:t xml:space="preserve"> </w:t>
      </w:r>
      <w:r w:rsidRPr="00867C16">
        <w:t>of control</w:t>
      </w:r>
      <w:r w:rsidRPr="00D15848">
        <w:t xml:space="preserve"> and assignment applications, as amended, (</w:t>
      </w:r>
      <w:r>
        <w:t>Transfer</w:t>
      </w:r>
      <w:r w:rsidRPr="00D15848">
        <w:t xml:space="preserve"> Applications</w:t>
      </w:r>
      <w:r>
        <w:t xml:space="preserve"> </w:t>
      </w:r>
      <w:r w:rsidRPr="00867C16">
        <w:t>and Divestiture Applications, respectively</w:t>
      </w:r>
      <w:r w:rsidRPr="00D15848">
        <w:t>)</w:t>
      </w:r>
      <w:r>
        <w:rPr>
          <w:rStyle w:val="FootnoteReference"/>
          <w:szCs w:val="22"/>
        </w:rPr>
        <w:footnoteReference w:id="3"/>
      </w:r>
      <w:r w:rsidRPr="00D15848">
        <w:t xml:space="preserve"> </w:t>
      </w:r>
      <w:r w:rsidRPr="00867C16">
        <w:t>filed by</w:t>
      </w:r>
      <w:r w:rsidRPr="00D15848">
        <w:t xml:space="preserve"> </w:t>
      </w:r>
      <w:r>
        <w:t>wholly-owned subsidiaries of Cumulus Me</w:t>
      </w:r>
      <w:r w:rsidR="00DF580E">
        <w:t>dia, Inc., Debtor-in-Possession (Cumulus)</w:t>
      </w:r>
      <w:r w:rsidRPr="00DB6F21">
        <w:rPr>
          <w:szCs w:val="18"/>
        </w:rPr>
        <w:t>.</w:t>
      </w:r>
      <w:r>
        <w:rPr>
          <w:rStyle w:val="FootnoteReference"/>
          <w:szCs w:val="18"/>
        </w:rPr>
        <w:footnoteReference w:id="4"/>
      </w:r>
      <w:r w:rsidRPr="00DB6F21">
        <w:rPr>
          <w:szCs w:val="18"/>
        </w:rPr>
        <w:t xml:space="preserve">  The Transfer Applications request</w:t>
      </w:r>
      <w:r w:rsidRPr="00DB6F21">
        <w:rPr>
          <w:sz w:val="23"/>
          <w:szCs w:val="23"/>
        </w:rPr>
        <w:t xml:space="preserve"> Commission consent to implement the Joint Plan of Reorganization of </w:t>
      </w:r>
      <w:r w:rsidRPr="00DB6F21">
        <w:rPr>
          <w:sz w:val="23"/>
          <w:szCs w:val="23"/>
        </w:rPr>
        <w:t>Cumulus Media Inc. and its Debtor Affiliates pursuant to Chapter 11 of the Bankruptcy Code</w:t>
      </w:r>
      <w:r>
        <w:rPr>
          <w:rStyle w:val="FootnoteReference"/>
          <w:szCs w:val="23"/>
        </w:rPr>
        <w:footnoteReference w:id="5"/>
      </w:r>
      <w:r w:rsidRPr="00DB6F21">
        <w:rPr>
          <w:sz w:val="23"/>
          <w:szCs w:val="23"/>
        </w:rPr>
        <w:t xml:space="preserve"> </w:t>
      </w:r>
      <w:r w:rsidRPr="00DB6F21">
        <w:rPr>
          <w:sz w:val="16"/>
          <w:szCs w:val="16"/>
        </w:rPr>
        <w:t xml:space="preserve"> </w:t>
      </w:r>
      <w:r w:rsidRPr="00DB6F21">
        <w:rPr>
          <w:sz w:val="23"/>
          <w:szCs w:val="23"/>
        </w:rPr>
        <w:t>by which Cumulus Media Inc., Debtor-in-Possession (“</w:t>
      </w:r>
      <w:r w:rsidRPr="00E24CC0">
        <w:rPr>
          <w:bCs/>
          <w:sz w:val="23"/>
          <w:szCs w:val="23"/>
        </w:rPr>
        <w:t>Cumulus</w:t>
      </w:r>
      <w:r w:rsidRPr="00DB6F21">
        <w:rPr>
          <w:sz w:val="23"/>
          <w:szCs w:val="23"/>
        </w:rPr>
        <w:t xml:space="preserve">”) and certain of its direct and indirect subsidiaries will emerge from bankruptcy as reorganized entities. </w:t>
      </w:r>
      <w:r w:rsidR="007D36D8">
        <w:rPr>
          <w:sz w:val="23"/>
          <w:szCs w:val="23"/>
        </w:rPr>
        <w:t xml:space="preserve"> </w:t>
      </w:r>
      <w:r w:rsidRPr="00DB6F21">
        <w:rPr>
          <w:sz w:val="23"/>
          <w:szCs w:val="23"/>
        </w:rPr>
        <w:t>Ea</w:t>
      </w:r>
      <w:r w:rsidR="007821E9">
        <w:rPr>
          <w:sz w:val="23"/>
          <w:szCs w:val="23"/>
        </w:rPr>
        <w:t xml:space="preserve">ch of the Transfer Applications </w:t>
      </w:r>
      <w:r w:rsidRPr="00DB6F21">
        <w:rPr>
          <w:sz w:val="23"/>
          <w:szCs w:val="23"/>
        </w:rPr>
        <w:t xml:space="preserve">requests Commission consent to the transfer of control of Cumulus license subsidiaries from the shareholders of Cumulus to the </w:t>
      </w:r>
      <w:r w:rsidR="008B08A4">
        <w:rPr>
          <w:sz w:val="23"/>
          <w:szCs w:val="23"/>
        </w:rPr>
        <w:t xml:space="preserve">new </w:t>
      </w:r>
      <w:r w:rsidRPr="00DB6F21">
        <w:rPr>
          <w:sz w:val="23"/>
          <w:szCs w:val="23"/>
        </w:rPr>
        <w:t xml:space="preserve">shareholders of </w:t>
      </w:r>
      <w:r w:rsidR="008B08A4">
        <w:rPr>
          <w:sz w:val="23"/>
          <w:szCs w:val="23"/>
        </w:rPr>
        <w:t>Cumulus (</w:t>
      </w:r>
      <w:r w:rsidRPr="00DB6F21">
        <w:rPr>
          <w:sz w:val="23"/>
          <w:szCs w:val="23"/>
        </w:rPr>
        <w:t>Reorganized Cumulus</w:t>
      </w:r>
      <w:r w:rsidR="008B08A4">
        <w:rPr>
          <w:sz w:val="23"/>
          <w:szCs w:val="23"/>
        </w:rPr>
        <w:t>)</w:t>
      </w:r>
      <w:r w:rsidRPr="00DB6F21">
        <w:rPr>
          <w:sz w:val="23"/>
          <w:szCs w:val="23"/>
        </w:rPr>
        <w:t xml:space="preserve"> in connection with the Reorganization.  </w:t>
      </w:r>
      <w:r w:rsidR="00621086">
        <w:rPr>
          <w:sz w:val="23"/>
          <w:szCs w:val="23"/>
        </w:rPr>
        <w:t>The Bureau also has before it a Petition to Deny the Transfer Applications</w:t>
      </w:r>
      <w:r w:rsidR="000B4027">
        <w:rPr>
          <w:sz w:val="23"/>
          <w:szCs w:val="23"/>
        </w:rPr>
        <w:t xml:space="preserve"> (Petition)</w:t>
      </w:r>
      <w:r w:rsidR="00621086">
        <w:rPr>
          <w:sz w:val="23"/>
          <w:szCs w:val="23"/>
        </w:rPr>
        <w:t>, filed on April 30, 2018, by WGH Communications, Inc.</w:t>
      </w:r>
      <w:r>
        <w:rPr>
          <w:rStyle w:val="FootnoteReference"/>
          <w:szCs w:val="23"/>
        </w:rPr>
        <w:footnoteReference w:id="6"/>
      </w:r>
      <w:r w:rsidR="00621086">
        <w:rPr>
          <w:sz w:val="23"/>
          <w:szCs w:val="23"/>
        </w:rPr>
        <w:t xml:space="preserve">  </w:t>
      </w:r>
      <w:r w:rsidRPr="00DB6F21">
        <w:rPr>
          <w:szCs w:val="22"/>
        </w:rPr>
        <w:t xml:space="preserve">As described below, we </w:t>
      </w:r>
      <w:r w:rsidR="000B4027">
        <w:rPr>
          <w:szCs w:val="22"/>
        </w:rPr>
        <w:t xml:space="preserve">treat the Petition as an Informal Objection and deny it, and </w:t>
      </w:r>
      <w:r w:rsidRPr="00DB6F21">
        <w:rPr>
          <w:szCs w:val="22"/>
        </w:rPr>
        <w:t>grant the Merger and Divestiture Application</w:t>
      </w:r>
      <w:r w:rsidR="000B4027">
        <w:rPr>
          <w:szCs w:val="22"/>
        </w:rPr>
        <w:t>s subject to certain conditions</w:t>
      </w:r>
      <w:r w:rsidRPr="00DB6F21">
        <w:rPr>
          <w:szCs w:val="22"/>
        </w:rPr>
        <w:t>.</w:t>
      </w:r>
      <w:r>
        <w:rPr>
          <w:rStyle w:val="FootnoteReference"/>
          <w:szCs w:val="18"/>
        </w:rPr>
        <w:footnoteReference w:id="7"/>
      </w:r>
      <w:r w:rsidRPr="00DB6F21">
        <w:rPr>
          <w:szCs w:val="18"/>
        </w:rPr>
        <w:t xml:space="preserve"> </w:t>
      </w:r>
    </w:p>
    <w:p w:rsidR="007503AB" w:rsidRPr="00D15848" w:rsidP="007503AB">
      <w:pPr>
        <w:pStyle w:val="Heading1"/>
        <w:widowControl/>
      </w:pPr>
      <w:r w:rsidRPr="00D15848">
        <w:t>BACKGROUND</w:t>
      </w:r>
    </w:p>
    <w:p w:rsidR="00DB6F21" w:rsidRPr="00517FBE" w:rsidP="00DB6F21">
      <w:pPr>
        <w:pStyle w:val="ParaNum"/>
        <w:rPr>
          <w:szCs w:val="22"/>
        </w:rPr>
      </w:pPr>
      <w:r w:rsidRPr="00517FBE">
        <w:rPr>
          <w:i/>
          <w:szCs w:val="22"/>
        </w:rPr>
        <w:t>The Transaction</w:t>
      </w:r>
      <w:r w:rsidRPr="00517FBE">
        <w:rPr>
          <w:szCs w:val="22"/>
        </w:rPr>
        <w:t xml:space="preserve">.  </w:t>
      </w:r>
      <w:r w:rsidRPr="00517FBE">
        <w:rPr>
          <w:szCs w:val="22"/>
        </w:rPr>
        <w:t>Under the Plan, Cumulus proposes to cancel existing debt of Cumulus and to issue, in exchange therefor, among other things, securities in Reorganized Cumulus, which securities shall consist of a combination of (i) Class A Common Stock, which will entitle holders to vote for directors of Reorganized Cumulus, (ii) Class B Common Stock, which will not entitle holders to vote for directors of Reorganized Cumulus, and (iii) Special Warrants which will be exercisable for common stock of Reorganized Cumulus subject to certain conditions.  Upon Cumulus’ emergence from bankruptcy, all of the existing capital stock of Cumulus wil</w:t>
      </w:r>
      <w:r w:rsidRPr="00517FBE" w:rsidR="001854EB">
        <w:rPr>
          <w:szCs w:val="22"/>
        </w:rPr>
        <w:t>l be cancelled, and all of the n</w:t>
      </w:r>
      <w:r w:rsidRPr="00517FBE">
        <w:rPr>
          <w:szCs w:val="22"/>
        </w:rPr>
        <w:t xml:space="preserve">ew </w:t>
      </w:r>
      <w:r w:rsidRPr="00517FBE" w:rsidR="001854EB">
        <w:rPr>
          <w:szCs w:val="22"/>
        </w:rPr>
        <w:t>stock</w:t>
      </w:r>
      <w:r w:rsidRPr="00517FBE">
        <w:rPr>
          <w:szCs w:val="22"/>
        </w:rPr>
        <w:t xml:space="preserve"> will be distributed to holders of debt and other creditors of Cumulus and/or their designees. </w:t>
      </w:r>
      <w:r w:rsidRPr="00517FBE" w:rsidR="001854EB">
        <w:rPr>
          <w:szCs w:val="22"/>
        </w:rPr>
        <w:t xml:space="preserve"> </w:t>
      </w:r>
      <w:r w:rsidRPr="00517FBE">
        <w:rPr>
          <w:szCs w:val="22"/>
        </w:rPr>
        <w:t>Following the Transfer of Control, no single person or entity, or group of commonly-controlled persons or entities, will hold a controlling interest in Reorganized Cumulus.  Cumulus’ current President and Chief Executive Officer Mary G. Berner will continue to serve in tha</w:t>
      </w:r>
      <w:r w:rsidR="009C7B49">
        <w:rPr>
          <w:szCs w:val="22"/>
        </w:rPr>
        <w:t>t same capacity upon emergence.</w:t>
      </w:r>
    </w:p>
    <w:p w:rsidR="007503AB" w:rsidRPr="00517FBE" w:rsidP="007503AB">
      <w:pPr>
        <w:pStyle w:val="ParaNum"/>
        <w:widowControl/>
        <w:rPr>
          <w:szCs w:val="22"/>
        </w:rPr>
      </w:pPr>
      <w:r w:rsidRPr="00517FBE">
        <w:rPr>
          <w:szCs w:val="22"/>
        </w:rPr>
        <w:t xml:space="preserve">Cumulus currently exceeds the local radio ownership rule limit in Section 73.3555(a)(1) of the Commission’s </w:t>
      </w:r>
      <w:r w:rsidR="007025A6">
        <w:rPr>
          <w:szCs w:val="22"/>
        </w:rPr>
        <w:t>r</w:t>
      </w:r>
      <w:r w:rsidRPr="00517FBE">
        <w:rPr>
          <w:szCs w:val="22"/>
        </w:rPr>
        <w:t>ules (Rules)</w:t>
      </w:r>
      <w:r>
        <w:rPr>
          <w:rStyle w:val="FootnoteReference"/>
          <w:sz w:val="22"/>
          <w:szCs w:val="22"/>
        </w:rPr>
        <w:footnoteReference w:id="8"/>
      </w:r>
      <w:r w:rsidRPr="00517FBE">
        <w:rPr>
          <w:szCs w:val="22"/>
        </w:rPr>
        <w:t xml:space="preserve"> </w:t>
      </w:r>
      <w:r w:rsidRPr="00517FBE">
        <w:rPr>
          <w:szCs w:val="22"/>
        </w:rPr>
        <w:t>in four Markets.</w:t>
      </w:r>
      <w:r>
        <w:rPr>
          <w:rStyle w:val="FootnoteReference"/>
          <w:sz w:val="22"/>
          <w:szCs w:val="22"/>
        </w:rPr>
        <w:footnoteReference w:id="9"/>
      </w:r>
      <w:r w:rsidRPr="00517FBE">
        <w:rPr>
          <w:szCs w:val="22"/>
        </w:rPr>
        <w:t xml:space="preserve">  </w:t>
      </w:r>
      <w:r w:rsidRPr="00517FBE" w:rsidR="007517D2">
        <w:rPr>
          <w:szCs w:val="22"/>
        </w:rPr>
        <w:t xml:space="preserve">Cumulus’ ownership </w:t>
      </w:r>
      <w:r w:rsidR="00D245B7">
        <w:rPr>
          <w:szCs w:val="22"/>
        </w:rPr>
        <w:t>o</w:t>
      </w:r>
      <w:r w:rsidRPr="00517FBE" w:rsidR="007517D2">
        <w:rPr>
          <w:szCs w:val="22"/>
        </w:rPr>
        <w:t>f those stations is grandfathered pursuant to Note 4 of Section 73.3555.</w:t>
      </w:r>
      <w:r>
        <w:rPr>
          <w:rStyle w:val="FootnoteReference"/>
          <w:sz w:val="22"/>
          <w:szCs w:val="22"/>
        </w:rPr>
        <w:footnoteReference w:id="10"/>
      </w:r>
      <w:r w:rsidRPr="00517FBE" w:rsidR="007517D2">
        <w:rPr>
          <w:szCs w:val="22"/>
        </w:rPr>
        <w:t xml:space="preserve"> </w:t>
      </w:r>
      <w:r w:rsidRPr="00517FBE" w:rsidR="00664B89">
        <w:rPr>
          <w:szCs w:val="22"/>
        </w:rPr>
        <w:t xml:space="preserve"> </w:t>
      </w:r>
      <w:r w:rsidRPr="00517FBE" w:rsidR="00664B89">
        <w:rPr>
          <w:bCs/>
          <w:color w:val="252525"/>
          <w:szCs w:val="22"/>
        </w:rPr>
        <w:t>Note</w:t>
      </w:r>
      <w:r w:rsidRPr="00517FBE" w:rsidR="00664B89">
        <w:rPr>
          <w:color w:val="212121"/>
          <w:szCs w:val="22"/>
        </w:rPr>
        <w:t xml:space="preserve"> </w:t>
      </w:r>
      <w:r w:rsidRPr="00517FBE" w:rsidR="00664B89">
        <w:rPr>
          <w:bCs/>
          <w:color w:val="252525"/>
          <w:szCs w:val="22"/>
        </w:rPr>
        <w:t>4</w:t>
      </w:r>
      <w:r w:rsidRPr="00517FBE" w:rsidR="00664B89">
        <w:rPr>
          <w:color w:val="212121"/>
          <w:szCs w:val="22"/>
        </w:rPr>
        <w:t xml:space="preserve"> permits existing over-limit station combinations to continue until certain events occur, in which case </w:t>
      </w:r>
      <w:r w:rsidRPr="00517FBE" w:rsidR="00664B89">
        <w:rPr>
          <w:bCs/>
          <w:color w:val="252525"/>
          <w:szCs w:val="22"/>
        </w:rPr>
        <w:t>grandfathering</w:t>
      </w:r>
      <w:r w:rsidRPr="00517FBE" w:rsidR="00664B89">
        <w:rPr>
          <w:color w:val="212121"/>
          <w:szCs w:val="22"/>
        </w:rPr>
        <w:t xml:space="preserve"> terminates and the licensee must come into compliance with the multiple ownership limits of Section 73.3555(a).</w:t>
      </w:r>
      <w:r>
        <w:rPr>
          <w:rStyle w:val="FootnoteReference"/>
          <w:sz w:val="22"/>
          <w:szCs w:val="22"/>
        </w:rPr>
        <w:footnoteReference w:id="11"/>
      </w:r>
      <w:r w:rsidRPr="00517FBE" w:rsidR="00664B89">
        <w:rPr>
          <w:color w:val="212121"/>
          <w:szCs w:val="22"/>
        </w:rPr>
        <w:t xml:space="preserve"> </w:t>
      </w:r>
      <w:r w:rsidR="00D245B7">
        <w:rPr>
          <w:color w:val="212121"/>
          <w:szCs w:val="22"/>
        </w:rPr>
        <w:t xml:space="preserve"> T</w:t>
      </w:r>
      <w:r w:rsidRPr="00517FBE" w:rsidR="00387CFE">
        <w:rPr>
          <w:color w:val="212121"/>
          <w:szCs w:val="22"/>
        </w:rPr>
        <w:t xml:space="preserve">he filing of a long-form transfer of control application, </w:t>
      </w:r>
      <w:r w:rsidR="00D245B7">
        <w:rPr>
          <w:color w:val="212121"/>
          <w:szCs w:val="22"/>
        </w:rPr>
        <w:t>such as the Transfer Applications, is one of these triggering events</w:t>
      </w:r>
      <w:r w:rsidRPr="00517FBE" w:rsidR="00387CFE">
        <w:rPr>
          <w:color w:val="212121"/>
          <w:szCs w:val="22"/>
        </w:rPr>
        <w:t>.</w:t>
      </w:r>
      <w:r>
        <w:rPr>
          <w:rStyle w:val="FootnoteReference"/>
          <w:sz w:val="22"/>
          <w:szCs w:val="22"/>
        </w:rPr>
        <w:footnoteReference w:id="12"/>
      </w:r>
      <w:r w:rsidRPr="00517FBE" w:rsidR="007517D2">
        <w:rPr>
          <w:szCs w:val="22"/>
        </w:rPr>
        <w:t xml:space="preserve">  </w:t>
      </w:r>
      <w:r w:rsidRPr="00517FBE">
        <w:rPr>
          <w:szCs w:val="22"/>
        </w:rPr>
        <w:t xml:space="preserve">In order to comply with the local radio ownership rule, the Parties have filed </w:t>
      </w:r>
      <w:r w:rsidRPr="00517FBE" w:rsidR="00387CFE">
        <w:rPr>
          <w:szCs w:val="22"/>
        </w:rPr>
        <w:t>the</w:t>
      </w:r>
      <w:r w:rsidRPr="00517FBE">
        <w:rPr>
          <w:szCs w:val="22"/>
        </w:rPr>
        <w:t xml:space="preserve"> Divestiture Applications seeking consent to the assignment of </w:t>
      </w:r>
      <w:r w:rsidRPr="00517FBE" w:rsidR="00E24CC0">
        <w:rPr>
          <w:szCs w:val="22"/>
        </w:rPr>
        <w:t>four station licenses</w:t>
      </w:r>
      <w:r w:rsidRPr="00517FBE">
        <w:rPr>
          <w:szCs w:val="22"/>
        </w:rPr>
        <w:t xml:space="preserve"> (Trust Stations) to the </w:t>
      </w:r>
      <w:r w:rsidRPr="00517FBE" w:rsidR="00E24CC0">
        <w:rPr>
          <w:szCs w:val="22"/>
        </w:rPr>
        <w:t xml:space="preserve">Mainstay </w:t>
      </w:r>
      <w:r w:rsidRPr="00517FBE" w:rsidR="00E24CC0">
        <w:rPr>
          <w:szCs w:val="22"/>
        </w:rPr>
        <w:t>Station</w:t>
      </w:r>
      <w:r w:rsidRPr="00517FBE">
        <w:rPr>
          <w:szCs w:val="22"/>
        </w:rPr>
        <w:t xml:space="preserve"> Trust </w:t>
      </w:r>
      <w:r w:rsidRPr="00517FBE" w:rsidR="00E24CC0">
        <w:rPr>
          <w:szCs w:val="22"/>
        </w:rPr>
        <w:t>LLC (MS</w:t>
      </w:r>
      <w:r w:rsidRPr="00517FBE">
        <w:rPr>
          <w:szCs w:val="22"/>
        </w:rPr>
        <w:t>T</w:t>
      </w:r>
      <w:r w:rsidRPr="00517FBE" w:rsidR="00623B0C">
        <w:rPr>
          <w:szCs w:val="22"/>
        </w:rPr>
        <w:t>).</w:t>
      </w:r>
      <w:r>
        <w:rPr>
          <w:rStyle w:val="FootnoteReference"/>
          <w:sz w:val="22"/>
          <w:szCs w:val="22"/>
        </w:rPr>
        <w:footnoteReference w:id="13"/>
      </w:r>
      <w:r w:rsidRPr="00517FBE">
        <w:rPr>
          <w:szCs w:val="22"/>
        </w:rPr>
        <w:t xml:space="preserve"> </w:t>
      </w:r>
      <w:r w:rsidRPr="00517FBE" w:rsidR="00517FBE">
        <w:rPr>
          <w:szCs w:val="22"/>
        </w:rPr>
        <w:t xml:space="preserve"> Cumulus </w:t>
      </w:r>
      <w:r w:rsidR="00517FBE">
        <w:rPr>
          <w:szCs w:val="22"/>
        </w:rPr>
        <w:t xml:space="preserve">also </w:t>
      </w:r>
      <w:r w:rsidRPr="00517FBE" w:rsidR="00517FBE">
        <w:rPr>
          <w:szCs w:val="22"/>
        </w:rPr>
        <w:t xml:space="preserve">requests that any Commission approval of the </w:t>
      </w:r>
      <w:r w:rsidR="00D829FB">
        <w:rPr>
          <w:szCs w:val="22"/>
        </w:rPr>
        <w:t>Transfer A</w:t>
      </w:r>
      <w:r w:rsidRPr="00517FBE" w:rsidR="00517FBE">
        <w:rPr>
          <w:szCs w:val="22"/>
        </w:rPr>
        <w:t xml:space="preserve">pplications include authority for the shareholders of Reorganized Cumulus to acquire control of: (1) any authorization issued to Cumulus or its subsidiaries relating to their broadcast businesses while the </w:t>
      </w:r>
      <w:r w:rsidR="00005F50">
        <w:rPr>
          <w:szCs w:val="22"/>
        </w:rPr>
        <w:t>Transfer A</w:t>
      </w:r>
      <w:r w:rsidRPr="00517FBE" w:rsidR="00517FBE">
        <w:rPr>
          <w:szCs w:val="22"/>
        </w:rPr>
        <w:t xml:space="preserve">pplications are pending before the Commission and during the period required for consummation of the Transfer of Control; and (2) any applications filed by Cumulus or its subsidiaries relating to their broadcast businesses that are pending at the time of consummation. </w:t>
      </w:r>
      <w:r w:rsidR="009C7B49">
        <w:rPr>
          <w:szCs w:val="22"/>
        </w:rPr>
        <w:t xml:space="preserve"> </w:t>
      </w:r>
      <w:r w:rsidR="00517FBE">
        <w:rPr>
          <w:szCs w:val="22"/>
        </w:rPr>
        <w:t>It claims that s</w:t>
      </w:r>
      <w:r w:rsidRPr="00517FBE" w:rsidR="00517FBE">
        <w:rPr>
          <w:szCs w:val="22"/>
        </w:rPr>
        <w:t xml:space="preserve">uch action would be consistent with prior </w:t>
      </w:r>
      <w:r w:rsidR="00517FBE">
        <w:rPr>
          <w:szCs w:val="22"/>
        </w:rPr>
        <w:t xml:space="preserve">Commission </w:t>
      </w:r>
      <w:r w:rsidRPr="00517FBE" w:rsidR="00517FBE">
        <w:rPr>
          <w:szCs w:val="22"/>
        </w:rPr>
        <w:t>decisions.</w:t>
      </w:r>
      <w:r>
        <w:rPr>
          <w:rStyle w:val="FootnoteReference"/>
          <w:sz w:val="22"/>
          <w:szCs w:val="22"/>
        </w:rPr>
        <w:footnoteReference w:id="14"/>
      </w:r>
      <w:r w:rsidRPr="00517FBE" w:rsidR="00517FBE">
        <w:rPr>
          <w:szCs w:val="22"/>
        </w:rPr>
        <w:t xml:space="preserve"> </w:t>
      </w:r>
    </w:p>
    <w:p w:rsidR="007503AB" w:rsidRPr="00D15848" w:rsidP="00EC106E">
      <w:pPr>
        <w:pStyle w:val="ParaNum"/>
        <w:widowControl/>
      </w:pPr>
      <w:r w:rsidRPr="0070484E">
        <w:rPr>
          <w:i/>
        </w:rPr>
        <w:t>Petition to Deny</w:t>
      </w:r>
      <w:r w:rsidRPr="00D15848">
        <w:t xml:space="preserve">.  </w:t>
      </w:r>
      <w:r w:rsidR="006B50B3">
        <w:t xml:space="preserve">On April 30, 2018, </w:t>
      </w:r>
      <w:r w:rsidR="00187665">
        <w:t xml:space="preserve">WGH, </w:t>
      </w:r>
      <w:r w:rsidR="00592256">
        <w:t xml:space="preserve">an unsecured creditor of Cumulus in the bankruptcy proceeding, </w:t>
      </w:r>
      <w:r w:rsidR="006B50B3">
        <w:t xml:space="preserve">filed </w:t>
      </w:r>
      <w:r w:rsidR="0055485E">
        <w:t xml:space="preserve">the </w:t>
      </w:r>
      <w:r w:rsidR="006B50B3">
        <w:t>Petition</w:t>
      </w:r>
      <w:r w:rsidR="00CC7353">
        <w:t>.</w:t>
      </w:r>
      <w:r w:rsidR="00592256">
        <w:t xml:space="preserve">  </w:t>
      </w:r>
      <w:r w:rsidR="00621086">
        <w:t>WGH</w:t>
      </w:r>
      <w:r w:rsidR="00592256">
        <w:t xml:space="preserve"> observes that the Comprehensive Exhibit filed with the Transfer Applications anticipates the filing of a request for declaratory ruling that Cumulus be permitted to exceed the 25% foreign ownership limitation in Section 310(d) of the Communications Act of 1934, as amended</w:t>
      </w:r>
      <w:r w:rsidR="006C7478">
        <w:t xml:space="preserve"> (Act)</w:t>
      </w:r>
      <w:r w:rsidR="00592256">
        <w:t>.</w:t>
      </w:r>
      <w:r>
        <w:rPr>
          <w:rStyle w:val="FootnoteReference"/>
        </w:rPr>
        <w:footnoteReference w:id="15"/>
      </w:r>
      <w:r w:rsidR="00592256">
        <w:t xml:space="preserve">  </w:t>
      </w:r>
      <w:r w:rsidR="00621086">
        <w:t xml:space="preserve">WGH </w:t>
      </w:r>
      <w:r w:rsidR="0052364A">
        <w:t>argues that allowing up to 100%</w:t>
      </w:r>
      <w:r w:rsidR="00592256">
        <w:t xml:space="preserve"> foreign ownership of Cumulus would be contrary to the public interest and that the Transfer </w:t>
      </w:r>
      <w:r w:rsidR="00E728B0">
        <w:t>A</w:t>
      </w:r>
      <w:r w:rsidR="00592256">
        <w:t>pplications therefore should be denied.</w:t>
      </w:r>
      <w:r>
        <w:rPr>
          <w:rStyle w:val="FootnoteReference"/>
        </w:rPr>
        <w:footnoteReference w:id="16"/>
      </w:r>
      <w:r w:rsidR="0052364A">
        <w:t xml:space="preserve">  </w:t>
      </w:r>
      <w:r w:rsidR="00621086">
        <w:t>It</w:t>
      </w:r>
      <w:r w:rsidR="0080652D">
        <w:t xml:space="preserve"> states that granting the Transfer Applications will either result in additional foreign ownership or the issuance of Special Warrants to acquire Cumulus stock that can never be converted because so doing would violate the foreign ownership provisions of the Act; </w:t>
      </w:r>
      <w:r w:rsidR="00621086">
        <w:t>WGH</w:t>
      </w:r>
      <w:r w:rsidR="0080652D">
        <w:t xml:space="preserve"> argues that the public interest, as well as that of WGH, would be better served with an alternative plan </w:t>
      </w:r>
      <w:r w:rsidR="00E1258E">
        <w:t>to emerge from bankruptcy</w:t>
      </w:r>
      <w:r w:rsidR="0080652D">
        <w:t xml:space="preserve"> </w:t>
      </w:r>
      <w:r w:rsidR="00E1258E">
        <w:t>that would</w:t>
      </w:r>
      <w:r w:rsidR="0080652D">
        <w:t xml:space="preserve"> not require a request for waiver of Section 310(b)(4).</w:t>
      </w:r>
      <w:r>
        <w:rPr>
          <w:rStyle w:val="FootnoteReference"/>
        </w:rPr>
        <w:footnoteReference w:id="17"/>
      </w:r>
      <w:r w:rsidR="0080652D">
        <w:t xml:space="preserve">  Finally, </w:t>
      </w:r>
      <w:r w:rsidR="00621086">
        <w:t>WGH</w:t>
      </w:r>
      <w:r w:rsidR="00AA5132">
        <w:t xml:space="preserve"> complains that Cumulus has not provided the Commission with information about the full extent of its current foreign ownership, nor has it provided any information about what nations this foreign ownership comes from</w:t>
      </w:r>
      <w:r w:rsidR="00E728B0">
        <w:t>.  WGH</w:t>
      </w:r>
      <w:r w:rsidR="00AA5132">
        <w:t xml:space="preserve"> states that it is critical for security concerns to know this information before determining whether to grant the Transfer Applications.</w:t>
      </w:r>
      <w:r>
        <w:rPr>
          <w:rStyle w:val="FootnoteReference"/>
        </w:rPr>
        <w:footnoteReference w:id="18"/>
      </w:r>
    </w:p>
    <w:p w:rsidR="007503AB" w:rsidRPr="00D15848" w:rsidP="007503AB">
      <w:pPr>
        <w:pStyle w:val="ParaNum"/>
        <w:widowControl/>
      </w:pPr>
      <w:r>
        <w:t>In its Opposition, Cumulus</w:t>
      </w:r>
      <w:r w:rsidRPr="00D15848">
        <w:rPr>
          <w:rStyle w:val="FootnoteReference"/>
        </w:rPr>
        <w:t xml:space="preserve">  </w:t>
      </w:r>
      <w:r w:rsidR="00401378">
        <w:t xml:space="preserve">states </w:t>
      </w:r>
      <w:r w:rsidR="00D0493E">
        <w:t>initially that, as an unsecured creditor, WGH has no standing to challenge the Transfer Applications</w:t>
      </w:r>
      <w:r w:rsidR="00A431B1">
        <w:t>.</w:t>
      </w:r>
      <w:r>
        <w:rPr>
          <w:rStyle w:val="FootnoteReference"/>
        </w:rPr>
        <w:footnoteReference w:id="19"/>
      </w:r>
      <w:r w:rsidR="00D0493E">
        <w:t xml:space="preserve">  Thus, Cumulus claims the Petition at most constitutes an Informal Objection under Section 73.3587 of the Rules.</w:t>
      </w:r>
      <w:r>
        <w:rPr>
          <w:rStyle w:val="FootnoteReference"/>
        </w:rPr>
        <w:footnoteReference w:id="20"/>
      </w:r>
      <w:r w:rsidR="00B2315A">
        <w:t xml:space="preserve">  Substantively, Cumulus argues that WGH, as an unsecured Cumulus creditor in the bankruptcy proceeding, is attempting to manipulate the Commission’s processes in order to create leverage for its claims, which should be addressed by the Bankruptcy Court, not the Commission.  Cumulus states that WGH has put forth no allegations of fact which would make a </w:t>
      </w:r>
      <w:r w:rsidR="00B2315A">
        <w:rPr>
          <w:i/>
        </w:rPr>
        <w:t>prima facie</w:t>
      </w:r>
      <w:r w:rsidR="00B2315A">
        <w:t xml:space="preserve"> case that grant of the Transfer Applications would not serve the public interest,</w:t>
      </w:r>
      <w:r>
        <w:rPr>
          <w:rStyle w:val="FootnoteReference"/>
        </w:rPr>
        <w:footnoteReference w:id="21"/>
      </w:r>
      <w:r w:rsidR="00B2315A">
        <w:t xml:space="preserve"> and its primary argument – that foreign ownership of Cumulus should not be permitted to exceed 25% </w:t>
      </w:r>
      <w:r w:rsidR="001A4511">
        <w:t>–</w:t>
      </w:r>
      <w:r w:rsidR="00B2315A">
        <w:t xml:space="preserve"> should be addressed in the context of any subsequent Petition for Declaratory Ruling </w:t>
      </w:r>
      <w:r w:rsidR="00AC652D">
        <w:t>under</w:t>
      </w:r>
      <w:r w:rsidR="00B2315A">
        <w:t xml:space="preserve"> Section 310(b)(4) of the Act, not in the context of the Transfer Applications.</w:t>
      </w:r>
      <w:r>
        <w:rPr>
          <w:rStyle w:val="FootnoteReference"/>
        </w:rPr>
        <w:footnoteReference w:id="22"/>
      </w:r>
    </w:p>
    <w:p w:rsidR="007503AB" w:rsidRPr="00D15848" w:rsidP="007503AB">
      <w:pPr>
        <w:pStyle w:val="Heading1"/>
        <w:widowControl/>
      </w:pPr>
      <w:r w:rsidRPr="00D15848">
        <w:t>DISCUSSION</w:t>
      </w:r>
    </w:p>
    <w:p w:rsidR="007503AB" w:rsidRPr="001F12B1" w:rsidP="007503AB">
      <w:pPr>
        <w:pStyle w:val="ParaNum"/>
        <w:widowControl/>
        <w:rPr>
          <w:szCs w:val="22"/>
        </w:rPr>
      </w:pPr>
      <w:r w:rsidRPr="00D15848">
        <w:t>Section 310(d) of the Act</w:t>
      </w:r>
      <w:r>
        <w:t xml:space="preserve"> </w:t>
      </w:r>
      <w:r w:rsidRPr="00D15848">
        <w:t>provides that no station license shall be transferred or assigned until the Commission determines that the public interest, convenience, and necessity will be served.</w:t>
      </w:r>
      <w:r>
        <w:rPr>
          <w:rStyle w:val="FootnoteReference"/>
        </w:rPr>
        <w:footnoteReference w:id="23"/>
      </w:r>
      <w:r w:rsidRPr="00D15848">
        <w:t xml:space="preserve">  In making this assessment, the Commission must first determine whether the proposed transaction would comply with the Act, other applicable statutes, and the Rules.</w:t>
      </w:r>
      <w:r>
        <w:rPr>
          <w:rStyle w:val="FootnoteReference"/>
        </w:rPr>
        <w:footnoteReference w:id="24"/>
      </w:r>
      <w:r w:rsidRPr="00D15848">
        <w:t xml:space="preserve">  If the Commission is unable to find that the proposed transaction serves the public interest, or if the record presents a substantial and material question of fact, Section 309(e) of the Act requires that the </w:t>
      </w:r>
      <w:r w:rsidRPr="001F12B1">
        <w:rPr>
          <w:szCs w:val="22"/>
        </w:rPr>
        <w:t>applications be designated for hearing.</w:t>
      </w:r>
      <w:r>
        <w:rPr>
          <w:rStyle w:val="FootnoteReference"/>
          <w:sz w:val="22"/>
          <w:szCs w:val="22"/>
        </w:rPr>
        <w:footnoteReference w:id="25"/>
      </w:r>
    </w:p>
    <w:p w:rsidR="004D5F69" w:rsidRPr="00522B3B" w:rsidP="004D5F69">
      <w:pPr>
        <w:pStyle w:val="ParaNum"/>
        <w:widowControl/>
        <w:rPr>
          <w:szCs w:val="22"/>
        </w:rPr>
      </w:pPr>
      <w:r w:rsidRPr="001F12B1">
        <w:rPr>
          <w:i/>
          <w:szCs w:val="22"/>
        </w:rPr>
        <w:t>Petition</w:t>
      </w:r>
      <w:r w:rsidRPr="001F12B1" w:rsidR="00E25359">
        <w:rPr>
          <w:szCs w:val="22"/>
        </w:rPr>
        <w:t>.</w:t>
      </w:r>
      <w:r w:rsidRPr="001F12B1" w:rsidR="00787A44">
        <w:rPr>
          <w:szCs w:val="22"/>
        </w:rPr>
        <w:t xml:space="preserve">  Initially, we find Cumulus to be correct that, as a Cumulus creditor, WGH does not have standing to file a petition to deny the Transfer Application</w:t>
      </w:r>
      <w:r w:rsidR="001A4511">
        <w:rPr>
          <w:szCs w:val="22"/>
        </w:rPr>
        <w:t>s</w:t>
      </w:r>
      <w:r w:rsidRPr="001F12B1" w:rsidR="00787A44">
        <w:rPr>
          <w:szCs w:val="22"/>
        </w:rPr>
        <w:t>.</w:t>
      </w:r>
      <w:r>
        <w:rPr>
          <w:rStyle w:val="FootnoteReference"/>
          <w:sz w:val="22"/>
          <w:szCs w:val="22"/>
        </w:rPr>
        <w:footnoteReference w:id="26"/>
      </w:r>
      <w:r w:rsidRPr="001F12B1" w:rsidR="001F12B1">
        <w:rPr>
          <w:szCs w:val="22"/>
        </w:rPr>
        <w:t xml:space="preserve">  </w:t>
      </w:r>
      <w:r w:rsidRPr="001F12B1" w:rsidR="001F12B1">
        <w:rPr>
          <w:color w:val="212121"/>
          <w:szCs w:val="22"/>
        </w:rPr>
        <w:t>Accordingly, we will treat the Petition as an informal objection under Section 73.3587 of the Rules.</w:t>
      </w:r>
      <w:r>
        <w:rPr>
          <w:rStyle w:val="FootnoteReference"/>
          <w:szCs w:val="22"/>
        </w:rPr>
        <w:footnoteReference w:id="27"/>
      </w:r>
    </w:p>
    <w:p w:rsidR="00522B3B" w:rsidP="00522B3B">
      <w:pPr>
        <w:pStyle w:val="ParaNum"/>
      </w:pPr>
      <w:r>
        <w:t xml:space="preserve">Pursuant to Section 309(e) of the </w:t>
      </w:r>
      <w:r w:rsidR="00854465">
        <w:t>Act</w:t>
      </w:r>
      <w:r>
        <w:t>,</w:t>
      </w:r>
      <w:r>
        <w:rPr>
          <w:rStyle w:val="FootnoteReference"/>
        </w:rPr>
        <w:footnoteReference w:id="28"/>
      </w:r>
      <w:r>
        <w:t xml:space="preserve"> informal objections, like petitions to deny, must provide properly supported allegations of fact that, if true, would establish a substantial and material question of fact that grant of the application would be </w:t>
      </w:r>
      <w:r>
        <w:rPr>
          <w:i/>
        </w:rPr>
        <w:t>prima facie</w:t>
      </w:r>
      <w:r>
        <w:t xml:space="preserve"> inconsistent with Section 309(a) of the </w:t>
      </w:r>
      <w:r>
        <w:t>Act.</w:t>
      </w:r>
      <w:r>
        <w:rPr>
          <w:rStyle w:val="FootnoteReference"/>
        </w:rPr>
        <w:footnoteReference w:id="29"/>
      </w:r>
      <w:r>
        <w:t xml:space="preserve">  </w:t>
      </w:r>
    </w:p>
    <w:p w:rsidR="00522B3B" w:rsidRPr="001F12B1" w:rsidP="004D5F69">
      <w:pPr>
        <w:pStyle w:val="ParaNum"/>
        <w:widowControl/>
        <w:rPr>
          <w:szCs w:val="22"/>
        </w:rPr>
      </w:pPr>
      <w:r>
        <w:rPr>
          <w:szCs w:val="22"/>
        </w:rPr>
        <w:t xml:space="preserve">WGH has failed to meet that burden here.  The gravamen of its objection is that the Commission should not allow Cumulus’ foreign ownership to exceed the statutory 25% benchmark in Section 310(b)(4) of the Act.  As correctly observed by Cumulus, that issue is not </w:t>
      </w:r>
      <w:r w:rsidR="0088526A">
        <w:rPr>
          <w:szCs w:val="22"/>
        </w:rPr>
        <w:t xml:space="preserve">yet </w:t>
      </w:r>
      <w:r>
        <w:rPr>
          <w:szCs w:val="22"/>
        </w:rPr>
        <w:t xml:space="preserve">before the Bureau.  WGH may raise this argument in connection with Cumulus’ anticipated Petition for Declaratory Ruling under Section 310(b)(4), and it will receive full consideration there.  </w:t>
      </w:r>
      <w:r w:rsidR="00A07109">
        <w:rPr>
          <w:szCs w:val="22"/>
        </w:rPr>
        <w:t xml:space="preserve">With respect to WGH’s offhand assertion that </w:t>
      </w:r>
      <w:r w:rsidR="00183A87">
        <w:t>Cumulus has not provided the Commission with information about the full extent of its current foreign ownership, nor has it provided any information about what nations this foreign ownership comes from, we note that Cumulus certified in the Transfer Applications that the proposal complied with Section 310(d) of the Act, and it has provided a mechanism pursuant to which it intends to ensure that its foreign ownership will not exceed 22.5%, at least until the resolution of any subsequent Petition for Declaratory Ruling</w:t>
      </w:r>
      <w:r w:rsidRPr="00183A87" w:rsidR="00183A87">
        <w:rPr>
          <w:szCs w:val="22"/>
        </w:rPr>
        <w:t xml:space="preserve">.  </w:t>
      </w:r>
      <w:r w:rsidRPr="00183A87" w:rsidR="00183A87">
        <w:rPr>
          <w:color w:val="212121"/>
          <w:szCs w:val="22"/>
        </w:rPr>
        <w:t xml:space="preserve">Absent the submission of any properly supported facts that raise an issue as to the validity of the </w:t>
      </w:r>
      <w:r w:rsidRPr="00183A87" w:rsidR="00183A87">
        <w:rPr>
          <w:bCs/>
          <w:color w:val="252525"/>
          <w:szCs w:val="22"/>
        </w:rPr>
        <w:t>certification</w:t>
      </w:r>
      <w:r w:rsidRPr="00183A87" w:rsidR="00183A87">
        <w:rPr>
          <w:color w:val="212121"/>
          <w:szCs w:val="22"/>
        </w:rPr>
        <w:t>, the Commission may properly rely on an applicant</w:t>
      </w:r>
      <w:r w:rsidR="00EE0336">
        <w:rPr>
          <w:color w:val="212121"/>
          <w:szCs w:val="22"/>
        </w:rPr>
        <w:t>’</w:t>
      </w:r>
      <w:r w:rsidRPr="00183A87" w:rsidR="00183A87">
        <w:rPr>
          <w:color w:val="212121"/>
          <w:szCs w:val="22"/>
        </w:rPr>
        <w:t xml:space="preserve">s affirmative </w:t>
      </w:r>
      <w:r w:rsidRPr="00183A87" w:rsidR="00183A87">
        <w:rPr>
          <w:bCs/>
          <w:color w:val="252525"/>
          <w:szCs w:val="22"/>
        </w:rPr>
        <w:t>certification</w:t>
      </w:r>
      <w:r w:rsidRPr="00183A87" w:rsidR="00183A87">
        <w:rPr>
          <w:color w:val="212121"/>
          <w:szCs w:val="22"/>
        </w:rPr>
        <w:t xml:space="preserve"> under penalty of perjury that the applicant complies with the foreign ownership provisions of Section 310(b) of the Act.</w:t>
      </w:r>
      <w:r>
        <w:rPr>
          <w:rStyle w:val="FootnoteReference"/>
          <w:szCs w:val="22"/>
        </w:rPr>
        <w:footnoteReference w:id="30"/>
      </w:r>
      <w:r w:rsidRPr="001F12B1" w:rsidR="00183A87">
        <w:rPr>
          <w:szCs w:val="22"/>
        </w:rPr>
        <w:t xml:space="preserve"> </w:t>
      </w:r>
    </w:p>
    <w:p w:rsidR="007503AB" w:rsidRPr="007B4238" w:rsidP="009C2CC8">
      <w:pPr>
        <w:pStyle w:val="ParaNum"/>
        <w:widowControl/>
        <w:rPr>
          <w:i/>
        </w:rPr>
      </w:pPr>
      <w:r w:rsidRPr="004D5F69">
        <w:rPr>
          <w:i/>
        </w:rPr>
        <w:t>Pending License Renewal Application</w:t>
      </w:r>
      <w:r>
        <w:t xml:space="preserve">.  </w:t>
      </w:r>
      <w:r w:rsidR="00440C9C">
        <w:t>The license renewal application of Cumulus Licensing LLC FM Translator Station W255CJ, Atlanta, Georgia,</w:t>
      </w:r>
      <w:r>
        <w:rPr>
          <w:rStyle w:val="FootnoteReference"/>
        </w:rPr>
        <w:footnoteReference w:id="31"/>
      </w:r>
      <w:r w:rsidR="00440C9C">
        <w:t xml:space="preserve"> remains pending as of this date. </w:t>
      </w:r>
      <w:r w:rsidRPr="004D5F69">
        <w:rPr>
          <w:szCs w:val="22"/>
        </w:rPr>
        <w:t>Commission policy permits the processing of multi-station, multi-market transfer of control applications that involve a subset of stations with pending renewal applications if:  (1) there are no basic qualifications issues outstanding with respect to the transferor and transferee; and (2) the transferee explicitly agrees to stand in the shoes of the transferor in any renewal proceeding that is pending at the time of consummation of the transfer of control.</w:t>
      </w:r>
      <w:r>
        <w:rPr>
          <w:rStyle w:val="FootnoteReference"/>
          <w:szCs w:val="22"/>
        </w:rPr>
        <w:footnoteReference w:id="32"/>
      </w:r>
      <w:r w:rsidRPr="004D5F69">
        <w:rPr>
          <w:szCs w:val="22"/>
        </w:rPr>
        <w:t xml:space="preserve">  </w:t>
      </w:r>
      <w:r w:rsidR="003370D8">
        <w:rPr>
          <w:szCs w:val="22"/>
        </w:rPr>
        <w:t>T</w:t>
      </w:r>
      <w:r>
        <w:t xml:space="preserve">ransferees have agreed to succeed to the transferors’ position with respect to any future renewal proceeding consistent with the procedures set forth in </w:t>
      </w:r>
      <w:r w:rsidRPr="004D5F69">
        <w:rPr>
          <w:i/>
          <w:iCs/>
        </w:rPr>
        <w:t>Shareholders of CBS Corporation</w:t>
      </w:r>
      <w:r>
        <w:t>.</w:t>
      </w:r>
      <w:r>
        <w:rPr>
          <w:rStyle w:val="FootnoteReference"/>
        </w:rPr>
        <w:footnoteReference w:id="33"/>
      </w:r>
    </w:p>
    <w:p w:rsidR="007503AB" w:rsidP="007503AB">
      <w:pPr>
        <w:pStyle w:val="ParaNum"/>
        <w:widowControl/>
      </w:pPr>
      <w:r>
        <w:rPr>
          <w:i/>
        </w:rPr>
        <w:t>Divestiture Trust</w:t>
      </w:r>
      <w:r w:rsidRPr="00D15848">
        <w:rPr>
          <w:i/>
        </w:rPr>
        <w:t xml:space="preserve"> Stations.  </w:t>
      </w:r>
      <w:r w:rsidRPr="00D15848">
        <w:t xml:space="preserve">To ensure compliance with the local radio ownership rule, we impose a condition requiring that </w:t>
      </w:r>
      <w:r>
        <w:t xml:space="preserve">Cumulus’ assignment of the </w:t>
      </w:r>
      <w:r w:rsidRPr="00D15848">
        <w:t xml:space="preserve">Trust Stations to </w:t>
      </w:r>
      <w:r w:rsidR="00546B8D">
        <w:t>MS</w:t>
      </w:r>
      <w:r w:rsidRPr="00D15848">
        <w:t>T pursuant to the Divestiture Applications occur prior to or simultaneously with the consummation of the</w:t>
      </w:r>
      <w:r w:rsidR="00A07C52">
        <w:t xml:space="preserve"> transfer of control</w:t>
      </w:r>
      <w:r w:rsidRPr="00D15848">
        <w:t xml:space="preserve">.  </w:t>
      </w:r>
      <w:r w:rsidR="00546B8D">
        <w:t xml:space="preserve">Additionally, we require </w:t>
      </w:r>
      <w:r w:rsidR="00EA4599">
        <w:t>MST</w:t>
      </w:r>
      <w:r w:rsidRPr="00D15848">
        <w:t xml:space="preserve"> </w:t>
      </w:r>
      <w:r w:rsidR="00546B8D">
        <w:t>to assign the licenses of the four trust stations to an una</w:t>
      </w:r>
      <w:r w:rsidR="009B2F9E">
        <w:t>f</w:t>
      </w:r>
      <w:r w:rsidR="00546B8D">
        <w:t xml:space="preserve">filiated buyer within two years </w:t>
      </w:r>
      <w:r w:rsidR="00B21071">
        <w:t xml:space="preserve">and to </w:t>
      </w:r>
      <w:r w:rsidRPr="00D15848">
        <w:t xml:space="preserve">provide the Commission with a detailed explanation of its efforts to sell such stations in the confidential report referenced in Section 4(g) of the Trust Agreements submitted with the Divestiture Applications at six-month intervals until all stations held by </w:t>
      </w:r>
      <w:r w:rsidR="00546B8D">
        <w:t>MS</w:t>
      </w:r>
      <w:r w:rsidRPr="00D15848">
        <w:t xml:space="preserve">T are sold.  </w:t>
      </w:r>
    </w:p>
    <w:p w:rsidR="005D353D" w:rsidRPr="00FF4DE3" w:rsidP="009C2CC8">
      <w:pPr>
        <w:pStyle w:val="ParaNum"/>
        <w:widowControl/>
        <w:rPr>
          <w:i/>
        </w:rPr>
      </w:pPr>
      <w:r w:rsidRPr="00FF4DE3">
        <w:rPr>
          <w:i/>
        </w:rPr>
        <w:t>Pending Application</w:t>
      </w:r>
      <w:r>
        <w:t>.</w:t>
      </w:r>
      <w:r w:rsidR="0094383A">
        <w:t xml:space="preserve">  Cumulus currently has pending before the Commission a number of applications for new FM translator stations filed in Auction 100,</w:t>
      </w:r>
      <w:r>
        <w:rPr>
          <w:rStyle w:val="FootnoteReference"/>
        </w:rPr>
        <w:footnoteReference w:id="34"/>
      </w:r>
      <w:r w:rsidR="0094383A">
        <w:t xml:space="preserve"> including </w:t>
      </w:r>
      <w:r w:rsidR="008D645B">
        <w:t>one</w:t>
      </w:r>
      <w:r w:rsidR="0094383A">
        <w:t xml:space="preserve"> that remain</w:t>
      </w:r>
      <w:r w:rsidR="008D645B">
        <w:t>s</w:t>
      </w:r>
      <w:r w:rsidR="0094383A">
        <w:t xml:space="preserve"> mutually exclusive with other applicants.</w:t>
      </w:r>
      <w:r>
        <w:rPr>
          <w:rStyle w:val="FootnoteReference"/>
        </w:rPr>
        <w:footnoteReference w:id="35"/>
      </w:r>
      <w:r w:rsidR="002D2478">
        <w:t xml:space="preserve">  </w:t>
      </w:r>
      <w:r w:rsidR="0083724D">
        <w:t>Section 1.2105(b)(2)</w:t>
      </w:r>
      <w:r w:rsidR="00D73F09">
        <w:t xml:space="preserve"> of the Rules</w:t>
      </w:r>
      <w:r w:rsidR="0083724D">
        <w:t xml:space="preserve"> provides that an auction applicant that undertakes a major change, including a change of ownership that would constitute an assignment or transfer of control, after the short-form application deadline will be disqualified from participating in bidding.</w:t>
      </w:r>
      <w:r>
        <w:rPr>
          <w:rStyle w:val="FootnoteReference"/>
        </w:rPr>
        <w:footnoteReference w:id="36"/>
      </w:r>
      <w:r w:rsidR="0083724D">
        <w:t xml:space="preserve">  Accordingly, to the extent that </w:t>
      </w:r>
      <w:r w:rsidR="00AC6C9B">
        <w:t>this</w:t>
      </w:r>
      <w:r w:rsidR="0083724D">
        <w:t xml:space="preserve"> application remain</w:t>
      </w:r>
      <w:r w:rsidR="00AC6C9B">
        <w:t>s</w:t>
      </w:r>
      <w:r w:rsidR="0083724D">
        <w:t xml:space="preserve"> pending after the transaction approved here has been consummated, </w:t>
      </w:r>
      <w:r w:rsidR="00AC6C9B">
        <w:t>it is</w:t>
      </w:r>
      <w:r w:rsidR="0083724D">
        <w:t xml:space="preserve"> subject to dismissal.</w:t>
      </w:r>
    </w:p>
    <w:p w:rsidR="007503AB" w:rsidRPr="00D15848" w:rsidP="007503AB">
      <w:pPr>
        <w:pStyle w:val="Heading1"/>
        <w:widowControl/>
      </w:pPr>
      <w:r w:rsidRPr="00D15848">
        <w:t>CONCLUSION</w:t>
      </w:r>
    </w:p>
    <w:p w:rsidR="007503AB" w:rsidRPr="00D15848" w:rsidP="007503AB">
      <w:pPr>
        <w:pStyle w:val="ParaNum"/>
        <w:widowControl/>
        <w:rPr>
          <w:szCs w:val="22"/>
        </w:rPr>
      </w:pPr>
      <w:r w:rsidRPr="00D15848">
        <w:t xml:space="preserve">We have reviewed the proposed </w:t>
      </w:r>
      <w:r w:rsidR="00662648">
        <w:t>transfer</w:t>
      </w:r>
      <w:r w:rsidRPr="00D15848">
        <w:t xml:space="preserve">, the applications for its approval, and related comments.  We conclude that the </w:t>
      </w:r>
      <w:r w:rsidRPr="00D15848">
        <w:rPr>
          <w:szCs w:val="22"/>
        </w:rPr>
        <w:t>applicants</w:t>
      </w:r>
      <w:r w:rsidRPr="00D15848">
        <w:t xml:space="preserve"> are fully qualified and that grant of the </w:t>
      </w:r>
      <w:r w:rsidR="00C41D3A">
        <w:t>Transfer</w:t>
      </w:r>
      <w:r w:rsidR="00662648">
        <w:t xml:space="preserve"> Applications and the Divestiture</w:t>
      </w:r>
      <w:r w:rsidRPr="00D15848">
        <w:t xml:space="preserve"> Applications, subject to the condition</w:t>
      </w:r>
      <w:r>
        <w:t>s</w:t>
      </w:r>
      <w:r w:rsidRPr="00D15848">
        <w:t xml:space="preserve"> set forth herein, </w:t>
      </w:r>
      <w:r w:rsidR="006C19E0">
        <w:t>complies with all pertinent statutory and regulatory requirements (including the local radio ownership provisions of Section 73.3555(a)(1) of the Rules</w:t>
      </w:r>
      <w:r>
        <w:rPr>
          <w:rStyle w:val="FootnoteReference"/>
        </w:rPr>
        <w:footnoteReference w:id="37"/>
      </w:r>
      <w:r w:rsidR="006C19E0">
        <w:t xml:space="preserve"> in each pertinent market) and </w:t>
      </w:r>
      <w:r w:rsidRPr="00D15848">
        <w:t>will serve the public interest, convenience, and necessity.</w:t>
      </w:r>
    </w:p>
    <w:p w:rsidR="007503AB" w:rsidRPr="00D15848" w:rsidP="007503AB">
      <w:pPr>
        <w:pStyle w:val="Heading1"/>
        <w:widowControl/>
      </w:pPr>
      <w:r w:rsidRPr="00D15848">
        <w:t>ORDERING CLAUSES</w:t>
      </w:r>
    </w:p>
    <w:p w:rsidR="00F447EF" w:rsidP="007503AB">
      <w:pPr>
        <w:pStyle w:val="ParaNum"/>
        <w:widowControl/>
      </w:pPr>
      <w:r>
        <w:t>Accordingly,</w:t>
      </w:r>
      <w:r w:rsidR="000A4A96">
        <w:t xml:space="preserve"> for the reasons set forth above,</w:t>
      </w:r>
      <w:r>
        <w:t xml:space="preserve"> IT IS ORDERED, </w:t>
      </w:r>
      <w:r w:rsidR="000A4A96">
        <w:t xml:space="preserve">that the Petition to Deny filed by </w:t>
      </w:r>
      <w:r w:rsidR="00662648">
        <w:t xml:space="preserve">WGH Communications, Inc. </w:t>
      </w:r>
      <w:r w:rsidR="000A4A96">
        <w:t>on April 30, 2018,</w:t>
      </w:r>
      <w:r w:rsidR="00662648">
        <w:t xml:space="preserve"> treated herein as an Informal Objection,</w:t>
      </w:r>
      <w:r w:rsidR="000A4A96">
        <w:t xml:space="preserve"> IS DENIED.</w:t>
      </w:r>
    </w:p>
    <w:p w:rsidR="007503AB" w:rsidP="007503AB">
      <w:pPr>
        <w:pStyle w:val="ParaNum"/>
        <w:widowControl/>
      </w:pPr>
      <w:r>
        <w:t xml:space="preserve">IT IS FURTHER ORDERED that, </w:t>
      </w:r>
      <w:r w:rsidRPr="00D15848">
        <w:t>pursuant to sections 4(i), 4(j), 309, and 310(d) of the Communications Act of 1934, as amended, 47 U.S.C. §§ 154(i), 154(j), 309, 310(d), and Sections 0.61(a) and 0.283 of the Commission’s Rules,</w:t>
      </w:r>
      <w:r>
        <w:rPr>
          <w:rStyle w:val="FootnoteReference"/>
        </w:rPr>
        <w:footnoteReference w:id="38"/>
      </w:r>
      <w:r w:rsidRPr="00D15848">
        <w:t xml:space="preserve"> that the applications for consent to the transfers of control of </w:t>
      </w:r>
      <w:r w:rsidR="00F447EF">
        <w:t>Cumulus Media Inc</w:t>
      </w:r>
      <w:r w:rsidRPr="00D15848">
        <w:t xml:space="preserve">. and of </w:t>
      </w:r>
      <w:r w:rsidR="00F447EF">
        <w:t>Cumulus Licensing, LLC; Radio License Holding CBC, LLC; Radio License Holding SRC, LLC; Radio License Holdings LLC; CMP Houston-KC LLC; KLIF Lico, Inc.; and KPLX Lico, Inc.</w:t>
      </w:r>
      <w:r w:rsidRPr="00D15848">
        <w:t xml:space="preserve"> and for consent to the assignment of licenses from </w:t>
      </w:r>
      <w:r w:rsidR="00F447EF">
        <w:t xml:space="preserve">Cumulus Licensing LLC </w:t>
      </w:r>
      <w:r w:rsidRPr="00D15848">
        <w:t xml:space="preserve">to The </w:t>
      </w:r>
      <w:r w:rsidR="00F447EF">
        <w:t xml:space="preserve">Mainstay Station </w:t>
      </w:r>
      <w:r w:rsidRPr="00D15848">
        <w:t>Trust</w:t>
      </w:r>
      <w:r w:rsidR="00F447EF">
        <w:t xml:space="preserve"> LLC</w:t>
      </w:r>
      <w:r w:rsidRPr="00D15848">
        <w:t xml:space="preserve">, listed in the Appendix, or as otherwise listed previously in the Commission’s public notices, ARE GRANTED, SUBJECT TO THE FOLLOWING CONDITIONS:  </w:t>
      </w:r>
    </w:p>
    <w:p w:rsidR="003B4664" w:rsidP="003B4664">
      <w:pPr>
        <w:pStyle w:val="ParaNum"/>
        <w:numPr>
          <w:ilvl w:val="0"/>
          <w:numId w:val="0"/>
        </w:numPr>
        <w:ind w:left="720"/>
      </w:pPr>
      <w:r w:rsidRPr="00D15848">
        <w:t xml:space="preserve">The transfer of control of </w:t>
      </w:r>
      <w:r>
        <w:t>Cumulus Media, Inc., Debtor-in-Possession</w:t>
      </w:r>
      <w:r w:rsidRPr="00D15848">
        <w:t xml:space="preserve"> shall take place subsequent to or simultaneously with the complete consummation of the assignment of licenses for the radio stations specified in the applications for consent to assignment of licenses </w:t>
      </w:r>
      <w:r>
        <w:t xml:space="preserve">Cumulus Licensing </w:t>
      </w:r>
      <w:r>
        <w:t xml:space="preserve">LLC to </w:t>
      </w:r>
      <w:r w:rsidRPr="00D15848">
        <w:t xml:space="preserve">The </w:t>
      </w:r>
      <w:r>
        <w:t>Mainstay</w:t>
      </w:r>
      <w:r w:rsidRPr="00D15848">
        <w:t xml:space="preserve"> </w:t>
      </w:r>
      <w:r>
        <w:t>Station</w:t>
      </w:r>
      <w:r w:rsidRPr="00D15848">
        <w:t xml:space="preserve"> Trust</w:t>
      </w:r>
      <w:r>
        <w:t xml:space="preserve"> LLC</w:t>
      </w:r>
      <w:r w:rsidRPr="00D15848">
        <w:t xml:space="preserve"> (File Nos. BALH-201</w:t>
      </w:r>
      <w:r>
        <w:t>80326ABX</w:t>
      </w:r>
      <w:r w:rsidRPr="00D15848">
        <w:t>,</w:t>
      </w:r>
      <w:r w:rsidRPr="00D15848">
        <w:rPr>
          <w:i/>
        </w:rPr>
        <w:t xml:space="preserve"> et al</w:t>
      </w:r>
      <w:r>
        <w:rPr>
          <w:i/>
        </w:rPr>
        <w:t>.</w:t>
      </w:r>
      <w:r>
        <w:t>)</w:t>
      </w:r>
    </w:p>
    <w:p w:rsidR="007503AB" w:rsidP="00717E4E">
      <w:pPr>
        <w:widowControl/>
        <w:ind w:left="720"/>
        <w:rPr>
          <w:color w:val="212121"/>
          <w:szCs w:val="22"/>
        </w:rPr>
      </w:pPr>
      <w:r>
        <w:rPr>
          <w:color w:val="212121"/>
          <w:szCs w:val="22"/>
        </w:rPr>
        <w:t xml:space="preserve">The </w:t>
      </w:r>
      <w:r w:rsidRPr="00717E4E" w:rsidR="00717E4E">
        <w:rPr>
          <w:color w:val="212121"/>
          <w:szCs w:val="22"/>
        </w:rPr>
        <w:t>licenses and authorizations issued by the Commission for each of the Stations (WNUQ(FM), Sylvester, GA, Fac. ID  No. 66942</w:t>
      </w:r>
      <w:r w:rsidR="000D4307">
        <w:rPr>
          <w:color w:val="212121"/>
          <w:szCs w:val="22"/>
        </w:rPr>
        <w:t xml:space="preserve">; </w:t>
      </w:r>
      <w:r w:rsidRPr="00717E4E" w:rsidR="00717E4E">
        <w:rPr>
          <w:color w:val="212121"/>
          <w:szCs w:val="22"/>
        </w:rPr>
        <w:t>WPCK(FM), Denmark, WI, Fac. ID  No. 119; WTOD(FM), Delta, OH, Fac. ID No. 67275</w:t>
      </w:r>
      <w:r w:rsidR="000D4307">
        <w:rPr>
          <w:color w:val="212121"/>
          <w:szCs w:val="22"/>
        </w:rPr>
        <w:t xml:space="preserve">) </w:t>
      </w:r>
      <w:r w:rsidRPr="00717E4E" w:rsidR="00717E4E">
        <w:rPr>
          <w:color w:val="212121"/>
          <w:szCs w:val="22"/>
        </w:rPr>
        <w:t>must be assigned by The Mainstay Station Trust LLC, pursuant to long-form (FCC Form 314) assignment of license application(s), to third parties within two years after its acquisition of the assets of the Stations, and The Mainstay Station Trust LLC must submit (to the attention of the Chief, Audio Division, Media Bureau), every six months after its acquisition of such assets, a report describing the efforts to market those assets to third parties.</w:t>
      </w:r>
    </w:p>
    <w:p w:rsidR="00FC6214" w:rsidP="00717E4E">
      <w:pPr>
        <w:widowControl/>
        <w:ind w:left="720"/>
        <w:rPr>
          <w:color w:val="212121"/>
          <w:szCs w:val="22"/>
        </w:rPr>
      </w:pPr>
    </w:p>
    <w:p w:rsidR="00FC6214" w:rsidP="00E733BB">
      <w:pPr>
        <w:rPr>
          <w:snapToGrid/>
          <w:kern w:val="0"/>
          <w:sz w:val="20"/>
        </w:rPr>
      </w:pPr>
      <w:r>
        <w:t xml:space="preserve">             </w:t>
      </w:r>
      <w:r>
        <w:t>The construction permits expire on November 27, 2020 for WXLO-FM1, Fac.</w:t>
      </w:r>
    </w:p>
    <w:p w:rsidR="00FC6214" w:rsidP="00E733BB">
      <w:r>
        <w:t xml:space="preserve">             </w:t>
      </w:r>
      <w:r>
        <w:t>ID No. 201850, WXLO-FM2, Fac. ID No. 201849, and WXLO-FM3, Fac. ID No.</w:t>
      </w:r>
    </w:p>
    <w:p w:rsidR="00FC6214" w:rsidP="00E733BB">
      <w:r>
        <w:t xml:space="preserve">             </w:t>
      </w:r>
      <w:r>
        <w:t>201847; January 16, 2021 for W253CK, Fac. ID No. 200867; January 23,</w:t>
      </w:r>
    </w:p>
    <w:p w:rsidR="00FC6214" w:rsidP="008636FA">
      <w:pPr>
        <w:ind w:left="720"/>
      </w:pPr>
      <w:r>
        <w:t>2021 for W287DG, Fac. ID No. 200870 and W270DJ, Fac. ID No. 200869; January 24, 2021 for W256DM, Fac. ID No. 200868 and W291DJ, Fac. ID No.</w:t>
      </w:r>
      <w:r w:rsidR="008636FA">
        <w:t xml:space="preserve"> </w:t>
      </w:r>
      <w:r>
        <w:t>200865; January 25, 2021 for W251CT, Fac. ID No. 200871; and February 13, 2021 for W255DH, Fac. ID No. 200864.  Commission rules which became effective on February 16, 1999, have a bearing on these construction permits.  See Streamlining of Mass Media Applications, Report and Order, MM Docket No. 98-43, 13 FCC Rcd 23056 (1999).  Pursuant to these rules, consummation of the transfer of control consented to herein will not extend the expiration date of the permits.  The construction permits will be subject to automatic forfeiture unless construction is complete</w:t>
      </w:r>
      <w:r w:rsidR="008A7624">
        <w:t>d</w:t>
      </w:r>
      <w:r>
        <w:t xml:space="preserve"> and applications for license to cover are filed prior to expiration.</w:t>
      </w:r>
    </w:p>
    <w:p w:rsidR="000908FE" w:rsidP="008636FA">
      <w:pPr>
        <w:ind w:left="720"/>
      </w:pPr>
    </w:p>
    <w:p w:rsidR="000908FE" w:rsidRPr="00C91AB2" w:rsidP="000908FE">
      <w:pPr>
        <w:autoSpaceDE w:val="0"/>
        <w:autoSpaceDN w:val="0"/>
        <w:adjustRightInd w:val="0"/>
        <w:ind w:left="720"/>
        <w:rPr>
          <w:szCs w:val="22"/>
        </w:rPr>
      </w:pPr>
      <w:r w:rsidRPr="00C91AB2">
        <w:rPr>
          <w:szCs w:val="22"/>
        </w:rPr>
        <w:t>The construction permits expire on January 16, 2021 for W271DC, Fac. ID</w:t>
      </w:r>
      <w:r>
        <w:rPr>
          <w:szCs w:val="22"/>
        </w:rPr>
        <w:t xml:space="preserve"> </w:t>
      </w:r>
      <w:r w:rsidRPr="00C91AB2">
        <w:rPr>
          <w:szCs w:val="22"/>
        </w:rPr>
        <w:t>No. 200845; January 11, 2021 for K278CT, Fac. ID No. 200849 and K249FD,</w:t>
      </w:r>
      <w:r>
        <w:rPr>
          <w:szCs w:val="22"/>
        </w:rPr>
        <w:t xml:space="preserve"> </w:t>
      </w:r>
      <w:r w:rsidRPr="00C91AB2">
        <w:rPr>
          <w:szCs w:val="22"/>
        </w:rPr>
        <w:t>Fac. ID No. 200851; January 16, 2021 for W297CG, Fac. ID No. 200852,</w:t>
      </w:r>
      <w:r>
        <w:rPr>
          <w:szCs w:val="22"/>
        </w:rPr>
        <w:t xml:space="preserve"> </w:t>
      </w:r>
      <w:r w:rsidRPr="00C91AB2">
        <w:rPr>
          <w:szCs w:val="22"/>
        </w:rPr>
        <w:t>W300DL, Fac. ID No. 200857, and W289CL, Fac. ID No. 200859; January 23,</w:t>
      </w:r>
      <w:r>
        <w:rPr>
          <w:szCs w:val="22"/>
        </w:rPr>
        <w:t xml:space="preserve"> </w:t>
      </w:r>
      <w:r w:rsidRPr="00C91AB2">
        <w:rPr>
          <w:szCs w:val="22"/>
        </w:rPr>
        <w:t>2021 for W257ED, Fac. ID No. 200841 and W231DS, Fac. ID No. 200856;</w:t>
      </w:r>
    </w:p>
    <w:p w:rsidR="000908FE" w:rsidRPr="00C91AB2" w:rsidP="000908FE">
      <w:pPr>
        <w:autoSpaceDE w:val="0"/>
        <w:autoSpaceDN w:val="0"/>
        <w:adjustRightInd w:val="0"/>
        <w:ind w:left="720"/>
        <w:rPr>
          <w:szCs w:val="22"/>
        </w:rPr>
      </w:pPr>
      <w:r w:rsidRPr="00C91AB2">
        <w:rPr>
          <w:szCs w:val="22"/>
        </w:rPr>
        <w:t>January 24, 2021 for K244FT, Fac. ID No. 200843, W238DA, Fac. ID No.</w:t>
      </w:r>
      <w:r>
        <w:rPr>
          <w:szCs w:val="22"/>
        </w:rPr>
        <w:t xml:space="preserve"> </w:t>
      </w:r>
      <w:r w:rsidRPr="00C91AB2">
        <w:rPr>
          <w:szCs w:val="22"/>
        </w:rPr>
        <w:t>200854, K255DJ, Fac. ID No. 200847, and W269DP, Fac. ID No. 200846;</w:t>
      </w:r>
      <w:r>
        <w:rPr>
          <w:szCs w:val="22"/>
        </w:rPr>
        <w:t xml:space="preserve"> </w:t>
      </w:r>
      <w:r w:rsidRPr="00C91AB2">
        <w:rPr>
          <w:szCs w:val="22"/>
        </w:rPr>
        <w:t>January 25, 2021 for W245DD, Fac. ID No. 200858; and January 26, 2021</w:t>
      </w:r>
      <w:r>
        <w:rPr>
          <w:szCs w:val="22"/>
        </w:rPr>
        <w:t xml:space="preserve"> </w:t>
      </w:r>
      <w:r w:rsidRPr="00C91AB2">
        <w:rPr>
          <w:szCs w:val="22"/>
        </w:rPr>
        <w:t xml:space="preserve">for K230CF, Fac. ID No. 200860. </w:t>
      </w:r>
      <w:r>
        <w:rPr>
          <w:szCs w:val="22"/>
        </w:rPr>
        <w:t xml:space="preserve"> </w:t>
      </w:r>
      <w:r w:rsidRPr="00C91AB2">
        <w:rPr>
          <w:szCs w:val="22"/>
        </w:rPr>
        <w:t>The construction permits will be subject to automatic forfeiture unless construction is complete</w:t>
      </w:r>
      <w:r w:rsidR="00D4284A">
        <w:rPr>
          <w:szCs w:val="22"/>
        </w:rPr>
        <w:t>d and</w:t>
      </w:r>
      <w:r w:rsidRPr="00C91AB2">
        <w:rPr>
          <w:szCs w:val="22"/>
        </w:rPr>
        <w:t xml:space="preserve"> applications for license to cover are filed prior to expiration. </w:t>
      </w:r>
    </w:p>
    <w:p w:rsidR="008636FA" w:rsidP="008636FA">
      <w:pPr>
        <w:ind w:left="720"/>
      </w:pPr>
    </w:p>
    <w:p w:rsidR="00FC6214" w:rsidP="00E733BB">
      <w:pPr>
        <w:ind w:left="720"/>
      </w:pPr>
      <w:r>
        <w:t xml:space="preserve">Commission records reflect that station KNEK(AM), </w:t>
      </w:r>
      <w:r w:rsidR="002C7A1A">
        <w:t>Washington, Louisiana, Fac. ID No. 15801,</w:t>
      </w:r>
      <w:r>
        <w:t xml:space="preserve"> has been off the air since February 12, 2018.  Therefore, the license for this station will expire as a matter of law if the station does not resume broadcast operations by February 13, 2019, 12:01</w:t>
      </w:r>
      <w:r w:rsidR="002C7A1A">
        <w:t xml:space="preserve"> </w:t>
      </w:r>
      <w:r>
        <w:t>AM.  See Pub. Law No. 104-104, 110 Stat. 56, Sec. 403(l), codified at 47 U.S.C. §312(g).</w:t>
      </w:r>
    </w:p>
    <w:p w:rsidR="00FC6214" w:rsidP="00E733BB">
      <w:pPr>
        <w:widowControl/>
        <w:ind w:left="720"/>
        <w:rPr>
          <w:color w:val="212121"/>
          <w:szCs w:val="22"/>
        </w:rPr>
      </w:pPr>
    </w:p>
    <w:p w:rsidR="002C7A1A" w:rsidP="002C7A1A">
      <w:pPr>
        <w:ind w:left="720"/>
      </w:pPr>
      <w:r>
        <w:t xml:space="preserve">Commission records reflect that station KRWP(AM), Stockton, Missouri, Fac. ID No. 78693, has been off the air since January 17, 2018.  Therefore, the license for this station will expire as a matter of law if the station does not resume broadcast operations by January 18, 2019, 12:01 AM.  </w:t>
      </w:r>
    </w:p>
    <w:p w:rsidR="002C7A1A" w:rsidP="002C7A1A">
      <w:pPr>
        <w:ind w:left="720"/>
      </w:pPr>
    </w:p>
    <w:p w:rsidR="002C7A1A" w:rsidP="002C7A1A">
      <w:pPr>
        <w:ind w:left="720"/>
      </w:pPr>
      <w:r>
        <w:t xml:space="preserve">Commission records reflect that station KIKR(FM), Beaumont, Texas, Fac. ID No. 52406, has been off the air since March 5, 2018.  Therefore, the license for this station will expire as a matter of law if the station does not resume broadcast operations by </w:t>
      </w:r>
      <w:r w:rsidR="00314162">
        <w:t>March</w:t>
      </w:r>
      <w:r>
        <w:t xml:space="preserve"> 6, 2019, 12:01 AM.  </w:t>
      </w:r>
    </w:p>
    <w:p w:rsidR="002C7A1A" w:rsidP="002C7A1A">
      <w:pPr>
        <w:ind w:left="720"/>
      </w:pPr>
    </w:p>
    <w:p w:rsidR="004623FE" w:rsidRPr="004623FE" w:rsidP="00717E4E">
      <w:pPr>
        <w:widowControl/>
        <w:ind w:left="720"/>
        <w:rPr>
          <w:i/>
          <w:szCs w:val="22"/>
        </w:rPr>
      </w:pPr>
      <w:r>
        <w:rPr>
          <w:color w:val="212121"/>
          <w:szCs w:val="22"/>
        </w:rPr>
        <w:t>The FM Translator licensee must notify the Federal Communications Commission, Office of the Secretary, 445 12</w:t>
      </w:r>
      <w:r w:rsidRPr="004623FE">
        <w:rPr>
          <w:color w:val="212121"/>
          <w:szCs w:val="22"/>
          <w:vertAlign w:val="superscript"/>
        </w:rPr>
        <w:t>th</w:t>
      </w:r>
      <w:r>
        <w:rPr>
          <w:color w:val="212121"/>
          <w:szCs w:val="22"/>
        </w:rPr>
        <w:t xml:space="preserve"> Street, S.W., Washington, DC 20554 of any change in the station</w:t>
      </w:r>
      <w:r w:rsidR="00355000">
        <w:rPr>
          <w:color w:val="212121"/>
          <w:szCs w:val="22"/>
        </w:rPr>
        <w:t>s</w:t>
      </w:r>
      <w:r>
        <w:rPr>
          <w:color w:val="212121"/>
          <w:szCs w:val="22"/>
        </w:rPr>
        <w:t xml:space="preserve"> that will be rebroadcast.  The </w:t>
      </w:r>
      <w:r w:rsidR="00355000">
        <w:rPr>
          <w:color w:val="212121"/>
          <w:szCs w:val="22"/>
        </w:rPr>
        <w:t xml:space="preserve">FM Translator licensee </w:t>
      </w:r>
      <w:r>
        <w:rPr>
          <w:color w:val="212121"/>
          <w:szCs w:val="22"/>
        </w:rPr>
        <w:t xml:space="preserve">should also notify Robert Gates </w:t>
      </w:r>
      <w:r>
        <w:rPr>
          <w:i/>
          <w:color w:val="212121"/>
          <w:szCs w:val="22"/>
        </w:rPr>
        <w:t xml:space="preserve">via </w:t>
      </w:r>
      <w:r>
        <w:rPr>
          <w:color w:val="212121"/>
          <w:szCs w:val="22"/>
        </w:rPr>
        <w:t xml:space="preserve">e-mail at </w:t>
      </w:r>
      <w:r w:rsidRPr="000D4307">
        <w:rPr>
          <w:szCs w:val="22"/>
        </w:rPr>
        <w:t>Robert.Gates@fcc.gov</w:t>
      </w:r>
      <w:r>
        <w:rPr>
          <w:color w:val="212121"/>
          <w:szCs w:val="22"/>
        </w:rPr>
        <w:t xml:space="preserve">.  </w:t>
      </w:r>
      <w:r>
        <w:rPr>
          <w:i/>
          <w:color w:val="212121"/>
          <w:szCs w:val="22"/>
        </w:rPr>
        <w:t xml:space="preserve">See </w:t>
      </w:r>
      <w:r w:rsidRPr="004623FE">
        <w:rPr>
          <w:color w:val="212121"/>
          <w:szCs w:val="22"/>
        </w:rPr>
        <w:t>47 CFR § 74.1284.</w:t>
      </w:r>
    </w:p>
    <w:p w:rsidR="00717E4E" w:rsidP="007503AB">
      <w:pPr>
        <w:widowControl/>
        <w:ind w:left="720"/>
      </w:pPr>
    </w:p>
    <w:p w:rsidR="007503AB" w:rsidP="007503AB">
      <w:pPr>
        <w:pStyle w:val="ParaNum"/>
        <w:widowControl/>
      </w:pPr>
      <w:r w:rsidRPr="00D15848">
        <w:t xml:space="preserve">IT IS FURTHER ORDERED THAT copies of this </w:t>
      </w:r>
      <w:r w:rsidRPr="00D15848">
        <w:rPr>
          <w:i/>
        </w:rPr>
        <w:t xml:space="preserve">Memorandum Opinion and Order </w:t>
      </w:r>
      <w:r w:rsidRPr="00D15848">
        <w:t xml:space="preserve">shall be sent, by First Class and Certified Mail, to </w:t>
      </w:r>
      <w:r w:rsidR="00310A0D">
        <w:t xml:space="preserve">Joshua Austin, Esq., WGH Communications, Inc., P.O. </w:t>
      </w:r>
      <w:r w:rsidR="00310A0D">
        <w:t>Box 8839, Columbia, SC 29202; Cumulus Licensing LLC, Suite 2200, 3280 Peachtree Road, N.W., Atlanta, GA 30305; Radio License Holding SRC LLC</w:t>
      </w:r>
      <w:r w:rsidR="009E557B">
        <w:t>,</w:t>
      </w:r>
      <w:r w:rsidRPr="00310A0D" w:rsidR="00310A0D">
        <w:t xml:space="preserve"> </w:t>
      </w:r>
      <w:r w:rsidR="00310A0D">
        <w:t xml:space="preserve">Suite 2200, 3280 Peachtree Road, N.W., Atlanta, GA 30305; Radio License </w:t>
      </w:r>
      <w:r w:rsidR="00BC170A">
        <w:t>Holdings</w:t>
      </w:r>
      <w:r w:rsidR="00310A0D">
        <w:t xml:space="preserve"> LLC, Suite 2200, 3280 Peachtree Road, N.W., Atlanta, GA 30305;</w:t>
      </w:r>
      <w:r w:rsidR="00835C39">
        <w:t xml:space="preserve"> </w:t>
      </w:r>
      <w:r w:rsidR="00310A0D">
        <w:t xml:space="preserve">CMP Houston-KC, LLC, Suite 2200, 3280 Peachtree Road, N.W., Atlanta, GA 30305; </w:t>
      </w:r>
      <w:r w:rsidR="00AC652D">
        <w:t>KLIF Lico</w:t>
      </w:r>
      <w:r w:rsidR="00310A0D">
        <w:t>, Inc.</w:t>
      </w:r>
      <w:r w:rsidRPr="00310A0D" w:rsidR="00310A0D">
        <w:t xml:space="preserve"> </w:t>
      </w:r>
      <w:r w:rsidR="00310A0D">
        <w:t>, Suite 2200, 3280 Peachtree Road, N.W., Atlanta, GA 30305;</w:t>
      </w:r>
      <w:r w:rsidR="00AC652D">
        <w:t xml:space="preserve"> KPLX Lico</w:t>
      </w:r>
      <w:r w:rsidR="00310A0D">
        <w:t>, Inc., Suite 2200, 3280 Peachtree Road, N.W., Atlanta, GA 30305; Radio License Holding CBC, LLC, Suite 2200, 3280 Peachtree Road, N.W., Atlanta, GA 30305; and to their counsel, Andrew S. Kersting, Esq.</w:t>
      </w:r>
      <w:r w:rsidRPr="00310A0D" w:rsidR="00310A0D">
        <w:t xml:space="preserve"> </w:t>
      </w:r>
      <w:r w:rsidR="00310A0D">
        <w:t>, Suite 2200, 3280 Peachtree Road, N.W., Atlanta, GA 30305; and David D. Burns</w:t>
      </w:r>
      <w:r w:rsidR="00A022E2">
        <w:t>, Esq.</w:t>
      </w:r>
      <w:r w:rsidR="00310A0D">
        <w:t xml:space="preserve"> and Warren A. Kessler,</w:t>
      </w:r>
      <w:r w:rsidR="00A022E2">
        <w:t xml:space="preserve"> Esq.</w:t>
      </w:r>
      <w:r w:rsidR="00310A0D">
        <w:t xml:space="preserve"> </w:t>
      </w:r>
      <w:r w:rsidR="00C45AD4">
        <w:t>Pillsbury</w:t>
      </w:r>
      <w:r w:rsidR="00310A0D">
        <w:t xml:space="preserve"> Winth</w:t>
      </w:r>
      <w:r w:rsidR="00A022E2">
        <w:t>r</w:t>
      </w:r>
      <w:r w:rsidR="00310A0D">
        <w:t>op Shaw Pittman LLP, 1200 17</w:t>
      </w:r>
      <w:r w:rsidRPr="00310A0D" w:rsidR="00310A0D">
        <w:rPr>
          <w:vertAlign w:val="superscript"/>
        </w:rPr>
        <w:t>th</w:t>
      </w:r>
      <w:r w:rsidR="00310A0D">
        <w:t xml:space="preserve"> Street, N.W., Washington, DC 20036.</w:t>
      </w:r>
    </w:p>
    <w:p w:rsidR="00882EA9" w:rsidRPr="00D15848" w:rsidP="00882EA9">
      <w:pPr>
        <w:pStyle w:val="ParaNum"/>
        <w:widowControl/>
        <w:numPr>
          <w:ilvl w:val="0"/>
          <w:numId w:val="0"/>
        </w:numPr>
        <w:ind w:left="720"/>
      </w:pPr>
    </w:p>
    <w:p w:rsidR="007503AB" w:rsidRPr="00D15848" w:rsidP="007503AB">
      <w:r w:rsidRPr="00D15848">
        <w:tab/>
      </w:r>
      <w:r w:rsidRPr="00D15848">
        <w:tab/>
      </w:r>
      <w:r w:rsidRPr="00D15848">
        <w:tab/>
      </w:r>
      <w:r w:rsidRPr="00D15848">
        <w:tab/>
      </w:r>
      <w:r w:rsidRPr="00D15848">
        <w:tab/>
      </w:r>
      <w:r w:rsidRPr="00D15848">
        <w:tab/>
        <w:t>FEDERAL COMMUNICATIONS COMMISSION</w:t>
      </w:r>
    </w:p>
    <w:p w:rsidR="007503AB" w:rsidRPr="00D15848" w:rsidP="007503AB"/>
    <w:p w:rsidR="007503AB" w:rsidRPr="00D15848" w:rsidP="007503AB"/>
    <w:p w:rsidR="007503AB" w:rsidRPr="00D15848" w:rsidP="007503AB"/>
    <w:p w:rsidR="007503AB" w:rsidRPr="00D15848" w:rsidP="007503AB">
      <w:r w:rsidRPr="00D15848">
        <w:tab/>
      </w:r>
      <w:r w:rsidRPr="00D15848">
        <w:tab/>
      </w:r>
      <w:r w:rsidRPr="00D15848">
        <w:tab/>
      </w:r>
      <w:r w:rsidRPr="00D15848">
        <w:tab/>
      </w:r>
      <w:r w:rsidRPr="00D15848">
        <w:tab/>
      </w:r>
      <w:r w:rsidRPr="00D15848">
        <w:tab/>
      </w:r>
      <w:r w:rsidR="00464DFA">
        <w:t>Albert Shuldiner</w:t>
      </w:r>
    </w:p>
    <w:p w:rsidR="00464DFA" w:rsidP="007503AB">
      <w:r w:rsidRPr="00D15848">
        <w:tab/>
      </w:r>
      <w:r w:rsidRPr="00D15848">
        <w:tab/>
      </w:r>
      <w:r w:rsidRPr="00D15848">
        <w:tab/>
      </w:r>
      <w:r w:rsidRPr="00D15848">
        <w:tab/>
      </w:r>
      <w:r w:rsidRPr="00D15848">
        <w:tab/>
      </w:r>
      <w:r w:rsidRPr="00D15848">
        <w:tab/>
        <w:t>Chief</w:t>
      </w:r>
      <w:r>
        <w:t xml:space="preserve">, </w:t>
      </w:r>
      <w:r>
        <w:t>Audio Division</w:t>
      </w:r>
    </w:p>
    <w:p w:rsidR="007503AB" w:rsidP="002916BA">
      <w:pPr>
        <w:ind w:left="3600" w:firstLine="720"/>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r>
        <w:t>Media Bureau</w:t>
      </w:r>
    </w:p>
    <w:p w:rsidR="007503AB" w:rsidRPr="007503AB" w:rsidP="007503AB">
      <w:pPr>
        <w:jc w:val="center"/>
        <w:rPr>
          <w:b/>
        </w:rPr>
      </w:pPr>
      <w:r w:rsidRPr="007503AB">
        <w:rPr>
          <w:b/>
        </w:rPr>
        <w:t>APPENDIX</w:t>
      </w:r>
    </w:p>
    <w:p w:rsidR="007503AB" w:rsidRPr="007503AB" w:rsidP="007503AB">
      <w:pPr>
        <w:jc w:val="center"/>
        <w:rPr>
          <w:b/>
        </w:rPr>
      </w:pPr>
    </w:p>
    <w:p w:rsidR="007503AB" w:rsidRPr="007503AB" w:rsidP="007503AB">
      <w:pPr>
        <w:widowControl/>
        <w:jc w:val="center"/>
        <w:rPr>
          <w:b/>
          <w:snapToGrid/>
          <w:kern w:val="0"/>
          <w:szCs w:val="22"/>
        </w:rPr>
      </w:pPr>
      <w:r>
        <w:rPr>
          <w:b/>
          <w:snapToGrid/>
          <w:kern w:val="0"/>
          <w:szCs w:val="22"/>
        </w:rPr>
        <w:t>Cumulus Media, Inc. Stations</w:t>
      </w:r>
      <w:r w:rsidRPr="007503AB">
        <w:rPr>
          <w:b/>
          <w:snapToGrid/>
          <w:kern w:val="0"/>
          <w:szCs w:val="22"/>
        </w:rPr>
        <w:t xml:space="preserve"> Subject to Transfers and Assignments</w:t>
      </w:r>
    </w:p>
    <w:p w:rsidR="007503AB" w:rsidRPr="007503AB" w:rsidP="007503AB">
      <w:pPr>
        <w:keepNext/>
        <w:suppressAutoHyphens/>
        <w:spacing w:after="120"/>
        <w:ind w:left="720"/>
        <w:outlineLvl w:val="0"/>
        <w:rPr>
          <w:rFonts w:ascii="Times New Roman Bold" w:hAnsi="Times New Roman Bold"/>
          <w:b/>
          <w:caps/>
        </w:rPr>
      </w:pPr>
    </w:p>
    <w:p w:rsidR="007503AB" w:rsidP="007503AB">
      <w:pPr>
        <w:keepNext/>
        <w:numPr>
          <w:ilvl w:val="0"/>
          <w:numId w:val="9"/>
        </w:numPr>
        <w:suppressAutoHyphens/>
        <w:spacing w:after="120"/>
        <w:outlineLvl w:val="0"/>
        <w:rPr>
          <w:rFonts w:ascii="Times New Roman Bold" w:hAnsi="Times New Roman Bold"/>
          <w:b/>
          <w:caps/>
        </w:rPr>
      </w:pPr>
      <w:r w:rsidRPr="007503AB">
        <w:rPr>
          <w:rFonts w:ascii="Times New Roman Bold" w:hAnsi="Times New Roman Bold"/>
          <w:b/>
          <w:caps/>
        </w:rPr>
        <w:t>STATIONS SUBJECT TO TRANSFERS</w:t>
      </w:r>
    </w:p>
    <w:tbl>
      <w:tblPr>
        <w:tblW w:w="0" w:type="auto"/>
        <w:tblLook w:val="04A0"/>
      </w:tblPr>
      <w:tblGrid>
        <w:gridCol w:w="1440"/>
        <w:gridCol w:w="893"/>
        <w:gridCol w:w="2316"/>
        <w:gridCol w:w="716"/>
        <w:gridCol w:w="1249"/>
        <w:gridCol w:w="1070"/>
        <w:gridCol w:w="1666"/>
      </w:tblGrid>
      <w:tr w:rsidTr="001C2862">
        <w:tblPrEx>
          <w:tblW w:w="0" w:type="auto"/>
          <w:tblLook w:val="04A0"/>
        </w:tblPrEx>
        <w:tc>
          <w:tcPr>
            <w:tcW w:w="14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Call Sign</w:t>
            </w:r>
          </w:p>
        </w:tc>
        <w:tc>
          <w:tcPr>
            <w:tcW w:w="901"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Service</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City</w:t>
            </w:r>
          </w:p>
        </w:tc>
        <w:tc>
          <w:tcPr>
            <w:tcW w:w="722"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State</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Facility ID</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Prefix</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File Number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WVNN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ATHENS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3084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20180322ABI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WZYP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ATHENS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3083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WXQW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FAIRHOPE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WHRP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GURLEY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22264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WUMP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MADISON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39590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WABD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MOBILE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70657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WBLX-FM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MOBILE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WGOK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MOBILE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56716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WHHY-FM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MONTGOMERY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66910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WLWI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MONTGOMERY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66909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WLWI-FM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MONTGOMERY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12318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WMSP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MONTGOMERY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12316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WMXS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MONTGOMERY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12322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KRMW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CEDARVILLE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70257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WWFF-FM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MARKET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65223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WXFX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PRATTVILLE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17479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WDLT-FM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SARALAND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8680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WVNN-FM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TRINITY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25385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20180322ABZ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KKEG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BENTONVILLE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16571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KQSM-FM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FAYETTEVILLE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16569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KLSZ-FM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SMITH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23869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KMCK-FM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PRAIRIE GROVE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64630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KAMO-FM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ROGERS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31881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KYNG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SPRINGDALE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71702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KBBQ-FM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VAN BUREN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37827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KMGV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FRESNO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18409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FRESNO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26923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KMJ-FM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FRESNO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26933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KSKS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FRESNO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26924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KWYE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FRESNO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18406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KRUZ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OAK VIEW</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10329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KVYB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SANTA BARBARA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8853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KBBY-FM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VENTURA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7745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KHAY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VENTURA</w:t>
            </w:r>
            <w:bookmarkStart w:id="0" w:name="_GoBack"/>
            <w:bookmarkEnd w:id="0"/>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35848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KVEN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VENTURA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35847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WICC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BRIDGEPORT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72345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WEBE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WESTPORT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71389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WFTW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WALTON BEACH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27466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WKSM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WALTON BEACH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27467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WZNS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WALTON BEACH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32834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WRRX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GULF BREEZE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94009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WYZB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MARY ESTHER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27469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WAOA-FM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MELBOURNE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60387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WLZR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MELBOURNE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60388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20180322ACZ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WXBM-FM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MILTON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32946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WCOA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PENSACOLA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12142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WJTQ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PENSACOLA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12143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WMEZ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PENSACOLA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73256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WHKR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ROCKLEDGE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57628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WROK-FM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SEBASTIAN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59536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WNCV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SHALIMAR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73395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WBZE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TALLAHASSEE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28164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WGLF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TALLAHASSEE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64559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WHBT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TALLAHASSEE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28162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WHBX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TALLAHASSEE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28168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WALG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ALBANY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54703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WKAK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ALBANY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WQVE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ALBANY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54704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WWLD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CAIRO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38640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WPEZ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JEFFERSONVILLE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52551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WJAD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LEESBURG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57782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WAYS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MACON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WDEN-FM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MACON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46996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WLZN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MACON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54672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WMAC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MACON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46998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KFAY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FARMINGTON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16573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WMGB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MONTEZUMA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88541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WEGC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SASSER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40463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WBMQ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54800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WIXV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20180322ADZ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WJCL-FM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37178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WJLG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71365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WEAS-FM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SPRINGFIELD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71366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WNUQ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SYLVESTER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66942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WZAT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TYBEE ISLAND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25549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WBNQ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BLOOMINGTON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68588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WJBC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BLOOMINGTON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WJEZ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DWIGHT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19211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WBWN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 ROY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40906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WJBC-FM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PONTIAC</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37818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KMAJ-FM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CARBONDALE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42012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KDVB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EFFINGHAM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164159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KTOP-FM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 MARYS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60034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KDVV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TOPEKA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62237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KMAJ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TOPEKA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42014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KTOP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TOPEKA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62236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KWIC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TOPEKA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39997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WCYN-FM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CYNTHIANA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71308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WXZZ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GEORGETOWN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34245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WLXX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LEXINGTON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27417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WVLK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LEXINGTON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27418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WLTO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NICHOLASVILLE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11673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WVLK-FM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RICHMOND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71249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KQLK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 RIDDER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9029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KAOK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 CHARLES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67330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KBIU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 CHARLES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17019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20180322AEZ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KXZZ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 CHARLES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17016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KYKZ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 CHARLES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38601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KRMD-FM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OIL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1304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KMJJ-FM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SHREVEPORT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63929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KRMD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SHREVEPORT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1305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KVMA-FM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SHREVEPORT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53030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KKGB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SULPHUR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WQKL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ANN ARBOR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47117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WTKA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ANN ARBOR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47116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WWWW-FM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ANN ARBOR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41080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WDZZ-FM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13665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WWCK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39679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WWCK-FM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39678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WMIM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LUNA PIER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37119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WLBY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SALINE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41081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KOQL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ASHLAND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60731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KJMO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LINN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162262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KBXR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47910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KFRU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12396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KPLA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12429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KBBM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JEFFERSON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68148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KLIK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JEFFERSON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68147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KZJF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JEFFERSON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5383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KRWP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STOCKTON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78693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WSMS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ARTESIA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WKOR-FM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COLUMBUS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24531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20180322AFZ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WNMQ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COLUMBUS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54535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WMXU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STARKVILLE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57710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WSSO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STARKVILLE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57709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WNBM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BRONXVILLE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14380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WFAS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WHITE PLAINS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14381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WRCQ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DUNN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34826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WFNC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FAYETTEVILLE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8583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WQSM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FAYETTEVILLE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8582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WAAV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25999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WKXS-FM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25998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WMGU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SOUTHERN PINES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46948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WGNI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WILMINGTON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8581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WMNX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WILMINGTON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8584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WWQQ-FM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WILMINGTON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28163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WRQN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BOWLING GREEN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22676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WNNF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CINCINNATI</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59593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WOFX-FM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CINCINNATI</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51725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WTOD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DELTA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67275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WXKR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PORT CLINTON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69869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WQXK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SALEM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37548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WSOM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SALEM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37547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WQQO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SYLVANIA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42127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WKKO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TOLEDO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22673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WBBW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YOUNGSTOWN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13667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WHOT-FM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YOUNGSTOWN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13670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KOMS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POTEAU</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37086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20180322AGZ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KSCR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EUGENE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30649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KUGN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EUGENE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12506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KZEL-FM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EUGENE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49822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KUJZ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CRESWELL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30650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KNRQ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HARRISBURG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61987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KEHK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BROWNSVILLE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7989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WHGB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HARRISBURG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32944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WNNK-FM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HARRISBURG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32945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WZCY-FM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MECHANICSBURG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54021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WLLF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MERCER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WWIZ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WEST MIDDLESEX</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23437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WPIC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SHARON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60005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SHARON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60006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WSEA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ATLANTIC BEACH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WTYB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BLUFFTON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14069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WRWM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CONWAY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17484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WYNN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FLORENCE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22048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WYNN-FM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FLORENCE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22049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WLFF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GEORGETOWN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63932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WBZF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HARTSVILLE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26327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WCMG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LATTA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72929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WWFN-FM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21745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WYMB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MANNING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11652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WQPD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MARION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11653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WMXT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PAMPLICO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51420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WDAI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PAWLEYS ISLAND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59490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20180322AHZ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WSYN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SURFSIDE BEACH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46964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WQQK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GOODLETTSVILLE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52521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WWTN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HENDERSONVILLE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31476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NASHVILLE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74065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KPUR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AMARILLO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72037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KQIZ-FM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AMARILLO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41567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KTLT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ANSON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53194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KIKR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BEAUMONT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52406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KQXY-FM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BEAUMONT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48918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KTCX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BEAUMONT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4462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KYYI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BURKBURNETT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58740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KNSH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CANYON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39591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KARX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CANYON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72038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KZRK-FM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CANYON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27009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KPUR-FM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CLAUDE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33448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KOLI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ELECTRA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78344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KCDD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HAMLIN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64656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KHXS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MERKEL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50790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KBED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NEDERLAND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48917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KAYD-FM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SILSBEE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31109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KBCY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TYE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68642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KQHN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WASKOM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12414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KLUR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WICHITA FALLS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58741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KQXC-FM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WICHITA FALLS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WBRW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BLACKSBURG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5795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WFNR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BLACKSBURG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67588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20180322AIZ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WNMX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CHRISTIANSBURG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69744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WPSK-FM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PULASKI</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48621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WRAD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RADFORD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73919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WWBU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RADFORD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73918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WKRU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ALLOUEZ</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31912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WDUZ-FM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BRILLION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WPCK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DENMARK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WDUZ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GREEN BAY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25119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WQLH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GREEN BAY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25121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WNAM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NEENAH-MENASHA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50053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WPKR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OMRO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42093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WOSH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OSHKOSH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69780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WWWX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OSHKOSH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50052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WOGB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REEDSVILLE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WVBO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WINNECONNE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69781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K251BN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EUGENE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49823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K244DL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COTTAGE GROVE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49820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K253CF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COTTAGE GROVE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12502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K264AS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MOORINGSPORT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141176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K275AA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SPRINGFIELD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30652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W237DE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HARRISBURG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158598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W247CT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LEXINGTON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153203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W250BC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ATLANTA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158597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W252BN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TALLAHASSEE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65171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W255CJ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ATLANTA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148550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W264AK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TOLEDO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81369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20180322AJZ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W270BZ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CONWAY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83075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W278AJ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BLACKSBURG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81543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W280BA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MADISON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65219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W271DC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BLOOMINGTON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K278CT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JEFFERSON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K249FD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SPRINGDALE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W297CG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W300DL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MELBOURNE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W289CL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W257ED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ALBANY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W231DS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MACON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K244FT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NEDERLAND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W238DA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GREEN BAY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K255DJ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W269DP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FLORENCE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200846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W245DD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SAVANNAH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200858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K230CF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TOPEKA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KFFG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LOS ALTOS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58843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20180322AKR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KFOG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FRANCISCO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54770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KNBR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FRANCISCO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35208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KSAN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MATEO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14484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KTCT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MATEO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51188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WWWQ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ATLANTA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73345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WNNX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COLLEGE PARK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WFMS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FISHERS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54622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WYRG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LAWRENCE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71438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20180322AKZ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WJJK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NOBLESVILLE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28609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WRRM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CINCINNATI</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3142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WGRR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HAMILTON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72126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WFTK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LEBANON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OH</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10143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WGLD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MANCHESTER TOWNSHIP</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WSOX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RED LION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WARM-FM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73980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WSBA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73979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KTCK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DALLAS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8773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KLIF-FM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HALTOM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27299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KRBE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HOUSTON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35524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K273BZ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KANSAS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143354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K279BI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KANSAS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144473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KFOG-FM3</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PLEASANTON, ETC.</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KSAN-FM1</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PLEASANTON, ETC.</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28878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KABC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LOS ANGELES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33254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20180322ALP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KLOS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LOS ANGELES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35078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KGO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FRANCISCO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34471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KSFO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 FRANCISCO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34472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WMAL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WASHINGTON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73250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WRQX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WASHINGTON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73252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WYAY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GAINESVILLE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48727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WKHX-FM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MARIETTA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73161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CHICAGO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73227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CHICAGO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73228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WDRQ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DETROIT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70040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20180322ALZ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WDVD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DETROIT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8631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DETROIT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8626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WRXP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CAMBRIDGE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54838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WWWM-FM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EDEN PRARIE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61541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KQRS-FM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GOLDEN VALLEY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35505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WGVX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LAKEVILLE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61379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KXXR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MINNEAPOLIS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35506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WNSH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NEWARK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NJ</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20886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WABC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70658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WPLJ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73887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KSCS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WORTH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71201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WBAP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FORT WORTH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71200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KTCK-FM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FLOWER MOUND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26468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WMAL-FM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WOODBRIDGE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VA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70037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KCHZ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OTTAWA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33332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20180322AMO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KCMO-FM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SHAWNEE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6385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KCJK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GARDEN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87565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KCFX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HARRISONVILLE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27021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KCMO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KANSAS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33391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KMJK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NORTH KANSAS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33713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KLIF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DALLAS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35061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20180322AMU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KPLX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FORT WORTH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TX</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54675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20180322AMV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WAPI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BIRMINGHAM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b/>
                <w:bCs/>
                <w:snapToGrid/>
                <w:color w:val="000000"/>
                <w:kern w:val="0"/>
                <w:szCs w:val="22"/>
              </w:rPr>
            </w:pPr>
            <w:r w:rsidRPr="001C2862">
              <w:rPr>
                <w:b/>
                <w:bCs/>
                <w:snapToGrid/>
                <w:color w:val="000000"/>
                <w:kern w:val="0"/>
                <w:szCs w:val="22"/>
              </w:rPr>
              <w:t>16900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b/>
                <w:bCs/>
                <w:snapToGrid/>
                <w:color w:val="000000"/>
                <w:kern w:val="0"/>
                <w:szCs w:val="22"/>
              </w:rPr>
            </w:pPr>
            <w:r w:rsidRPr="001C2862">
              <w:rPr>
                <w:b/>
                <w:bCs/>
                <w:snapToGrid/>
                <w:color w:val="000000"/>
                <w:kern w:val="0"/>
                <w:szCs w:val="22"/>
              </w:rPr>
              <w:t>20180322AMW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WJOX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BIRMINGHAM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WJOX-FM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BIRMINGHAM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16901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WUHT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BIRMINGHAM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6401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20180322AMZ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WZRR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BIRMINGHAM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WJQX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HELENA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70914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KAAY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LITTLE ROCK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33253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KARN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LITTLE ROCK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60703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KPZK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LITTLE ROCK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24150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KURB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LITTLE ROCK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19559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KIPR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PINE BLUFF</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13925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KARN-FM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SHERIDAN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24151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KLAL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WRIGHTSVILLE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AR</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47880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KSZR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ORO VALLEY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AZ</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39734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KCUB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TUCSON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AZ</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56051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KHYT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TUCSON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AZ</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56053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KIIM-FM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TUCSON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AZ</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56052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KTUC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TUCSON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AZ</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35684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KWIN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LODI</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60425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KDJK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MARIPOSA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KATM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MODESTO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KESP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MODESTO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KHKK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MODESTO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KHOP</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OAKDALE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52528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KWYL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SOUTH LAKE TAHOE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67816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KJOY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STOCKTON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32215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KWNN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TURLOCK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60427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KATC-FM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COLORADO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66249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KCSF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COLORADO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62039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COLORADO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20180322ANZ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KKPK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COLORADO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62038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KVOR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COLORADO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35869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KKMG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PUEBLO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11229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WMAS-FM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ENFIELD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36543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WQGN-FM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GROTON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10455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WXLM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GROTON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10454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WMOS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STONINGTON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60251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KBOI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BOISE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51211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KIZN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BOISE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70626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KQFC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BOISE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51217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KKGL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NAMPA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51212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KTIK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NAMPA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16854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KTIK-FM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PLYMOUTH</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ID</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39609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WFYR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ELMWOOD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72080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WGLO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PEKIN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68622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WVEL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PEKIN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68623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WIXO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PEORIA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9894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WZPW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PEORIA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3464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WWKI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KOKOMO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60133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WLTI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CASTLE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43435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WMDH-FM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CASTLE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74092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KWQW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BOONE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30116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KBGG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DES MOINES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87105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KGGO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DES MOINES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12965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KHKI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DES MOINES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12966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KJJY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WEST DES MOINES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22882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20180322AOZ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WIBR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BATON ROUGE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61275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KKND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BELLE CHASSE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12157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WRQQ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HAMMOND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61271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WEMX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KENTWOOD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58931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KRRQ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LAFAYETTE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36227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KSMB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LAFAYETTE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41057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WZRH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LAPLACE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KXKC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IBERIA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6350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KQXL-FM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 ROADS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11607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WXOK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PORT ALLEN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11606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KMEZ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PORT SULPHUR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58395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KNEK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WASHINGTON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15801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KNEK-FM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WASHINGTON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16370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WXLO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FITCHBURG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43557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WHLL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SPRINGFIELD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36545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WWFX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SOUTHBRIDGE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18310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WORC-FM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WEBSTER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50231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WHNN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BAY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37458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WIOG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BAY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22675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WHTS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COOPERSVILLE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71090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WFBE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21730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WTRX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FLINT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15768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WJRW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GRAND RAPIDS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41679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WLAV-FM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GRAND RAPIDS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41680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WBBL-FM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GREENVILLE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24639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WTNR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HOLLAND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41678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20180322APZ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WVIB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HOLTON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73994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WKQZ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MIDLAND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72924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WLCS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NORTH MUSKEGON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WLAW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NEWAYGO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89477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WILZ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SAGINAW</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58578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WKLQ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WHITEHALL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53962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WWSN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WHITEHALL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53960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WRBO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COMO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WRKN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PICAYUNE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MS</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27951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KBUL-FM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CARSON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NV</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KKOH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NV</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KNEV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RENO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NV</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11244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KBZU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48596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KMGA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KDRF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55052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KKOB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11251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KKOB-FM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KNML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68608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KRST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ALBUQUERQUE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12584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KTBL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LOS RANCHOS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48604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WBBF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BUFFALO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53967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WEDG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BUFFALO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56103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WGRF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BUFFALO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56102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WAQX-FM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MANLIUS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52606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WHLD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NIAGARA FALLS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7822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WNTQ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SYRACUSE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50514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20180322AQZ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WSKO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SYRACUSE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50515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WXTL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SYRACUSE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58719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KKWD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BETHANY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KWPN</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MOORE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22190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KATT-FM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OKLAHOMA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8797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KYIS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OKLAHOMA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8798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WKY</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OKLAHOMA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23418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WWLS-FM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THE VILLAGE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OK</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37435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WLEV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ALLENTOWN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39875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WSJR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DALLAS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43969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WCTO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EASTON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36997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WXTA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EDINBORO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72892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WIOV-FM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EPHRATA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55308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WQHZ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65748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WRIE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32982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WXKC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32984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WBSX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HAZLETON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133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WWKL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HERSHEY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64842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WBHT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MOUNTAIN TOP</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20465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WBHD</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OLYPHANT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43521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WIOV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READING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55307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WARM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SCRANTON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70504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WMGS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WILKES-BARRE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70880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WQXA-FM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52169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WPRO</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PROVIDENCE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64843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WPRO-FM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PROVIDENCE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64841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20180322ARZ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WPRV</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PROVIDENCE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64840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WWLI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PROVIDENCE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64838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WEAN-FM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WAKEFIELD-PEACEDALE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4376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WWKX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WOONSOCKET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65198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WNKT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EASTOVER</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38900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WIWF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CHARLESTON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60039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WSSX-FM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CHARLESTON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72378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WTMA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CHARLESTON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72376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WISW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54793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WLXC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COLUMBIA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54794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WOMG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LEXINGTON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37200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WTCB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ORANGEBURG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54791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WMGL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RAVENEL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61592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WWWZ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SUMMERVILLE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61278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WXSM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BLOUNTVILLE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29513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WGOW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CHATTANOOGA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54526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WSKZ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CHATTANOOGA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54525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WOGT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EAST RIDGE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54527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WNML-FM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FRIENDSVILLE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7998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WGFX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GALLATIN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WJCW</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JOHNSON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67672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WQUT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JOHNSON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67673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WGOC</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KINGSPORT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67671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WKOS</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KINGSPORT</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67674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WIVK-FM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KNOXVILLE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WNML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KNOXVILLE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20180322ASZ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WGKX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MEMPHIS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35009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WXMX</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MILLINGTON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35399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WKIM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MUNFORD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33671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WKDF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NASHVILLE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16896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WOKI</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OLIVER SPRINGS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10457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WGOW-FM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SODDY-DAISY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TN</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53956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KBER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OGDEN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10779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KHTB</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OGDEN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2444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20180322ATH</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KRRF</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MURRAY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58303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20180322ATI</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KENZ</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PROVO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6545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20180322ATJ</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KBEE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SALT LAKE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53497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20180322ATK</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KKAT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AM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SALT LAKE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11232</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20180322ATL</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KUBL-FM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SALT LAKE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11238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20180322ATM</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WHTT-FM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FM</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BUFFALO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53968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BTCH</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20180322ATN</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K222CM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HEBER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53498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20180322ATO</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K237AL</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PARK CITY, ETC.</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UT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53499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20180322ATP</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K272DA</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STATELINE, ETC.</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NV</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67817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20180322ATQ</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K285EE</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CANON CITY</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CO</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52583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20180322ATR</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W230CQ</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YORK</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39873</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20180322ATS</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W242CU</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146827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20180322ATT</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W282BR</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ERIE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31606</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20180322ATU</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W285DG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BOONE</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NC</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67675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20180322ATV</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K233CG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SANDIA</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NM</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88468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20180322ATW</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WIOV-FM1</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READING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55309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20180322ATX</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WXLO-FM1</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BOSTON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201850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20180322ATY</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WXLO-FM2</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LEXINGTON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201849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20180322ATZ</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WXLO-FM3</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FB</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WALTHAM</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201847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BTCFTB</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20180322AUA</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W253CK</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READING</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200867</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20180322AUB</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W287DG</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PEKIN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IL</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200870</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20180322AUC</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W270DJ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GROTON</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CT</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200869</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20180322AUD</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W256DM</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WHITEHALL</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200868</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20180322AUE</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W251CT</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SPRINGFIELD</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MA</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200871</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20180322AUF</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W291DJ</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GRAND RAPIDS</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MI</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200865</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20180322AUG</w:t>
            </w:r>
          </w:p>
        </w:tc>
      </w:tr>
      <w:tr w:rsidTr="001C2862">
        <w:tblPrEx>
          <w:tblW w:w="0" w:type="auto"/>
          <w:tblLook w:val="04A0"/>
        </w:tblPrEx>
        <w:tc>
          <w:tcPr>
            <w:tcW w:w="1454" w:type="dxa"/>
            <w:tcBorders>
              <w:top w:val="nil"/>
              <w:left w:val="single" w:sz="4" w:space="0" w:color="auto"/>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W255DH</w:t>
            </w:r>
          </w:p>
        </w:tc>
        <w:tc>
          <w:tcPr>
            <w:tcW w:w="90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FX</w:t>
            </w:r>
          </w:p>
        </w:tc>
        <w:tc>
          <w:tcPr>
            <w:tcW w:w="234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BUFFALO</w:t>
            </w:r>
          </w:p>
        </w:tc>
        <w:tc>
          <w:tcPr>
            <w:tcW w:w="722"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NY</w:t>
            </w:r>
          </w:p>
        </w:tc>
        <w:tc>
          <w:tcPr>
            <w:tcW w:w="1261"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jc w:val="right"/>
              <w:rPr>
                <w:snapToGrid/>
                <w:color w:val="000000"/>
                <w:kern w:val="0"/>
                <w:szCs w:val="22"/>
              </w:rPr>
            </w:pPr>
            <w:r w:rsidRPr="001C2862">
              <w:rPr>
                <w:snapToGrid/>
                <w:color w:val="000000"/>
                <w:kern w:val="0"/>
                <w:szCs w:val="22"/>
              </w:rPr>
              <w:t>200864</w:t>
            </w:r>
          </w:p>
        </w:tc>
        <w:tc>
          <w:tcPr>
            <w:tcW w:w="108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BTCFT</w:t>
            </w:r>
          </w:p>
        </w:tc>
        <w:tc>
          <w:tcPr>
            <w:tcW w:w="1620" w:type="dxa"/>
            <w:tcBorders>
              <w:top w:val="nil"/>
              <w:left w:val="nil"/>
              <w:bottom w:val="single" w:sz="4" w:space="0" w:color="auto"/>
              <w:right w:val="single" w:sz="4" w:space="0" w:color="auto"/>
            </w:tcBorders>
            <w:shd w:val="clear" w:color="auto" w:fill="auto"/>
            <w:noWrap/>
            <w:vAlign w:val="bottom"/>
            <w:hideMark/>
          </w:tcPr>
          <w:p w:rsidR="001C2862" w:rsidRPr="001C2862" w:rsidP="001C2862">
            <w:pPr>
              <w:widowControl/>
              <w:spacing w:after="120"/>
              <w:rPr>
                <w:snapToGrid/>
                <w:color w:val="000000"/>
                <w:kern w:val="0"/>
                <w:szCs w:val="22"/>
              </w:rPr>
            </w:pPr>
            <w:r w:rsidRPr="001C2862">
              <w:rPr>
                <w:snapToGrid/>
                <w:color w:val="000000"/>
                <w:kern w:val="0"/>
                <w:szCs w:val="22"/>
              </w:rPr>
              <w:t>20180322AUH</w:t>
            </w:r>
          </w:p>
        </w:tc>
      </w:tr>
    </w:tbl>
    <w:p w:rsidR="002E1333" w:rsidRPr="007503AB" w:rsidP="002E1333">
      <w:pPr>
        <w:keepNext/>
        <w:suppressAutoHyphens/>
        <w:spacing w:after="120"/>
        <w:ind w:left="720"/>
        <w:outlineLvl w:val="0"/>
        <w:rPr>
          <w:rFonts w:ascii="Times New Roman Bold" w:hAnsi="Times New Roman Bold"/>
          <w:b/>
          <w:caps/>
        </w:rPr>
      </w:pPr>
    </w:p>
    <w:p w:rsidR="007503AB" w:rsidRPr="007503AB" w:rsidP="007503AB">
      <w:pPr>
        <w:keepNext/>
        <w:numPr>
          <w:ilvl w:val="0"/>
          <w:numId w:val="3"/>
        </w:numPr>
        <w:tabs>
          <w:tab w:val="left" w:pos="720"/>
        </w:tabs>
        <w:suppressAutoHyphens/>
        <w:spacing w:after="120"/>
        <w:outlineLvl w:val="0"/>
        <w:rPr>
          <w:rFonts w:ascii="Times New Roman Bold" w:hAnsi="Times New Roman Bold"/>
          <w:b/>
          <w:caps/>
        </w:rPr>
      </w:pPr>
      <w:r>
        <w:rPr>
          <w:rFonts w:ascii="Times New Roman Bold" w:hAnsi="Times New Roman Bold"/>
          <w:b/>
          <w:caps/>
        </w:rPr>
        <w:t>CUMULUS LICENSING</w:t>
      </w:r>
      <w:r w:rsidRPr="007503AB">
        <w:rPr>
          <w:rFonts w:ascii="Times New Roman Bold" w:hAnsi="Times New Roman Bold"/>
          <w:b/>
          <w:caps/>
        </w:rPr>
        <w:t>,</w:t>
      </w:r>
      <w:r>
        <w:rPr>
          <w:rFonts w:ascii="Times New Roman Bold" w:hAnsi="Times New Roman Bold"/>
          <w:b/>
          <w:caps/>
        </w:rPr>
        <w:t xml:space="preserve"> LLC</w:t>
      </w:r>
      <w:r w:rsidRPr="007503AB">
        <w:rPr>
          <w:rFonts w:ascii="Times New Roman Bold" w:hAnsi="Times New Roman Bold"/>
          <w:b/>
          <w:caps/>
        </w:rPr>
        <w:t xml:space="preserve"> STATIONS TO BE ASSIGNED TO THE </w:t>
      </w:r>
      <w:r>
        <w:rPr>
          <w:rFonts w:ascii="Times New Roman Bold" w:hAnsi="Times New Roman Bold"/>
          <w:b/>
          <w:caps/>
        </w:rPr>
        <w:t>MAINSTAY STATION</w:t>
      </w:r>
      <w:r w:rsidRPr="007503AB">
        <w:rPr>
          <w:rFonts w:ascii="Times New Roman Bold" w:hAnsi="Times New Roman Bold"/>
          <w:b/>
          <w:caps/>
        </w:rPr>
        <w:t xml:space="preserve"> TRUST</w:t>
      </w:r>
      <w:r w:rsidR="000B1EDF">
        <w:rPr>
          <w:rFonts w:ascii="Times New Roman Bold" w:hAnsi="Times New Roman Bold"/>
          <w:b/>
          <w:caps/>
        </w:rPr>
        <w:t xml:space="preserve"> </w:t>
      </w:r>
      <w:r>
        <w:rPr>
          <w:rFonts w:ascii="Times New Roman Bold" w:hAnsi="Times New Roman Bold"/>
          <w:b/>
          <w:caps/>
        </w:rPr>
        <w:t>LLC</w:t>
      </w:r>
      <w:r w:rsidRPr="007503AB">
        <w:rPr>
          <w:rFonts w:ascii="Times New Roman Bold" w:hAnsi="Times New Roman Bold"/>
          <w:b/>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4"/>
        <w:gridCol w:w="901"/>
        <w:gridCol w:w="2360"/>
        <w:gridCol w:w="720"/>
        <w:gridCol w:w="1273"/>
        <w:gridCol w:w="1060"/>
        <w:gridCol w:w="1622"/>
      </w:tblGrid>
      <w:tr w:rsidTr="007503A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414" w:type="dxa"/>
            <w:shd w:val="clear" w:color="auto" w:fill="auto"/>
          </w:tcPr>
          <w:p w:rsidR="007503AB" w:rsidRPr="007503AB" w:rsidP="007503AB">
            <w:pPr>
              <w:spacing w:after="120"/>
            </w:pPr>
            <w:r w:rsidRPr="007503AB">
              <w:rPr>
                <w:b/>
                <w:bCs/>
                <w:snapToGrid/>
                <w:color w:val="000000"/>
                <w:kern w:val="0"/>
                <w:szCs w:val="22"/>
              </w:rPr>
              <w:t>Call Sign</w:t>
            </w:r>
          </w:p>
        </w:tc>
        <w:tc>
          <w:tcPr>
            <w:tcW w:w="901" w:type="dxa"/>
            <w:shd w:val="clear" w:color="auto" w:fill="auto"/>
          </w:tcPr>
          <w:p w:rsidR="007503AB" w:rsidRPr="007503AB" w:rsidP="007503AB">
            <w:pPr>
              <w:spacing w:after="120"/>
            </w:pPr>
            <w:r w:rsidRPr="007503AB">
              <w:rPr>
                <w:b/>
                <w:bCs/>
                <w:snapToGrid/>
                <w:color w:val="000000"/>
                <w:kern w:val="0"/>
                <w:szCs w:val="22"/>
              </w:rPr>
              <w:t>Service</w:t>
            </w:r>
          </w:p>
        </w:tc>
        <w:tc>
          <w:tcPr>
            <w:tcW w:w="2360" w:type="dxa"/>
            <w:shd w:val="clear" w:color="auto" w:fill="auto"/>
          </w:tcPr>
          <w:p w:rsidR="007503AB" w:rsidRPr="007503AB" w:rsidP="007503AB">
            <w:pPr>
              <w:spacing w:after="120"/>
            </w:pPr>
            <w:r w:rsidRPr="007503AB">
              <w:rPr>
                <w:b/>
                <w:bCs/>
                <w:snapToGrid/>
                <w:color w:val="000000"/>
                <w:kern w:val="0"/>
                <w:szCs w:val="22"/>
              </w:rPr>
              <w:t>City</w:t>
            </w:r>
          </w:p>
        </w:tc>
        <w:tc>
          <w:tcPr>
            <w:tcW w:w="720" w:type="dxa"/>
            <w:shd w:val="clear" w:color="auto" w:fill="auto"/>
            <w:vAlign w:val="bottom"/>
          </w:tcPr>
          <w:p w:rsidR="007503AB" w:rsidRPr="007503AB" w:rsidP="007503AB">
            <w:pPr>
              <w:spacing w:after="120"/>
            </w:pPr>
            <w:r w:rsidRPr="007503AB">
              <w:rPr>
                <w:b/>
                <w:bCs/>
                <w:snapToGrid/>
                <w:color w:val="000000"/>
                <w:kern w:val="0"/>
                <w:szCs w:val="22"/>
              </w:rPr>
              <w:t>State</w:t>
            </w:r>
          </w:p>
        </w:tc>
        <w:tc>
          <w:tcPr>
            <w:tcW w:w="1273" w:type="dxa"/>
            <w:shd w:val="clear" w:color="auto" w:fill="auto"/>
            <w:vAlign w:val="bottom"/>
          </w:tcPr>
          <w:p w:rsidR="007503AB" w:rsidRPr="007503AB" w:rsidP="007503AB">
            <w:pPr>
              <w:spacing w:after="120"/>
            </w:pPr>
            <w:r w:rsidRPr="007503AB">
              <w:rPr>
                <w:b/>
                <w:bCs/>
                <w:snapToGrid/>
                <w:color w:val="000000"/>
                <w:kern w:val="0"/>
                <w:szCs w:val="22"/>
              </w:rPr>
              <w:t>Facility Id.</w:t>
            </w:r>
          </w:p>
        </w:tc>
        <w:tc>
          <w:tcPr>
            <w:tcW w:w="1060" w:type="dxa"/>
            <w:shd w:val="clear" w:color="auto" w:fill="auto"/>
            <w:vAlign w:val="bottom"/>
          </w:tcPr>
          <w:p w:rsidR="007503AB" w:rsidRPr="007503AB" w:rsidP="007503AB">
            <w:pPr>
              <w:spacing w:after="120"/>
            </w:pPr>
            <w:r w:rsidRPr="007503AB">
              <w:rPr>
                <w:b/>
                <w:bCs/>
                <w:snapToGrid/>
                <w:color w:val="000000"/>
                <w:kern w:val="0"/>
                <w:szCs w:val="22"/>
              </w:rPr>
              <w:t>Prefix</w:t>
            </w:r>
          </w:p>
        </w:tc>
        <w:tc>
          <w:tcPr>
            <w:tcW w:w="1622" w:type="dxa"/>
            <w:shd w:val="clear" w:color="auto" w:fill="auto"/>
          </w:tcPr>
          <w:p w:rsidR="007503AB" w:rsidRPr="007503AB" w:rsidP="007503AB">
            <w:pPr>
              <w:spacing w:after="120"/>
            </w:pPr>
            <w:r w:rsidRPr="007503AB">
              <w:rPr>
                <w:b/>
                <w:bCs/>
                <w:snapToGrid/>
                <w:color w:val="000000"/>
                <w:kern w:val="0"/>
                <w:szCs w:val="22"/>
              </w:rPr>
              <w:t>File Number</w:t>
            </w:r>
          </w:p>
        </w:tc>
      </w:tr>
      <w:tr w:rsidTr="002916BA">
        <w:tblPrEx>
          <w:tblW w:w="0" w:type="auto"/>
          <w:tblLook w:val="04A0"/>
        </w:tblPrEx>
        <w:tc>
          <w:tcPr>
            <w:tcW w:w="1414" w:type="dxa"/>
            <w:shd w:val="clear" w:color="auto" w:fill="auto"/>
            <w:vAlign w:val="bottom"/>
          </w:tcPr>
          <w:p w:rsidR="007503AB" w:rsidRPr="007503AB" w:rsidP="007503AB">
            <w:pPr>
              <w:spacing w:after="120"/>
            </w:pPr>
            <w:r>
              <w:rPr>
                <w:b/>
                <w:bCs/>
                <w:snapToGrid/>
                <w:color w:val="000000"/>
                <w:kern w:val="0"/>
                <w:szCs w:val="22"/>
              </w:rPr>
              <w:t>WNUQ</w:t>
            </w:r>
          </w:p>
        </w:tc>
        <w:tc>
          <w:tcPr>
            <w:tcW w:w="901" w:type="dxa"/>
            <w:shd w:val="clear" w:color="auto" w:fill="auto"/>
            <w:vAlign w:val="bottom"/>
          </w:tcPr>
          <w:p w:rsidR="007503AB" w:rsidRPr="007503AB" w:rsidP="007503AB">
            <w:pPr>
              <w:spacing w:after="120"/>
            </w:pPr>
            <w:r w:rsidRPr="007503AB">
              <w:rPr>
                <w:b/>
                <w:bCs/>
                <w:snapToGrid/>
                <w:color w:val="000000"/>
                <w:kern w:val="0"/>
                <w:szCs w:val="22"/>
              </w:rPr>
              <w:t>FM</w:t>
            </w:r>
          </w:p>
        </w:tc>
        <w:tc>
          <w:tcPr>
            <w:tcW w:w="2360" w:type="dxa"/>
            <w:shd w:val="clear" w:color="auto" w:fill="auto"/>
            <w:vAlign w:val="bottom"/>
          </w:tcPr>
          <w:p w:rsidR="007503AB" w:rsidRPr="007503AB" w:rsidP="007503AB">
            <w:pPr>
              <w:spacing w:after="120"/>
            </w:pPr>
            <w:r>
              <w:rPr>
                <w:b/>
                <w:bCs/>
                <w:snapToGrid/>
                <w:color w:val="000000"/>
                <w:kern w:val="0"/>
                <w:szCs w:val="22"/>
              </w:rPr>
              <w:t>SYLVESTER</w:t>
            </w:r>
          </w:p>
        </w:tc>
        <w:tc>
          <w:tcPr>
            <w:tcW w:w="720" w:type="dxa"/>
            <w:shd w:val="clear" w:color="auto" w:fill="auto"/>
            <w:vAlign w:val="bottom"/>
          </w:tcPr>
          <w:p w:rsidR="007503AB" w:rsidRPr="007503AB" w:rsidP="007503AB">
            <w:pPr>
              <w:spacing w:after="120"/>
            </w:pPr>
            <w:r>
              <w:rPr>
                <w:b/>
                <w:bCs/>
                <w:snapToGrid/>
                <w:color w:val="000000"/>
                <w:kern w:val="0"/>
                <w:szCs w:val="22"/>
              </w:rPr>
              <w:t>G</w:t>
            </w:r>
            <w:r w:rsidRPr="007503AB">
              <w:rPr>
                <w:b/>
                <w:bCs/>
                <w:snapToGrid/>
                <w:color w:val="000000"/>
                <w:kern w:val="0"/>
                <w:szCs w:val="22"/>
              </w:rPr>
              <w:t>A</w:t>
            </w:r>
          </w:p>
        </w:tc>
        <w:tc>
          <w:tcPr>
            <w:tcW w:w="1273" w:type="dxa"/>
            <w:shd w:val="clear" w:color="auto" w:fill="auto"/>
            <w:vAlign w:val="bottom"/>
          </w:tcPr>
          <w:p w:rsidR="007503AB" w:rsidRPr="007503AB" w:rsidP="007503AB">
            <w:pPr>
              <w:spacing w:after="120"/>
            </w:pPr>
            <w:r>
              <w:t>66942</w:t>
            </w:r>
          </w:p>
        </w:tc>
        <w:tc>
          <w:tcPr>
            <w:tcW w:w="1060" w:type="dxa"/>
            <w:shd w:val="clear" w:color="auto" w:fill="auto"/>
            <w:vAlign w:val="bottom"/>
          </w:tcPr>
          <w:p w:rsidR="007503AB" w:rsidRPr="007503AB" w:rsidP="007503AB">
            <w:pPr>
              <w:spacing w:after="120"/>
            </w:pPr>
            <w:r w:rsidRPr="007503AB">
              <w:rPr>
                <w:b/>
                <w:bCs/>
                <w:snapToGrid/>
                <w:color w:val="000000"/>
                <w:kern w:val="0"/>
                <w:szCs w:val="22"/>
              </w:rPr>
              <w:t>BALH</w:t>
            </w:r>
          </w:p>
        </w:tc>
        <w:tc>
          <w:tcPr>
            <w:tcW w:w="1622" w:type="dxa"/>
            <w:shd w:val="clear" w:color="auto" w:fill="auto"/>
            <w:vAlign w:val="bottom"/>
          </w:tcPr>
          <w:p w:rsidR="007503AB" w:rsidRPr="007503AB" w:rsidP="007503AB">
            <w:pPr>
              <w:spacing w:after="120"/>
            </w:pPr>
            <w:r w:rsidRPr="007503AB">
              <w:rPr>
                <w:b/>
                <w:bCs/>
                <w:snapToGrid/>
                <w:color w:val="000000"/>
                <w:kern w:val="0"/>
                <w:szCs w:val="22"/>
              </w:rPr>
              <w:t>201</w:t>
            </w:r>
            <w:r w:rsidR="002E1333">
              <w:rPr>
                <w:b/>
                <w:bCs/>
                <w:snapToGrid/>
                <w:color w:val="000000"/>
                <w:kern w:val="0"/>
                <w:szCs w:val="22"/>
              </w:rPr>
              <w:t>80326ABX</w:t>
            </w:r>
          </w:p>
        </w:tc>
      </w:tr>
      <w:tr w:rsidTr="002916BA">
        <w:tblPrEx>
          <w:tblW w:w="0" w:type="auto"/>
          <w:tblLook w:val="04A0"/>
        </w:tblPrEx>
        <w:tc>
          <w:tcPr>
            <w:tcW w:w="1414" w:type="dxa"/>
            <w:shd w:val="clear" w:color="auto" w:fill="auto"/>
            <w:vAlign w:val="bottom"/>
          </w:tcPr>
          <w:p w:rsidR="007503AB" w:rsidRPr="00AD0E30" w:rsidP="007503AB">
            <w:pPr>
              <w:spacing w:after="120"/>
            </w:pPr>
            <w:r>
              <w:rPr>
                <w:bCs/>
                <w:snapToGrid/>
                <w:color w:val="000000"/>
                <w:kern w:val="0"/>
                <w:szCs w:val="22"/>
              </w:rPr>
              <w:t>WPCK</w:t>
            </w:r>
          </w:p>
        </w:tc>
        <w:tc>
          <w:tcPr>
            <w:tcW w:w="901" w:type="dxa"/>
            <w:shd w:val="clear" w:color="auto" w:fill="auto"/>
            <w:vAlign w:val="bottom"/>
          </w:tcPr>
          <w:p w:rsidR="007503AB" w:rsidRPr="00AD0E30" w:rsidP="007503AB">
            <w:pPr>
              <w:spacing w:after="120"/>
            </w:pPr>
            <w:r w:rsidRPr="00AD0E30">
              <w:rPr>
                <w:bCs/>
                <w:snapToGrid/>
                <w:color w:val="000000"/>
                <w:kern w:val="0"/>
                <w:szCs w:val="22"/>
              </w:rPr>
              <w:t>FM</w:t>
            </w:r>
          </w:p>
        </w:tc>
        <w:tc>
          <w:tcPr>
            <w:tcW w:w="2360" w:type="dxa"/>
            <w:shd w:val="clear" w:color="auto" w:fill="auto"/>
            <w:vAlign w:val="bottom"/>
          </w:tcPr>
          <w:p w:rsidR="007503AB" w:rsidRPr="00AD0E30" w:rsidP="007503AB">
            <w:pPr>
              <w:spacing w:after="120"/>
            </w:pPr>
            <w:r>
              <w:rPr>
                <w:bCs/>
                <w:snapToGrid/>
                <w:color w:val="000000"/>
                <w:kern w:val="0"/>
                <w:szCs w:val="22"/>
              </w:rPr>
              <w:t>DENMARK</w:t>
            </w:r>
          </w:p>
        </w:tc>
        <w:tc>
          <w:tcPr>
            <w:tcW w:w="720" w:type="dxa"/>
            <w:shd w:val="clear" w:color="auto" w:fill="auto"/>
            <w:vAlign w:val="bottom"/>
          </w:tcPr>
          <w:p w:rsidR="007503AB" w:rsidRPr="00AD0E30" w:rsidP="007503AB">
            <w:pPr>
              <w:spacing w:after="120"/>
            </w:pPr>
            <w:r>
              <w:rPr>
                <w:bCs/>
                <w:snapToGrid/>
                <w:color w:val="000000"/>
                <w:kern w:val="0"/>
                <w:szCs w:val="22"/>
              </w:rPr>
              <w:t>WI</w:t>
            </w:r>
          </w:p>
        </w:tc>
        <w:tc>
          <w:tcPr>
            <w:tcW w:w="1273" w:type="dxa"/>
            <w:shd w:val="clear" w:color="auto" w:fill="auto"/>
            <w:vAlign w:val="bottom"/>
          </w:tcPr>
          <w:p w:rsidR="007503AB" w:rsidRPr="00AD0E30" w:rsidP="007503AB">
            <w:pPr>
              <w:spacing w:after="120"/>
            </w:pPr>
            <w:r>
              <w:rPr>
                <w:bCs/>
                <w:snapToGrid/>
                <w:color w:val="000000"/>
                <w:kern w:val="0"/>
                <w:szCs w:val="22"/>
              </w:rPr>
              <w:t>119</w:t>
            </w:r>
          </w:p>
        </w:tc>
        <w:tc>
          <w:tcPr>
            <w:tcW w:w="1060" w:type="dxa"/>
            <w:shd w:val="clear" w:color="auto" w:fill="auto"/>
            <w:vAlign w:val="bottom"/>
          </w:tcPr>
          <w:p w:rsidR="007503AB" w:rsidRPr="00AD0E30" w:rsidP="007503AB">
            <w:pPr>
              <w:spacing w:after="120"/>
            </w:pPr>
            <w:r w:rsidRPr="00AD0E30">
              <w:rPr>
                <w:bCs/>
                <w:snapToGrid/>
                <w:color w:val="000000"/>
                <w:kern w:val="0"/>
                <w:szCs w:val="22"/>
              </w:rPr>
              <w:t>BALH</w:t>
            </w:r>
          </w:p>
        </w:tc>
        <w:tc>
          <w:tcPr>
            <w:tcW w:w="1622" w:type="dxa"/>
            <w:shd w:val="clear" w:color="auto" w:fill="auto"/>
            <w:vAlign w:val="bottom"/>
          </w:tcPr>
          <w:p w:rsidR="007503AB" w:rsidRPr="00AD0E30" w:rsidP="007503AB">
            <w:pPr>
              <w:spacing w:after="120"/>
            </w:pPr>
            <w:r w:rsidRPr="00AD0E30">
              <w:rPr>
                <w:bCs/>
                <w:snapToGrid/>
                <w:color w:val="000000"/>
                <w:kern w:val="0"/>
                <w:szCs w:val="22"/>
              </w:rPr>
              <w:t>201703</w:t>
            </w:r>
            <w:r w:rsidR="00AD0E30">
              <w:rPr>
                <w:bCs/>
                <w:snapToGrid/>
                <w:color w:val="000000"/>
                <w:kern w:val="0"/>
                <w:szCs w:val="22"/>
              </w:rPr>
              <w:t>26ABZ</w:t>
            </w:r>
          </w:p>
        </w:tc>
      </w:tr>
      <w:tr w:rsidTr="002916BA">
        <w:tblPrEx>
          <w:tblW w:w="0" w:type="auto"/>
          <w:tblLook w:val="04A0"/>
        </w:tblPrEx>
        <w:tc>
          <w:tcPr>
            <w:tcW w:w="1414" w:type="dxa"/>
            <w:shd w:val="clear" w:color="auto" w:fill="auto"/>
            <w:vAlign w:val="bottom"/>
          </w:tcPr>
          <w:p w:rsidR="007503AB" w:rsidRPr="00AD0E30" w:rsidP="007503AB">
            <w:pPr>
              <w:spacing w:after="120"/>
            </w:pPr>
            <w:r>
              <w:rPr>
                <w:bCs/>
                <w:snapToGrid/>
                <w:color w:val="000000"/>
                <w:kern w:val="0"/>
                <w:szCs w:val="22"/>
              </w:rPr>
              <w:t>WTOD</w:t>
            </w:r>
          </w:p>
        </w:tc>
        <w:tc>
          <w:tcPr>
            <w:tcW w:w="901" w:type="dxa"/>
            <w:shd w:val="clear" w:color="auto" w:fill="auto"/>
            <w:vAlign w:val="bottom"/>
          </w:tcPr>
          <w:p w:rsidR="007503AB" w:rsidRPr="00AD0E30" w:rsidP="007503AB">
            <w:pPr>
              <w:spacing w:after="120"/>
            </w:pPr>
            <w:r>
              <w:rPr>
                <w:bCs/>
                <w:snapToGrid/>
                <w:color w:val="000000"/>
                <w:kern w:val="0"/>
                <w:szCs w:val="22"/>
              </w:rPr>
              <w:t>F</w:t>
            </w:r>
            <w:r w:rsidRPr="00AD0E30">
              <w:rPr>
                <w:bCs/>
                <w:snapToGrid/>
                <w:color w:val="000000"/>
                <w:kern w:val="0"/>
                <w:szCs w:val="22"/>
              </w:rPr>
              <w:t>M</w:t>
            </w:r>
          </w:p>
        </w:tc>
        <w:tc>
          <w:tcPr>
            <w:tcW w:w="2360" w:type="dxa"/>
            <w:shd w:val="clear" w:color="auto" w:fill="auto"/>
            <w:vAlign w:val="bottom"/>
          </w:tcPr>
          <w:p w:rsidR="007503AB" w:rsidRPr="00AD0E30" w:rsidP="007503AB">
            <w:pPr>
              <w:spacing w:after="120"/>
            </w:pPr>
            <w:r>
              <w:rPr>
                <w:bCs/>
                <w:snapToGrid/>
                <w:color w:val="000000"/>
                <w:kern w:val="0"/>
                <w:szCs w:val="22"/>
              </w:rPr>
              <w:t>DELTA</w:t>
            </w:r>
          </w:p>
        </w:tc>
        <w:tc>
          <w:tcPr>
            <w:tcW w:w="720" w:type="dxa"/>
            <w:shd w:val="clear" w:color="auto" w:fill="auto"/>
            <w:vAlign w:val="bottom"/>
          </w:tcPr>
          <w:p w:rsidR="007503AB" w:rsidRPr="00AD0E30" w:rsidP="007503AB">
            <w:pPr>
              <w:spacing w:after="120"/>
            </w:pPr>
            <w:r>
              <w:rPr>
                <w:bCs/>
                <w:snapToGrid/>
                <w:color w:val="000000"/>
                <w:kern w:val="0"/>
                <w:szCs w:val="22"/>
              </w:rPr>
              <w:t>OH</w:t>
            </w:r>
          </w:p>
        </w:tc>
        <w:tc>
          <w:tcPr>
            <w:tcW w:w="1273" w:type="dxa"/>
            <w:shd w:val="clear" w:color="auto" w:fill="auto"/>
            <w:vAlign w:val="bottom"/>
          </w:tcPr>
          <w:p w:rsidR="007503AB" w:rsidRPr="00AD0E30" w:rsidP="007503AB">
            <w:pPr>
              <w:spacing w:after="120"/>
            </w:pPr>
            <w:r>
              <w:rPr>
                <w:bCs/>
                <w:snapToGrid/>
                <w:color w:val="000000"/>
                <w:kern w:val="0"/>
                <w:szCs w:val="22"/>
              </w:rPr>
              <w:t>67275</w:t>
            </w:r>
          </w:p>
        </w:tc>
        <w:tc>
          <w:tcPr>
            <w:tcW w:w="1060" w:type="dxa"/>
            <w:shd w:val="clear" w:color="auto" w:fill="auto"/>
            <w:vAlign w:val="bottom"/>
          </w:tcPr>
          <w:p w:rsidR="007503AB" w:rsidRPr="00AD0E30" w:rsidP="007503AB">
            <w:pPr>
              <w:spacing w:after="120"/>
            </w:pPr>
            <w:r w:rsidRPr="00AD0E30">
              <w:rPr>
                <w:bCs/>
                <w:snapToGrid/>
                <w:color w:val="000000"/>
                <w:kern w:val="0"/>
                <w:szCs w:val="22"/>
              </w:rPr>
              <w:t>BAL</w:t>
            </w:r>
            <w:r w:rsidR="00DD23CB">
              <w:rPr>
                <w:bCs/>
                <w:snapToGrid/>
                <w:color w:val="000000"/>
                <w:kern w:val="0"/>
                <w:szCs w:val="22"/>
              </w:rPr>
              <w:t>H</w:t>
            </w:r>
          </w:p>
        </w:tc>
        <w:tc>
          <w:tcPr>
            <w:tcW w:w="1622" w:type="dxa"/>
            <w:shd w:val="clear" w:color="auto" w:fill="auto"/>
            <w:vAlign w:val="bottom"/>
          </w:tcPr>
          <w:p w:rsidR="007503AB" w:rsidRPr="00AD0E30" w:rsidP="007503AB">
            <w:pPr>
              <w:spacing w:after="120"/>
            </w:pPr>
            <w:r w:rsidRPr="00AD0E30">
              <w:rPr>
                <w:bCs/>
                <w:snapToGrid/>
                <w:color w:val="000000"/>
                <w:kern w:val="0"/>
                <w:szCs w:val="22"/>
              </w:rPr>
              <w:t>20170320A</w:t>
            </w:r>
            <w:r w:rsidR="00AD0E30">
              <w:rPr>
                <w:bCs/>
                <w:snapToGrid/>
                <w:color w:val="000000"/>
                <w:kern w:val="0"/>
                <w:szCs w:val="22"/>
              </w:rPr>
              <w:t>CA</w:t>
            </w:r>
          </w:p>
        </w:tc>
      </w:tr>
    </w:tbl>
    <w:p w:rsidR="002C00E8" w:rsidRPr="002C00E8" w:rsidP="007503AB">
      <w:pPr>
        <w:pStyle w:val="Heading1"/>
        <w:numPr>
          <w:ilvl w:val="0"/>
          <w:numId w:val="0"/>
        </w:numPr>
      </w:pPr>
    </w:p>
    <w:sectPr w:rsidSect="007503AB">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55614C">
    <w:pPr>
      <w:pStyle w:val="Footer"/>
      <w:framePr w:wrap="around" w:vAnchor="text" w:hAnchor="margin" w:xAlign="center" w:y="1"/>
    </w:pPr>
    <w:r>
      <w:fldChar w:fldCharType="begin"/>
    </w:r>
    <w:r>
      <w:instrText xml:space="preserve">PAGE  </w:instrText>
    </w:r>
    <w:r>
      <w:fldChar w:fldCharType="separate"/>
    </w:r>
    <w:r>
      <w:fldChar w:fldCharType="end"/>
    </w:r>
  </w:p>
  <w:p w:rsidR="00F436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7503AB">
    <w:pPr>
      <w:pStyle w:val="Footer"/>
      <w:jc w:val="center"/>
      <w:rPr>
        <w:noProof/>
      </w:rPr>
    </w:pPr>
    <w:r>
      <w:fldChar w:fldCharType="begin"/>
    </w:r>
    <w:r>
      <w:instrText xml:space="preserve"> PAGE   \* MERGEFORMAT </w:instrText>
    </w:r>
    <w:r>
      <w:fldChar w:fldCharType="separate"/>
    </w:r>
    <w:r w:rsidR="00CC6C3B">
      <w:rPr>
        <w:noProof/>
      </w:rPr>
      <w:t>8</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RPr="00AE6260" w:rsidP="00C854D7">
    <w:pPr>
      <w:pStyle w:val="Footer"/>
      <w:rPr>
        <w:noProof/>
      </w:rPr>
    </w:pPr>
    <w:r>
      <w:rPr>
        <w:b/>
      </w:rPr>
      <w:tab/>
    </w:r>
  </w:p>
  <w:p w:rsidR="00F43665">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55614C">
    <w:pPr>
      <w:pStyle w:val="Footer"/>
      <w:framePr w:wrap="around" w:vAnchor="text" w:hAnchor="margin" w:xAlign="center" w:y="1"/>
    </w:pPr>
    <w:r>
      <w:fldChar w:fldCharType="begin"/>
    </w:r>
    <w:r>
      <w:instrText xml:space="preserve">PAGE  </w:instrText>
    </w:r>
    <w:r>
      <w:fldChar w:fldCharType="separate"/>
    </w:r>
    <w:r>
      <w:fldChar w:fldCharType="end"/>
    </w:r>
  </w:p>
  <w:p w:rsidR="00F4366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pPr>
      <w:pStyle w:val="Footer"/>
      <w:jc w:val="center"/>
    </w:pPr>
    <w:r>
      <w:fldChar w:fldCharType="begin"/>
    </w:r>
    <w:r>
      <w:instrText xml:space="preserve"> PAGE   \* MERGEFORMAT </w:instrText>
    </w:r>
    <w:r>
      <w:fldChar w:fldCharType="separate"/>
    </w:r>
    <w:r w:rsidR="00CC6C3B">
      <w:rPr>
        <w:noProof/>
      </w:rPr>
      <w:t>24</w:t>
    </w:r>
    <w:r>
      <w:rPr>
        <w:noProof/>
      </w:rPr>
      <w:fldChar w:fldCharType="end"/>
    </w:r>
  </w:p>
  <w:p w:rsidR="00F43665" w:rsidRPr="007503AB" w:rsidP="007503AB">
    <w:pPr>
      <w:pStyle w:val="Footer"/>
      <w:rPr>
        <w:sz w:val="20"/>
      </w:rPr>
    </w:pPr>
    <w:r w:rsidRPr="00922B33">
      <w:rPr>
        <w:sz w:val="20"/>
      </w:rPr>
      <w:t xml:space="preserve">*Lead applications in </w:t>
    </w:r>
    <w:r w:rsidRPr="00922B33">
      <w:rPr>
        <w:b/>
        <w:sz w:val="20"/>
      </w:rPr>
      <w:t>bold</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pPr>
      <w:pStyle w:val="Footer"/>
      <w:jc w:val="center"/>
      <w:rPr>
        <w:noProof/>
      </w:rPr>
    </w:pPr>
    <w:r>
      <w:fldChar w:fldCharType="begin"/>
    </w:r>
    <w:r>
      <w:instrText xml:space="preserve"> PAGE   \* MERGEFORMAT </w:instrText>
    </w:r>
    <w:r>
      <w:fldChar w:fldCharType="separate"/>
    </w:r>
    <w:r w:rsidR="00CC6C3B">
      <w:rPr>
        <w:noProof/>
      </w:rPr>
      <w:t>9</w:t>
    </w:r>
    <w:r>
      <w:rPr>
        <w:noProof/>
      </w:rPr>
      <w:fldChar w:fldCharType="end"/>
    </w:r>
  </w:p>
  <w:p w:rsidR="00F43665" w:rsidRPr="007503AB" w:rsidP="007503AB">
    <w:pPr>
      <w:pStyle w:val="Footer"/>
      <w:rPr>
        <w:sz w:val="20"/>
      </w:rPr>
    </w:pPr>
    <w:r w:rsidRPr="00922B33">
      <w:rPr>
        <w:sz w:val="20"/>
      </w:rPr>
      <w:t xml:space="preserve">*Lead applications in </w:t>
    </w:r>
    <w:r w:rsidRPr="00922B33">
      <w:rPr>
        <w:b/>
        <w:sz w:val="20"/>
      </w:rPr>
      <w:t>bold</w:t>
    </w:r>
  </w:p>
  <w:p w:rsidR="00F4366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B5EDE">
      <w:r>
        <w:separator/>
      </w:r>
    </w:p>
  </w:footnote>
  <w:footnote w:type="continuationSeparator" w:id="1">
    <w:p w:rsidR="004B5EDE" w:rsidP="00C721AC">
      <w:pPr>
        <w:spacing w:before="120"/>
        <w:rPr>
          <w:sz w:val="20"/>
        </w:rPr>
      </w:pPr>
      <w:r>
        <w:rPr>
          <w:sz w:val="20"/>
        </w:rPr>
        <w:t xml:space="preserve">(Continued from previous page)  </w:t>
      </w:r>
      <w:r>
        <w:rPr>
          <w:sz w:val="20"/>
        </w:rPr>
        <w:separator/>
      </w:r>
    </w:p>
  </w:footnote>
  <w:footnote w:type="continuationNotice" w:id="2">
    <w:p w:rsidR="004B5EDE" w:rsidP="00C721AC">
      <w:pPr>
        <w:jc w:val="right"/>
        <w:rPr>
          <w:sz w:val="20"/>
        </w:rPr>
      </w:pPr>
      <w:r>
        <w:rPr>
          <w:sz w:val="20"/>
        </w:rPr>
        <w:t>(continued….)</w:t>
      </w:r>
    </w:p>
  </w:footnote>
  <w:footnote w:id="3">
    <w:p w:rsidR="00F43665" w:rsidP="002916BA">
      <w:pPr>
        <w:pStyle w:val="Footer"/>
        <w:spacing w:after="120"/>
        <w:rPr>
          <w:sz w:val="20"/>
        </w:rPr>
      </w:pPr>
      <w:r>
        <w:rPr>
          <w:rStyle w:val="FootnoteReference"/>
        </w:rPr>
        <w:footnoteRef/>
      </w:r>
      <w:r>
        <w:rPr>
          <w:sz w:val="20"/>
        </w:rPr>
        <w:t xml:space="preserve"> The Transfer Applications were filed on March 22, 2018, and accepted for filing on March 29, 2018.  </w:t>
      </w:r>
      <w:r>
        <w:rPr>
          <w:i/>
          <w:sz w:val="20"/>
        </w:rPr>
        <w:t xml:space="preserve">See Broadcast Applications, </w:t>
      </w:r>
      <w:r>
        <w:rPr>
          <w:sz w:val="20"/>
        </w:rPr>
        <w:t xml:space="preserve">Public Notice, Report No. 29203 (Mar. 29, 2018).  The Divestiture Applications were filed on March 26, 2018, and accepted for filing on March 30, 2018.  </w:t>
      </w:r>
      <w:r>
        <w:rPr>
          <w:i/>
          <w:sz w:val="20"/>
        </w:rPr>
        <w:t xml:space="preserve">See Broadcast Applications, </w:t>
      </w:r>
      <w:r>
        <w:rPr>
          <w:sz w:val="20"/>
        </w:rPr>
        <w:t>Public Notice, Report No. 29204 (Mar. 30, 2018).  A list of the stations that are the subject of the proposed transfers and assignments and, for each, its call sign, community of license, facility ID number and assignment or transfer application file number, is attached as the Appendix.</w:t>
      </w:r>
    </w:p>
  </w:footnote>
  <w:footnote w:id="4">
    <w:p w:rsidR="00F43665" w:rsidP="00DB6F21">
      <w:pPr>
        <w:pStyle w:val="FootnoteText"/>
      </w:pPr>
      <w:r>
        <w:rPr>
          <w:rStyle w:val="FootnoteReference"/>
        </w:rPr>
        <w:footnoteRef/>
      </w:r>
      <w:r>
        <w:t xml:space="preserve"> </w:t>
      </w:r>
      <w:r>
        <w:rPr>
          <w:i/>
        </w:rPr>
        <w:t xml:space="preserve">See </w:t>
      </w:r>
      <w:r>
        <w:t>47 U.S.C. § 310(d).</w:t>
      </w:r>
    </w:p>
  </w:footnote>
  <w:footnote w:id="5">
    <w:p w:rsidR="00F43665" w:rsidRPr="00BD5AE4" w:rsidP="00BD5AE4">
      <w:pPr>
        <w:widowControl/>
        <w:autoSpaceDE w:val="0"/>
        <w:autoSpaceDN w:val="0"/>
        <w:adjustRightInd w:val="0"/>
        <w:spacing w:after="120"/>
        <w:rPr>
          <w:sz w:val="20"/>
        </w:rPr>
      </w:pPr>
      <w:r w:rsidRPr="00BD5AE4">
        <w:rPr>
          <w:rStyle w:val="FootnoteReference"/>
        </w:rPr>
        <w:footnoteRef/>
      </w:r>
      <w:r w:rsidRPr="00BD5AE4">
        <w:rPr>
          <w:sz w:val="20"/>
        </w:rPr>
        <w:t xml:space="preserve"> </w:t>
      </w:r>
      <w:r w:rsidRPr="00BD5AE4">
        <w:rPr>
          <w:i/>
          <w:sz w:val="20"/>
        </w:rPr>
        <w:t xml:space="preserve">See </w:t>
      </w:r>
      <w:r w:rsidRPr="00BD5AE4">
        <w:rPr>
          <w:sz w:val="20"/>
        </w:rPr>
        <w:t>Transfer Applications, Exh. 7, First Amended Joint Plan of Reorganization of Cumulus Media Inc. and its Debtor Affiliates Pursuant to Chapter 11 of the Bankruptcy Code</w:t>
      </w:r>
      <w:r>
        <w:rPr>
          <w:sz w:val="20"/>
        </w:rPr>
        <w:t xml:space="preserve"> (Joint Plan) and Supplements thereto</w:t>
      </w:r>
      <w:r w:rsidRPr="00BD5AE4">
        <w:rPr>
          <w:sz w:val="20"/>
        </w:rPr>
        <w:t>.</w:t>
      </w:r>
      <w:r>
        <w:rPr>
          <w:sz w:val="20"/>
        </w:rPr>
        <w:t xml:space="preserve">  The United States Bankruptcy Court for the Southern District of New York approved the Joint Plan on May 10, 2018.  </w:t>
      </w:r>
      <w:r>
        <w:rPr>
          <w:i/>
          <w:sz w:val="20"/>
        </w:rPr>
        <w:t>Cumulus Media Inc. et al.,</w:t>
      </w:r>
      <w:r>
        <w:rPr>
          <w:sz w:val="20"/>
        </w:rPr>
        <w:t xml:space="preserve"> Findings of Fact, Conclusions of Law, and Order Confirming the Debtors’ First Amended Joint Chapter 11 Plan of Reorganization, Case No. 17-13381 (SCC) (Bankr. S.D.N.Y. May 10, 2018) submitted in Exhibit 7 of the Transfer Applications.</w:t>
      </w:r>
    </w:p>
  </w:footnote>
  <w:footnote w:id="6">
    <w:p w:rsidR="00F43665">
      <w:pPr>
        <w:pStyle w:val="FootnoteText"/>
      </w:pPr>
      <w:r>
        <w:rPr>
          <w:rStyle w:val="FootnoteReference"/>
        </w:rPr>
        <w:footnoteRef/>
      </w:r>
      <w:r>
        <w:t xml:space="preserve"> Cumulus filed an Opposition to the Petition on May 10, 2018.</w:t>
      </w:r>
    </w:p>
  </w:footnote>
  <w:footnote w:id="7">
    <w:p w:rsidR="00F43665" w:rsidRPr="002916BA">
      <w:pPr>
        <w:pStyle w:val="FootnoteText"/>
        <w:rPr>
          <w:b/>
        </w:rPr>
      </w:pPr>
      <w:r>
        <w:rPr>
          <w:rStyle w:val="FootnoteReference"/>
        </w:rPr>
        <w:footnoteRef/>
      </w:r>
      <w:r>
        <w:t xml:space="preserve"> On April 4, 2018, Cumulus filed: (1) an application (File No. BALH-20180404AAI) seeking Commission consent to the assignment of the license of Station WKQX(FM), Chicago, Illinois, from Merlin Media License, LLC to Cumulus’ subsidiary Radio License Holdings LLC; and (2) an application (BTCH-20180404AAK) for transfer of control of Radio License Holdings LLC that mirrors the Radio License Holdings LLC transfer application pending before us, BTC-20180322ALP.  Those applications remain pending.</w:t>
      </w:r>
    </w:p>
  </w:footnote>
  <w:footnote w:id="8">
    <w:p w:rsidR="00F43665" w:rsidRPr="00BD5AE4" w:rsidP="00BD5AE4">
      <w:pPr>
        <w:pStyle w:val="FootnoteText"/>
      </w:pPr>
      <w:r w:rsidRPr="00BD5AE4">
        <w:rPr>
          <w:rStyle w:val="FootnoteReference"/>
        </w:rPr>
        <w:footnoteRef/>
      </w:r>
      <w:r w:rsidRPr="00BD5AE4">
        <w:t xml:space="preserve"> 47 CFR § 73.3555(a)(1).</w:t>
      </w:r>
    </w:p>
  </w:footnote>
  <w:footnote w:id="9">
    <w:p w:rsidR="00F43665" w:rsidRPr="00BD5AE4" w:rsidP="00BD5AE4">
      <w:pPr>
        <w:pStyle w:val="FootnoteText"/>
      </w:pPr>
      <w:r w:rsidRPr="00BD5AE4">
        <w:rPr>
          <w:rStyle w:val="FootnoteReference"/>
        </w:rPr>
        <w:footnoteRef/>
      </w:r>
      <w:r>
        <w:t>Albany, Georgia; Columbia, Missouri; Green Bay, Wisconsin; and Toledo, Ohio</w:t>
      </w:r>
      <w:r w:rsidRPr="00BD5AE4">
        <w:t xml:space="preserve">.  </w:t>
      </w:r>
    </w:p>
  </w:footnote>
  <w:footnote w:id="10">
    <w:p w:rsidR="00F43665">
      <w:pPr>
        <w:pStyle w:val="FootnoteText"/>
      </w:pPr>
      <w:r>
        <w:rPr>
          <w:rStyle w:val="FootnoteReference"/>
        </w:rPr>
        <w:footnoteRef/>
      </w:r>
      <w:r>
        <w:t xml:space="preserve"> 47 CFR § 73.3555, Note 4.</w:t>
      </w:r>
    </w:p>
  </w:footnote>
  <w:footnote w:id="11">
    <w:p w:rsidR="00F43665" w:rsidRPr="00664B89">
      <w:pPr>
        <w:pStyle w:val="FootnoteText"/>
      </w:pPr>
      <w:r>
        <w:rPr>
          <w:rStyle w:val="FootnoteReference"/>
        </w:rPr>
        <w:footnoteRef/>
      </w:r>
      <w:r>
        <w:t xml:space="preserve"> </w:t>
      </w:r>
      <w:r>
        <w:rPr>
          <w:i/>
        </w:rPr>
        <w:t>Id.</w:t>
      </w:r>
    </w:p>
  </w:footnote>
  <w:footnote w:id="12">
    <w:p w:rsidR="00F43665" w:rsidRPr="00387CFE">
      <w:pPr>
        <w:pStyle w:val="FootnoteText"/>
      </w:pPr>
      <w:r>
        <w:rPr>
          <w:rStyle w:val="FootnoteReference"/>
        </w:rPr>
        <w:footnoteRef/>
      </w:r>
      <w:r>
        <w:t xml:space="preserve"> </w:t>
      </w:r>
      <w:r>
        <w:rPr>
          <w:i/>
        </w:rPr>
        <w:t>Id.</w:t>
      </w:r>
    </w:p>
  </w:footnote>
  <w:footnote w:id="13">
    <w:p w:rsidR="00F43665">
      <w:pPr>
        <w:pStyle w:val="FootnoteText"/>
      </w:pPr>
      <w:r>
        <w:rPr>
          <w:rStyle w:val="FootnoteReference"/>
        </w:rPr>
        <w:footnoteRef/>
      </w:r>
      <w:r>
        <w:t xml:space="preserve"> The Divestiture Applications originally also included Station KJMO(FM), Linn, Missouri.  The Bureau’s analysis revealed that, even with the divestiture of Station KJMO(FM) to MST, Cumulus would still violate Section 73.3555(a)(1) in the Columbia, Missouri, market, as it would continue to own 5 FM stations in that 18-station Nielsen Market, one station over the limit set by Section73.3555(a)(1).  Cumulus resolved this issue by discontinuing the operation of station KZJF(FM), Jefferson City, Missouri on May 25, 2018 and surrendering that Station’s license for cancellation.  </w:t>
      </w:r>
      <w:r>
        <w:rPr>
          <w:i/>
        </w:rPr>
        <w:t>See</w:t>
      </w:r>
      <w:r>
        <w:t xml:space="preserve"> Comprehensive Exhibit, Section IV, para. 3, and </w:t>
      </w:r>
      <w:r>
        <w:rPr>
          <w:i/>
        </w:rPr>
        <w:t xml:space="preserve">Letters to Albert Shuldiner, Chief, Audio Division, Media Bureau from David D. Burns </w:t>
      </w:r>
      <w:r>
        <w:t xml:space="preserve">(dated May 23, 2018, and May 25, 2018).  </w:t>
      </w:r>
      <w:r w:rsidRPr="002916BA">
        <w:t>Consequently, Cumulus amended its proposal to indicate that it would not divest Station KJMO(FM</w:t>
      </w:r>
      <w:r>
        <w:t xml:space="preserve">).  Comprehensive Exhibit at p.8, n13.  The Bureau staff has cancelled the KZJF(FM) station license and deleted its call sign, </w:t>
      </w:r>
      <w:r>
        <w:rPr>
          <w:i/>
        </w:rPr>
        <w:t xml:space="preserve">see Broadcast Actions, </w:t>
      </w:r>
      <w:r>
        <w:t xml:space="preserve">Public Notice, Report No. 49249 (to be released Jun. 4, 2018), and will dismiss the KJMO(FM) Divestiture Application (BALH-20180326ABY) upon the release of this </w:t>
      </w:r>
      <w:r>
        <w:rPr>
          <w:i/>
        </w:rPr>
        <w:t>Order</w:t>
      </w:r>
      <w:r>
        <w:t>.</w:t>
      </w:r>
    </w:p>
  </w:footnote>
  <w:footnote w:id="14">
    <w:p w:rsidR="00F43665">
      <w:pPr>
        <w:pStyle w:val="FootnoteText"/>
      </w:pPr>
      <w:r>
        <w:rPr>
          <w:rStyle w:val="FootnoteReference"/>
        </w:rPr>
        <w:footnoteRef/>
      </w:r>
      <w:r>
        <w:t xml:space="preserve"> Application, Comprehensive Exhibit at 2-3, n.4, citing </w:t>
      </w:r>
      <w:r>
        <w:rPr>
          <w:i/>
          <w:iCs/>
        </w:rPr>
        <w:t>Applications of AT&amp;T Inc. and</w:t>
      </w:r>
      <w:r w:rsidRPr="002916BA">
        <w:rPr>
          <w:i/>
        </w:rPr>
        <w:t xml:space="preserve"> </w:t>
      </w:r>
      <w:r>
        <w:rPr>
          <w:i/>
          <w:iCs/>
        </w:rPr>
        <w:t>Cellco Partnership d/b/a Verizon Wireless</w:t>
      </w:r>
      <w:r>
        <w:t xml:space="preserve">, Memorandum Opinion and Order, 25 FCC Rcd 8704, 8773, ¶ 165 (2010); </w:t>
      </w:r>
      <w:r>
        <w:rPr>
          <w:i/>
          <w:iCs/>
        </w:rPr>
        <w:t>SBC Communications Inc. and AT&amp;T Corp. Applications for Approval of Transfer of Control</w:t>
      </w:r>
      <w:r>
        <w:t xml:space="preserve">, Memorandum Opinion and Order, 20 FCC Rcd 18290, 18392, ¶ 212 (2005); </w:t>
      </w:r>
      <w:r>
        <w:rPr>
          <w:i/>
          <w:iCs/>
        </w:rPr>
        <w:t>Applications of AT&amp;T Wireless Services, Inc. and Cingular Wireless Corp. for Consent to Transfer Control of Licenses and Authorizations</w:t>
      </w:r>
      <w:r>
        <w:t xml:space="preserve">, Memorandum Opinion and Order, 19 FCC Rcd 21522, 21626, ¶ 275 (2004).  </w:t>
      </w:r>
    </w:p>
  </w:footnote>
  <w:footnote w:id="15">
    <w:p w:rsidR="00F43665">
      <w:pPr>
        <w:pStyle w:val="FootnoteText"/>
      </w:pPr>
      <w:r>
        <w:rPr>
          <w:rStyle w:val="FootnoteReference"/>
        </w:rPr>
        <w:footnoteRef/>
      </w:r>
      <w:r>
        <w:t xml:space="preserve"> Petition at 2, 6, citing 47 U.S.C. § 310(d).  WGH acknowledges that the “Equity Allocation Mechanism” submitted as Exhibit A of the Reorganization Plan states (and specifies steps to ensure) that the foreign ownership of the licensee subsidiaries will not exceed 22.5% for purposes of the Transfer Applications, but still indicates that the Comprehensive exhibit “makes no mention” of the 20%  direct foreign ownership limitation in Section 310(b)(3) of the Act and “whether or not Applicants are capable of making a showing that they will not run afoul of that subsection.”  Petition at 6.  This claim requires no further discussion.  The licensee companies here are wholly owned subsidiaries ultimately of Cumulus Media, Inc., so only Section 310(b)(4) is applicable.</w:t>
      </w:r>
    </w:p>
  </w:footnote>
  <w:footnote w:id="16">
    <w:p w:rsidR="00F43665" w:rsidRPr="00592256">
      <w:pPr>
        <w:pStyle w:val="FootnoteText"/>
      </w:pPr>
      <w:r>
        <w:rPr>
          <w:rStyle w:val="FootnoteReference"/>
        </w:rPr>
        <w:footnoteRef/>
      </w:r>
      <w:r>
        <w:t xml:space="preserve"> </w:t>
      </w:r>
      <w:r>
        <w:rPr>
          <w:i/>
        </w:rPr>
        <w:t xml:space="preserve">Id. </w:t>
      </w:r>
      <w:r>
        <w:t>at 2.</w:t>
      </w:r>
    </w:p>
  </w:footnote>
  <w:footnote w:id="17">
    <w:p w:rsidR="00F43665" w:rsidRPr="00AA5132">
      <w:pPr>
        <w:pStyle w:val="FootnoteText"/>
      </w:pPr>
      <w:r>
        <w:rPr>
          <w:rStyle w:val="FootnoteReference"/>
        </w:rPr>
        <w:footnoteRef/>
      </w:r>
      <w:r>
        <w:t xml:space="preserve"> </w:t>
      </w:r>
      <w:r>
        <w:rPr>
          <w:i/>
        </w:rPr>
        <w:t xml:space="preserve">Id. </w:t>
      </w:r>
      <w:r>
        <w:t>at 7.</w:t>
      </w:r>
    </w:p>
  </w:footnote>
  <w:footnote w:id="18">
    <w:p w:rsidR="00F43665" w:rsidRPr="00AA5132">
      <w:pPr>
        <w:pStyle w:val="FootnoteText"/>
      </w:pPr>
      <w:r>
        <w:rPr>
          <w:rStyle w:val="FootnoteReference"/>
        </w:rPr>
        <w:footnoteRef/>
      </w:r>
      <w:r>
        <w:t xml:space="preserve"> </w:t>
      </w:r>
      <w:r>
        <w:rPr>
          <w:i/>
        </w:rPr>
        <w:t xml:space="preserve">Id. </w:t>
      </w:r>
    </w:p>
  </w:footnote>
  <w:footnote w:id="19">
    <w:p w:rsidR="00F43665" w:rsidRPr="00D0493E">
      <w:pPr>
        <w:pStyle w:val="FootnoteText"/>
      </w:pPr>
      <w:r>
        <w:rPr>
          <w:rStyle w:val="FootnoteReference"/>
        </w:rPr>
        <w:footnoteRef/>
      </w:r>
      <w:r>
        <w:t xml:space="preserve"> Opposition at 3, citing </w:t>
      </w:r>
      <w:r>
        <w:rPr>
          <w:i/>
        </w:rPr>
        <w:t>CBS Radio Stations Assignor</w:t>
      </w:r>
      <w:r>
        <w:t>, Memorandum Opinion and Order, 22 FCC Rcd 20058, 20061 (MB 2007) (</w:t>
      </w:r>
      <w:r>
        <w:rPr>
          <w:i/>
        </w:rPr>
        <w:t>CBS</w:t>
      </w:r>
      <w:r>
        <w:t>).  Cumulus also argues that the Petition is procedurally defective because it was not served on the Cumulus counsel filing the Opposition.  Opposition at 4.  However, WGH served Cumulus’ in-house counsel listed in the Transfer Applications as Cumulus’ contact representative.  That is sufficient under the Rules.  47 C.F.R. § 1.47.</w:t>
      </w:r>
    </w:p>
  </w:footnote>
  <w:footnote w:id="20">
    <w:p w:rsidR="00F43665" w:rsidRPr="00D0493E">
      <w:pPr>
        <w:pStyle w:val="FootnoteText"/>
      </w:pPr>
      <w:r>
        <w:rPr>
          <w:rStyle w:val="FootnoteReference"/>
        </w:rPr>
        <w:footnoteRef/>
      </w:r>
      <w:r>
        <w:t xml:space="preserve"> </w:t>
      </w:r>
      <w:r>
        <w:rPr>
          <w:i/>
        </w:rPr>
        <w:t xml:space="preserve">Id., </w:t>
      </w:r>
      <w:r>
        <w:t>citing 47 CFR § 73.3587.</w:t>
      </w:r>
    </w:p>
  </w:footnote>
  <w:footnote w:id="21">
    <w:p w:rsidR="00F43665" w:rsidRPr="001F3E00">
      <w:pPr>
        <w:pStyle w:val="FootnoteText"/>
      </w:pPr>
      <w:r>
        <w:rPr>
          <w:rStyle w:val="FootnoteReference"/>
        </w:rPr>
        <w:footnoteRef/>
      </w:r>
      <w:r>
        <w:t xml:space="preserve"> </w:t>
      </w:r>
      <w:r>
        <w:rPr>
          <w:i/>
        </w:rPr>
        <w:t>Id.</w:t>
      </w:r>
      <w:r>
        <w:t xml:space="preserve"> at 2, 5.</w:t>
      </w:r>
    </w:p>
  </w:footnote>
  <w:footnote w:id="22">
    <w:p w:rsidR="00F43665" w:rsidRPr="001F3E00">
      <w:pPr>
        <w:pStyle w:val="FootnoteText"/>
      </w:pPr>
      <w:r>
        <w:rPr>
          <w:rStyle w:val="FootnoteReference"/>
        </w:rPr>
        <w:footnoteRef/>
      </w:r>
      <w:r>
        <w:t xml:space="preserve"> </w:t>
      </w:r>
      <w:r>
        <w:rPr>
          <w:i/>
        </w:rPr>
        <w:t>Id.</w:t>
      </w:r>
      <w:r>
        <w:t xml:space="preserve"> at 2, 6-7.</w:t>
      </w:r>
    </w:p>
  </w:footnote>
  <w:footnote w:id="23">
    <w:p w:rsidR="00F43665" w:rsidRPr="00BD5AE4" w:rsidP="00BD5AE4">
      <w:pPr>
        <w:spacing w:after="120"/>
        <w:rPr>
          <w:sz w:val="20"/>
        </w:rPr>
      </w:pPr>
      <w:r w:rsidRPr="00BD5AE4">
        <w:rPr>
          <w:rStyle w:val="FootnoteReference"/>
        </w:rPr>
        <w:footnoteRef/>
      </w:r>
      <w:r w:rsidRPr="00BD5AE4">
        <w:rPr>
          <w:sz w:val="20"/>
        </w:rPr>
        <w:t xml:space="preserve"> Section 310(d) requires that the Commission consider </w:t>
      </w:r>
      <w:r>
        <w:rPr>
          <w:sz w:val="20"/>
        </w:rPr>
        <w:t>any such</w:t>
      </w:r>
      <w:r w:rsidRPr="00BD5AE4">
        <w:rPr>
          <w:sz w:val="20"/>
        </w:rPr>
        <w:t xml:space="preserve"> applications as if the proposed transferee were applying for the licenses directly.  47 U.S.C. § 310(d</w:t>
      </w:r>
      <w:r w:rsidRPr="00BD5AE4">
        <w:rPr>
          <w:i/>
          <w:sz w:val="20"/>
        </w:rPr>
        <w:t xml:space="preserve">).  See, e.g., SBC Communications Inc. and AT&amp;T Corp. Applications for Approval of Transfer of Control, </w:t>
      </w:r>
      <w:r w:rsidRPr="00BD5AE4">
        <w:rPr>
          <w:sz w:val="20"/>
        </w:rPr>
        <w:t>20 FCC Rcd 18290, 18300, para. 16 (2005) (</w:t>
      </w:r>
      <w:r w:rsidRPr="00BD5AE4">
        <w:rPr>
          <w:i/>
          <w:sz w:val="20"/>
        </w:rPr>
        <w:t>SBC-AT&amp;T Order</w:t>
      </w:r>
      <w:r w:rsidRPr="00BD5AE4">
        <w:rPr>
          <w:sz w:val="20"/>
        </w:rPr>
        <w:t xml:space="preserve">). </w:t>
      </w:r>
    </w:p>
  </w:footnote>
  <w:footnote w:id="24">
    <w:p w:rsidR="00F43665" w:rsidP="00BD5AE4">
      <w:pPr>
        <w:pStyle w:val="Footer"/>
        <w:spacing w:after="120"/>
        <w:rPr>
          <w:sz w:val="20"/>
        </w:rPr>
      </w:pPr>
      <w:r w:rsidRPr="00BD5AE4">
        <w:rPr>
          <w:rStyle w:val="FootnoteReference"/>
        </w:rPr>
        <w:footnoteRef/>
      </w:r>
      <w:r w:rsidRPr="00BD5AE4">
        <w:rPr>
          <w:i/>
          <w:sz w:val="20"/>
        </w:rPr>
        <w:t xml:space="preserve"> See, e.g.,</w:t>
      </w:r>
      <w:r>
        <w:rPr>
          <w:i/>
          <w:sz w:val="20"/>
        </w:rPr>
        <w:t xml:space="preserve"> SBC-AT&amp;T Order, </w:t>
      </w:r>
      <w:r>
        <w:rPr>
          <w:sz w:val="20"/>
        </w:rPr>
        <w:t xml:space="preserve">20 FCC Rcd at 18300, para. 16.  </w:t>
      </w:r>
    </w:p>
  </w:footnote>
  <w:footnote w:id="25">
    <w:p w:rsidR="00F43665" w:rsidRPr="00787A44" w:rsidP="002916BA">
      <w:pPr>
        <w:pStyle w:val="Footer"/>
        <w:spacing w:after="120"/>
        <w:rPr>
          <w:sz w:val="20"/>
        </w:rPr>
      </w:pPr>
      <w:r>
        <w:rPr>
          <w:rStyle w:val="FootnoteReference"/>
        </w:rPr>
        <w:footnoteRef/>
      </w:r>
      <w:r>
        <w:rPr>
          <w:sz w:val="20"/>
        </w:rPr>
        <w:t xml:space="preserve"> 47 U.S.C. § 309(e); </w:t>
      </w:r>
      <w:r>
        <w:rPr>
          <w:i/>
          <w:sz w:val="20"/>
        </w:rPr>
        <w:t xml:space="preserve">see also </w:t>
      </w:r>
      <w:r>
        <w:fldChar w:fldCharType="begin"/>
      </w:r>
      <w:r>
        <w:instrText xml:space="preserve"> HYPERLINK "http://web2.westlaw.com/find/default.wl?referencepositiontype=S&amp;serialnum=2004065576&amp;referenceposition=483&amp;rp=%2ffind%2fdefault.wl&amp;sv=Split&amp;rs=WLW11.07&amp;db=0004493&amp;tf=-1&amp;findtype=Y&amp;fn=_top&amp;mt=Westlaw&amp;vr=2.0&amp;pbc=517CDFD5&amp;tc=-1&amp;ordoc=2025471266" </w:instrText>
      </w:r>
      <w:r>
        <w:fldChar w:fldCharType="separate"/>
      </w:r>
      <w:r w:rsidRPr="00787A44">
        <w:rPr>
          <w:i/>
          <w:iCs/>
          <w:sz w:val="20"/>
        </w:rPr>
        <w:t>General Motors Corporation and Hughes Electronics Corporation, Transferors, and The News Corporation Limited, Transferee</w:t>
      </w:r>
      <w:r w:rsidRPr="00787A44">
        <w:rPr>
          <w:sz w:val="20"/>
        </w:rPr>
        <w:t>, Memorandum Opinion and Order, 19 FCC Rcd 473, 483 n.49 (2004)</w:t>
      </w:r>
      <w:r>
        <w:fldChar w:fldCharType="end"/>
      </w:r>
      <w:r w:rsidRPr="00787A44">
        <w:rPr>
          <w:sz w:val="20"/>
        </w:rPr>
        <w:t xml:space="preserve">. </w:t>
      </w:r>
    </w:p>
  </w:footnote>
  <w:footnote w:id="26">
    <w:p w:rsidR="00F43665" w:rsidRPr="00183A87">
      <w:pPr>
        <w:pStyle w:val="FootnoteText"/>
      </w:pPr>
      <w:r w:rsidRPr="00787A44">
        <w:rPr>
          <w:rStyle w:val="FootnoteReference"/>
        </w:rPr>
        <w:footnoteRef/>
      </w:r>
      <w:r w:rsidRPr="00787A44">
        <w:t xml:space="preserve"> </w:t>
      </w:r>
      <w:r w:rsidRPr="00787A44">
        <w:rPr>
          <w:i/>
        </w:rPr>
        <w:t xml:space="preserve">See, e.g., CBS, </w:t>
      </w:r>
      <w:r w:rsidRPr="00787A44">
        <w:t>22 FCC Rcd at 20061, para. 4 (“</w:t>
      </w:r>
      <w:r w:rsidRPr="00787A44">
        <w:rPr>
          <w:color w:val="212121"/>
        </w:rPr>
        <w:t>It is well established that standing is accorded to persons not for the protection of their private interests, but only to vindicate the public interest.</w:t>
      </w:r>
      <w:r>
        <w:rPr>
          <w:color w:val="212121"/>
        </w:rPr>
        <w:t xml:space="preserve"> </w:t>
      </w:r>
      <w:r w:rsidRPr="00787A44">
        <w:rPr>
          <w:color w:val="212121"/>
        </w:rPr>
        <w:t xml:space="preserve"> Consistent with this principle, creditors</w:t>
      </w:r>
      <w:r w:rsidRPr="00183A87">
        <w:t xml:space="preserve"> are generally not permitted to participate in an application proceeding solely on the ground that they have a financial stake in the survival of the parties.”) (citations omitted).</w:t>
      </w:r>
    </w:p>
  </w:footnote>
  <w:footnote w:id="27">
    <w:p w:rsidR="00F43665" w:rsidRPr="00183A87">
      <w:pPr>
        <w:pStyle w:val="FootnoteText"/>
      </w:pPr>
      <w:r w:rsidRPr="00183A87">
        <w:rPr>
          <w:rStyle w:val="FootnoteReference"/>
        </w:rPr>
        <w:footnoteRef/>
      </w:r>
      <w:r w:rsidRPr="00183A87">
        <w:t xml:space="preserve"> </w:t>
      </w:r>
      <w:r w:rsidRPr="00183A87">
        <w:rPr>
          <w:i/>
        </w:rPr>
        <w:t>Id.</w:t>
      </w:r>
    </w:p>
  </w:footnote>
  <w:footnote w:id="28">
    <w:p w:rsidR="00F43665" w:rsidRPr="00183A87" w:rsidP="00522B3B">
      <w:pPr>
        <w:pStyle w:val="FootnoteText"/>
      </w:pPr>
      <w:r w:rsidRPr="00183A87">
        <w:rPr>
          <w:rStyle w:val="FootnoteReference"/>
        </w:rPr>
        <w:footnoteRef/>
      </w:r>
      <w:r w:rsidRPr="00183A87">
        <w:t xml:space="preserve"> 47 U.S.C. § 309(e).</w:t>
      </w:r>
    </w:p>
  </w:footnote>
  <w:footnote w:id="29">
    <w:p w:rsidR="00F43665" w:rsidRPr="00183A87" w:rsidP="00522B3B">
      <w:pPr>
        <w:pStyle w:val="FootnoteText"/>
      </w:pPr>
      <w:r w:rsidRPr="00183A87">
        <w:rPr>
          <w:rStyle w:val="FootnoteReference"/>
        </w:rPr>
        <w:footnoteRef/>
      </w:r>
      <w:r w:rsidRPr="00183A87">
        <w:t xml:space="preserve"> </w:t>
      </w:r>
      <w:r w:rsidRPr="00183A87">
        <w:rPr>
          <w:i/>
        </w:rPr>
        <w:t>See, e.g., WWOR-TV, Inc.,</w:t>
      </w:r>
      <w:r w:rsidRPr="00183A87">
        <w:t xml:space="preserve"> Memorandum Opinion and Order, 6 FCC Rcd 193, 197 n.10 (1990), </w:t>
      </w:r>
      <w:r w:rsidRPr="00183A87">
        <w:rPr>
          <w:i/>
        </w:rPr>
        <w:t>aff'd sub nom. Garden State Broadcasting L.P. v. FCC</w:t>
      </w:r>
      <w:r w:rsidRPr="00183A87">
        <w:t xml:space="preserve">, 996 F.2d 386 (D.C. Cir. 1993), </w:t>
      </w:r>
      <w:r w:rsidRPr="00183A87">
        <w:rPr>
          <w:i/>
        </w:rPr>
        <w:t>rehearing denied</w:t>
      </w:r>
      <w:r w:rsidRPr="00183A87">
        <w:t xml:space="preserve"> (Sept. 10, 1993); </w:t>
      </w:r>
      <w:r w:rsidRPr="00183A87">
        <w:rPr>
          <w:i/>
        </w:rPr>
        <w:t>Area Christian Television, Inc.</w:t>
      </w:r>
      <w:r w:rsidRPr="00183A87">
        <w:t>, Memorandum Opinion and Order, 60 RR 2d 862, 864 (1986) (informal objections, like petitions to deny, must contain adequate and specific factual allegations sufficient to warrant the relief requested).</w:t>
      </w:r>
    </w:p>
  </w:footnote>
  <w:footnote w:id="30">
    <w:p w:rsidR="00F43665" w:rsidRPr="00183A87">
      <w:pPr>
        <w:pStyle w:val="FootnoteText"/>
      </w:pPr>
      <w:r w:rsidRPr="00183A87">
        <w:rPr>
          <w:rStyle w:val="FootnoteReference"/>
        </w:rPr>
        <w:footnoteRef/>
      </w:r>
      <w:r w:rsidRPr="00183A87">
        <w:t xml:space="preserve"> </w:t>
      </w:r>
      <w:r>
        <w:rPr>
          <w:i/>
        </w:rPr>
        <w:t>DF</w:t>
      </w:r>
      <w:r w:rsidRPr="00183A87">
        <w:rPr>
          <w:i/>
        </w:rPr>
        <w:t xml:space="preserve">W Radio License LLC, Assignor, </w:t>
      </w:r>
      <w:r w:rsidRPr="00183A87">
        <w:t xml:space="preserve">Memorandum Opinion and Order, 29 FCC Rcd 804, 812, para. 18 (2014), citing </w:t>
      </w:r>
      <w:r w:rsidRPr="00183A87">
        <w:rPr>
          <w:i/>
          <w:iCs/>
        </w:rPr>
        <w:t>Corporate Ownership Reporting and Disclosure by Broadcast Licensees, Amendment of Sections 73.35, 73.240 and 73.636 of the Commission's Rules Relating to Multiple Ownership of Standard, FM and Television Broadcast Stations, Report and Order, 97 FCC 2d 997, 1028 n. 75 (1984), recon. in part</w:t>
      </w:r>
      <w:r w:rsidRPr="00183A87">
        <w:t xml:space="preserve">, </w:t>
      </w:r>
      <w:r>
        <w:fldChar w:fldCharType="begin"/>
      </w:r>
      <w:r>
        <w:instrText xml:space="preserve"> HYPERLINK "https://1.next.westlaw.com/Link/Document/FullText?findType=Y&amp;pubNum=265&amp;cite=58RR2D604&amp;originatingDoc=I5bf14c7b844f11e38914df21cb42a557&amp;refType=CA&amp;originationContext=document&amp;transitionType=DocumentItem&amp;contextData=(sc.Search)" </w:instrText>
      </w:r>
      <w:r>
        <w:fldChar w:fldCharType="separate"/>
      </w:r>
      <w:r w:rsidRPr="00183A87">
        <w:t>58 R.R.2d 604 (1985)</w:t>
      </w:r>
      <w:r>
        <w:fldChar w:fldCharType="end"/>
      </w:r>
      <w:r w:rsidRPr="00183A87">
        <w:t xml:space="preserve">, </w:t>
      </w:r>
      <w:r w:rsidRPr="00183A87">
        <w:rPr>
          <w:i/>
          <w:iCs/>
        </w:rPr>
        <w:t>further recon. granted in part</w:t>
      </w:r>
      <w:r w:rsidRPr="00183A87">
        <w:t>,</w:t>
      </w:r>
      <w:r>
        <w:fldChar w:fldCharType="begin"/>
      </w:r>
      <w:r>
        <w:instrText xml:space="preserve"> HYPERLINK "https://1.next.westlaw.com/Link/Document/FullText?findType=Y&amp;serNum=1986028977&amp;pubNum=0004493&amp;originatingDoc=I5bf14c7b844f11e38914df21cb42a557&amp;refType=CA&amp;originationContext=document&amp;transitionType=DocumentItem&amp;contextData=(sc.Search)" </w:instrText>
      </w:r>
      <w:r>
        <w:fldChar w:fldCharType="separate"/>
      </w:r>
      <w:r w:rsidRPr="00183A87">
        <w:t>1 FCC Rcd 802 (1986)</w:t>
      </w:r>
      <w:r>
        <w:fldChar w:fldCharType="end"/>
      </w:r>
      <w:r w:rsidRPr="00183A87">
        <w:t xml:space="preserve"> (“We emphasize that our action herein with respect to ownership reporting requirements in no way affects the continued obligation of licensees to reasonably determine and certify compliance with the </w:t>
      </w:r>
      <w:r w:rsidRPr="00183A87">
        <w:rPr>
          <w:bCs/>
        </w:rPr>
        <w:t>alien</w:t>
      </w:r>
      <w:r w:rsidRPr="00183A87">
        <w:t xml:space="preserve"> ownership restrictions of [</w:t>
      </w:r>
      <w:r>
        <w:fldChar w:fldCharType="begin"/>
      </w:r>
      <w:r>
        <w:instrText xml:space="preserve"> HYPERLINK "https://1.next.westlaw.com/Link/Document/FullText?findType=L&amp;pubNum=1000546&amp;cite=47USCAS310&amp;originatingDoc=I5bf14c7b844f11e38914df21cb42a557&amp;refType=LQ&amp;originationContext=document&amp;transitionType=DocumentItem&amp;contextData=(sc.Search)" </w:instrText>
      </w:r>
      <w:r>
        <w:fldChar w:fldCharType="separate"/>
      </w:r>
      <w:r w:rsidRPr="00183A87">
        <w:t>Section 310(b)</w:t>
      </w:r>
      <w:r>
        <w:fldChar w:fldCharType="end"/>
      </w:r>
      <w:r w:rsidRPr="00183A87">
        <w:t xml:space="preserve"> of the Act]. Such </w:t>
      </w:r>
      <w:r w:rsidRPr="00183A87">
        <w:rPr>
          <w:bCs/>
        </w:rPr>
        <w:t>certification</w:t>
      </w:r>
      <w:r w:rsidRPr="00183A87">
        <w:t xml:space="preserve"> is now and will continue to be required in connection with the application process.”)</w:t>
      </w:r>
      <w:r>
        <w:t xml:space="preserve">.  </w:t>
      </w:r>
      <w:r w:rsidRPr="00183A87">
        <w:rPr>
          <w:i/>
          <w:iCs/>
        </w:rPr>
        <w:t>See also BBC License Subsidiary, LP</w:t>
      </w:r>
      <w:r w:rsidRPr="00183A87">
        <w:t xml:space="preserve">, Order, 10 FCC Rcd 2458 (MMB 1994) (rejecting argument that application should not be accepted for filing because, </w:t>
      </w:r>
      <w:r w:rsidRPr="00183A87">
        <w:rPr>
          <w:i/>
          <w:iCs/>
        </w:rPr>
        <w:t>inter alia</w:t>
      </w:r>
      <w:r w:rsidRPr="00183A87">
        <w:t xml:space="preserve">, it did not enable the Commission to determine whether the licensee complies with the </w:t>
      </w:r>
      <w:r w:rsidRPr="00183A87">
        <w:rPr>
          <w:bCs/>
        </w:rPr>
        <w:t>alien</w:t>
      </w:r>
      <w:r w:rsidRPr="00183A87">
        <w:t xml:space="preserve"> ownership provisions of </w:t>
      </w:r>
      <w:r>
        <w:fldChar w:fldCharType="begin"/>
      </w:r>
      <w:r>
        <w:instrText xml:space="preserve"> HYPERLINK "https://1.next.westlaw.com/Link/Document/FullText?findType=L&amp;pubNum=1000546&amp;cite=47USCAS310&amp;originatingDoc=I5bf14c7b844f11e38914df21cb42a557&amp;refType=LQ&amp;originationContext=document&amp;transitionType=DocumentItem&amp;contextData=(sc.Search)" </w:instrText>
      </w:r>
      <w:r>
        <w:fldChar w:fldCharType="separate"/>
      </w:r>
      <w:r w:rsidRPr="00183A87">
        <w:t>Section 310(b)</w:t>
      </w:r>
      <w:r>
        <w:fldChar w:fldCharType="end"/>
      </w:r>
      <w:r w:rsidRPr="00183A87">
        <w:t xml:space="preserve"> of the Act; Bureau “retain[ed] the right ... to request further information” from the applicant or any other persons or entities it deemed to be parties to the application).</w:t>
      </w:r>
    </w:p>
  </w:footnote>
  <w:footnote w:id="31">
    <w:p w:rsidR="00F43665">
      <w:pPr>
        <w:pStyle w:val="FootnoteText"/>
      </w:pPr>
      <w:r>
        <w:rPr>
          <w:rStyle w:val="FootnoteReference"/>
        </w:rPr>
        <w:footnoteRef/>
      </w:r>
      <w:r>
        <w:t xml:space="preserve"> File No. BRFT-20111201PCV.  WKNG, LLC, filed a Petition to Deny the application on February 24, 2012, engendering a host of responsive pleadings.</w:t>
      </w:r>
    </w:p>
  </w:footnote>
  <w:footnote w:id="32">
    <w:p w:rsidR="00F43665" w:rsidP="002916BA">
      <w:pPr>
        <w:pStyle w:val="Footer"/>
        <w:spacing w:after="120"/>
        <w:rPr>
          <w:sz w:val="20"/>
        </w:rPr>
      </w:pPr>
      <w:r>
        <w:rPr>
          <w:rStyle w:val="FootnoteReference"/>
        </w:rPr>
        <w:footnoteRef/>
      </w:r>
      <w:r>
        <w:rPr>
          <w:sz w:val="20"/>
        </w:rPr>
        <w:t xml:space="preserve"> </w:t>
      </w:r>
      <w:r>
        <w:rPr>
          <w:i/>
          <w:iCs/>
          <w:sz w:val="20"/>
        </w:rPr>
        <w:t>See, e.g., Shareholders of CBS Corporation</w:t>
      </w:r>
      <w:r>
        <w:rPr>
          <w:sz w:val="20"/>
        </w:rPr>
        <w:t>, Memorandum Opinion and Order on Reconsideration, 16 FCC Rcd 16072, 16072-73 (2001) (Commission will grant transfer of control applications during the pendency of renewal applications so long as there are no basic qualification issues pending against either the transferor or the transferee that could not be resolved in the context of the transfer proceeding, and the transferee “explicitly assents to standing in the stead of the transferor in the renewal proceeding”).</w:t>
      </w:r>
    </w:p>
  </w:footnote>
  <w:footnote w:id="33">
    <w:p w:rsidR="00F43665" w:rsidRPr="002916BA" w:rsidP="004D5F69">
      <w:pPr>
        <w:pStyle w:val="Footer"/>
        <w:spacing w:after="80"/>
        <w:rPr>
          <w:b/>
          <w:sz w:val="20"/>
        </w:rPr>
      </w:pPr>
      <w:r>
        <w:rPr>
          <w:rStyle w:val="FootnoteReference"/>
        </w:rPr>
        <w:footnoteRef/>
      </w:r>
      <w:r>
        <w:rPr>
          <w:sz w:val="20"/>
        </w:rPr>
        <w:t xml:space="preserve"> </w:t>
      </w:r>
      <w:r>
        <w:rPr>
          <w:i/>
          <w:sz w:val="20"/>
        </w:rPr>
        <w:t xml:space="preserve">See </w:t>
      </w:r>
      <w:r>
        <w:rPr>
          <w:sz w:val="20"/>
        </w:rPr>
        <w:t xml:space="preserve">Transfer </w:t>
      </w:r>
      <w:r w:rsidRPr="00604370">
        <w:rPr>
          <w:sz w:val="20"/>
        </w:rPr>
        <w:t>Applications, Comprehensive Exhibit, page 5, Section I.C.</w:t>
      </w:r>
    </w:p>
  </w:footnote>
  <w:footnote w:id="34">
    <w:p w:rsidR="00F43665" w:rsidRPr="00391B28" w:rsidP="002D2478">
      <w:pPr>
        <w:widowControl/>
        <w:spacing w:after="120"/>
        <w:rPr>
          <w:sz w:val="20"/>
        </w:rPr>
      </w:pPr>
      <w:r>
        <w:rPr>
          <w:rStyle w:val="FootnoteReference"/>
        </w:rPr>
        <w:footnoteRef/>
      </w:r>
      <w:r>
        <w:t xml:space="preserve"> </w:t>
      </w:r>
      <w:r w:rsidRPr="002D2478">
        <w:rPr>
          <w:i/>
          <w:sz w:val="20"/>
        </w:rPr>
        <w:t>See Filing Instructions for Second Cross-Service FM Translator Auction Filing Window for A</w:t>
      </w:r>
      <w:r>
        <w:rPr>
          <w:i/>
          <w:sz w:val="20"/>
        </w:rPr>
        <w:t>M</w:t>
      </w:r>
      <w:r w:rsidRPr="002D2478">
        <w:rPr>
          <w:i/>
          <w:sz w:val="20"/>
        </w:rPr>
        <w:t xml:space="preserve"> Broadcasters (Auction 100) to be Open January 25 – January 31, </w:t>
      </w:r>
      <w:r w:rsidRPr="002D2478">
        <w:rPr>
          <w:sz w:val="20"/>
        </w:rPr>
        <w:t xml:space="preserve">2018, </w:t>
      </w:r>
      <w:r w:rsidRPr="002D2478">
        <w:rPr>
          <w:i/>
          <w:sz w:val="20"/>
        </w:rPr>
        <w:t>Freeze on FM Translator and Low-Power FM Minor Change Applications and FM Booster Applications January 18 -January 31, 2018,</w:t>
      </w:r>
      <w:r w:rsidRPr="002D2478">
        <w:rPr>
          <w:sz w:val="20"/>
        </w:rPr>
        <w:t xml:space="preserve"> Public Notice, DA 17-1168 (MB/WTB Dec. 4, 1017)</w:t>
      </w:r>
      <w:r>
        <w:rPr>
          <w:sz w:val="20"/>
        </w:rPr>
        <w:t>.</w:t>
      </w:r>
    </w:p>
  </w:footnote>
  <w:footnote w:id="35">
    <w:p w:rsidR="00F43665" w:rsidP="00391B28">
      <w:pPr>
        <w:spacing w:after="240"/>
      </w:pPr>
      <w:r w:rsidRPr="00391B28">
        <w:rPr>
          <w:rStyle w:val="FootnoteReference"/>
          <w:snapToGrid/>
          <w:kern w:val="0"/>
        </w:rPr>
        <w:footnoteRef/>
      </w:r>
      <w:r w:rsidRPr="00391B28">
        <w:rPr>
          <w:sz w:val="20"/>
        </w:rPr>
        <w:t xml:space="preserve"> </w:t>
      </w:r>
      <w:r w:rsidRPr="00391B28">
        <w:rPr>
          <w:i/>
          <w:sz w:val="20"/>
        </w:rPr>
        <w:t xml:space="preserve">See Settlement Period Announced for Cross-Service FM Translator Mutually Exclusive Applications for Auction </w:t>
      </w:r>
      <w:r w:rsidRPr="00391B28">
        <w:rPr>
          <w:sz w:val="20"/>
        </w:rPr>
        <w:t>100, Public Notice, DA 18-332 (MB/WTB Apr. 3, 2018).  The application, filed by Cumulus Licensing LLC, is BNPFT-20180130ACY, Mobile, Alabama</w:t>
      </w:r>
      <w:r w:rsidR="00391B28">
        <w:t>.</w:t>
      </w:r>
    </w:p>
  </w:footnote>
  <w:footnote w:id="36">
    <w:p w:rsidR="00F43665" w:rsidP="0083724D">
      <w:pPr>
        <w:pStyle w:val="FootnoteText"/>
      </w:pPr>
      <w:r>
        <w:rPr>
          <w:rStyle w:val="FootnoteReference"/>
        </w:rPr>
        <w:footnoteRef/>
      </w:r>
      <w:r>
        <w:t xml:space="preserve"> </w:t>
      </w:r>
      <w:r>
        <w:rPr>
          <w:i/>
        </w:rPr>
        <w:t xml:space="preserve">See </w:t>
      </w:r>
      <w:r>
        <w:t>47 CFR § 1.2105(b)(2).</w:t>
      </w:r>
    </w:p>
  </w:footnote>
  <w:footnote w:id="37">
    <w:p w:rsidR="00F43665">
      <w:pPr>
        <w:pStyle w:val="FootnoteText"/>
      </w:pPr>
      <w:r>
        <w:rPr>
          <w:rStyle w:val="FootnoteReference"/>
        </w:rPr>
        <w:footnoteRef/>
      </w:r>
      <w:r>
        <w:t xml:space="preserve"> 47 CFR § 73.3555(a)(1).</w:t>
      </w:r>
    </w:p>
  </w:footnote>
  <w:footnote w:id="38">
    <w:p w:rsidR="00F43665" w:rsidP="007503AB">
      <w:pPr>
        <w:pStyle w:val="FootnoteText"/>
      </w:pPr>
      <w:r>
        <w:rPr>
          <w:rStyle w:val="FootnoteReference"/>
        </w:rPr>
        <w:footnoteRef/>
      </w:r>
      <w:r>
        <w:t xml:space="preserve"> 47 CFR §§ 0.61(a),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810B6F">
    <w:pPr>
      <w:pStyle w:val="Header"/>
      <w:rPr>
        <w:b w:val="0"/>
      </w:rPr>
    </w:pPr>
    <w:r>
      <w:tab/>
      <w:t>Federal Communications Commission</w:t>
    </w:r>
    <w:r>
      <w:tab/>
      <w:t>DA 18-</w:t>
    </w:r>
    <w:r w:rsidR="00CC6C3B">
      <w:t>568</w:t>
    </w:r>
  </w:p>
  <w:p w:rsidR="00F4366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F4366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DA 18-</w:t>
    </w:r>
    <w:r w:rsidR="00CC6C3B">
      <w:rPr>
        <w:spacing w:val="-2"/>
      </w:rPr>
      <w:t>568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810B6F">
    <w:pPr>
      <w:pStyle w:val="Header"/>
      <w:rPr>
        <w:b w:val="0"/>
      </w:rPr>
    </w:pPr>
    <w:r>
      <w:tab/>
      <w:t>Federal Communications Commission</w:t>
    </w:r>
    <w:r>
      <w:tab/>
    </w:r>
    <w:r w:rsidR="00CC6C3B">
      <w:t>DA 18-568</w:t>
    </w:r>
  </w:p>
  <w:p w:rsidR="00F43665">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F43665">
    <w:pPr>
      <w:spacing w:after="389" w:line="100" w:lineRule="exact"/>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3665" w:rsidP="00810B6F">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sidR="00CC6C3B">
      <w:t>DA 18-568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269165E"/>
    <w:multiLevelType w:val="hybridMultilevel"/>
    <w:tmpl w:val="5A04C882"/>
    <w:lvl w:ilvl="0">
      <w:start w:val="0"/>
      <w:numFmt w:val="bullet"/>
      <w:lvlText w:val=""/>
      <w:lvlJc w:val="left"/>
      <w:pPr>
        <w:ind w:left="720" w:hanging="360"/>
      </w:pPr>
      <w:rPr>
        <w:rFonts w:ascii="Symbol" w:eastAsia="Times New Roman" w:hAnsi="Symbol" w:cs="Times New Roman" w:hint="default"/>
      </w:rPr>
    </w:lvl>
    <w:lvl w:ilvl="1">
      <w:start w:val="1"/>
      <w:numFmt w:val="bullet"/>
      <w:lvlText w:val="o"/>
      <w:lvlJc w:val="left"/>
      <w:pPr>
        <w:ind w:left="126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350"/>
        </w:tabs>
        <w:ind w:left="135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C784320"/>
    <w:multiLevelType w:val="hybridMultilevel"/>
    <w:tmpl w:val="33B65D1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singleLevel"/>
    <w:tmpl w:val="72E2D800"/>
    <w:lvl w:ilvl="0">
      <w:start w:val="1"/>
      <w:numFmt w:val="decimal"/>
      <w:pStyle w:val="ParaNum"/>
      <w:lvlText w:val="%1."/>
      <w:lvlJc w:val="left"/>
      <w:pPr>
        <w:tabs>
          <w:tab w:val="num" w:pos="1080"/>
        </w:tabs>
        <w:ind w:left="0" w:firstLine="720"/>
      </w:pPr>
      <w:rPr>
        <w:i w:val="0"/>
      </w:r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1,Footnote Text Char1 Char Char1,Footnote Text Char1 Char Char1 Char Char Char,Footnote Text Char2 Char Char Char Char,fn,rrfootnote Char Char Char Char Char Char"/>
    <w:link w:val="FootnoteTextChar"/>
    <w:qFormat/>
    <w:rsid w:val="000E3D42"/>
    <w:pPr>
      <w:spacing w:after="120"/>
    </w:pPr>
  </w:style>
  <w:style w:type="character" w:customStyle="1" w:styleId="FootnoteTextChar">
    <w:name w:val="Footnote Text Char"/>
    <w:aliases w:val="Footnote Text Char Char Char,Footnote Text Char Char Char Char Char,Footnote Text Char1 Char,Footnote Text Char1 Char Char1 Char,Footnote Text Char1 Char Char1 Char Char Char Char,Footnote Text Char2 Char Char Char Char Char,fn Char"/>
    <w:link w:val="FootnoteText"/>
    <w:rsid w:val="007503AB"/>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503AB"/>
    <w:rPr>
      <w:snapToGrid w:val="0"/>
      <w:kern w:val="28"/>
      <w:sz w:val="22"/>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styleId="CommentReference">
    <w:name w:val="annotation reference"/>
    <w:rsid w:val="007503AB"/>
    <w:rPr>
      <w:sz w:val="16"/>
      <w:szCs w:val="16"/>
    </w:rPr>
  </w:style>
  <w:style w:type="paragraph" w:styleId="CommentText">
    <w:name w:val="annotation text"/>
    <w:basedOn w:val="Normal"/>
    <w:link w:val="CommentTextChar"/>
    <w:rsid w:val="007503AB"/>
    <w:pPr>
      <w:widowControl/>
    </w:pPr>
    <w:rPr>
      <w:snapToGrid/>
      <w:kern w:val="0"/>
      <w:sz w:val="20"/>
    </w:rPr>
  </w:style>
  <w:style w:type="character" w:customStyle="1" w:styleId="CommentTextChar">
    <w:name w:val="Comment Text Char"/>
    <w:basedOn w:val="DefaultParagraphFont"/>
    <w:link w:val="CommentText"/>
    <w:rsid w:val="007503AB"/>
  </w:style>
  <w:style w:type="paragraph" w:styleId="BalloonText">
    <w:name w:val="Balloon Text"/>
    <w:basedOn w:val="Normal"/>
    <w:link w:val="BalloonTextChar"/>
    <w:rsid w:val="007503AB"/>
    <w:rPr>
      <w:rFonts w:ascii="Segoe UI" w:hAnsi="Segoe UI" w:cs="Segoe UI"/>
      <w:sz w:val="18"/>
      <w:szCs w:val="18"/>
    </w:rPr>
  </w:style>
  <w:style w:type="character" w:customStyle="1" w:styleId="BalloonTextChar">
    <w:name w:val="Balloon Text Char"/>
    <w:link w:val="BalloonText"/>
    <w:rsid w:val="007503AB"/>
    <w:rPr>
      <w:rFonts w:ascii="Segoe UI" w:hAnsi="Segoe UI" w:cs="Segoe UI"/>
      <w:snapToGrid w:val="0"/>
      <w:kern w:val="28"/>
      <w:sz w:val="18"/>
      <w:szCs w:val="18"/>
    </w:rPr>
  </w:style>
  <w:style w:type="table" w:styleId="TableGrid">
    <w:name w:val="Table Grid"/>
    <w:basedOn w:val="TableNormal"/>
    <w:rsid w:val="00750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7503AB"/>
    <w:pPr>
      <w:widowControl w:val="0"/>
    </w:pPr>
    <w:rPr>
      <w:b/>
      <w:bCs/>
      <w:snapToGrid w:val="0"/>
      <w:kern w:val="28"/>
    </w:rPr>
  </w:style>
  <w:style w:type="character" w:customStyle="1" w:styleId="CommentSubjectChar">
    <w:name w:val="Comment Subject Char"/>
    <w:link w:val="CommentSubject"/>
    <w:rsid w:val="007503AB"/>
    <w:rPr>
      <w:b/>
      <w:bCs/>
      <w:snapToGrid w:val="0"/>
      <w:kern w:val="28"/>
    </w:rPr>
  </w:style>
  <w:style w:type="paragraph" w:styleId="Revision">
    <w:name w:val="Revision"/>
    <w:hidden/>
    <w:uiPriority w:val="99"/>
    <w:semiHidden/>
    <w:rsid w:val="007503AB"/>
    <w:rPr>
      <w:snapToGrid w:val="0"/>
      <w:kern w:val="28"/>
      <w:sz w:val="22"/>
    </w:rPr>
  </w:style>
  <w:style w:type="character" w:styleId="FollowedHyperlink">
    <w:name w:val="FollowedHyperlink"/>
    <w:uiPriority w:val="99"/>
    <w:unhideWhenUsed/>
    <w:rsid w:val="007503AB"/>
    <w:rPr>
      <w:color w:val="954F72"/>
      <w:u w:val="single"/>
    </w:rPr>
  </w:style>
  <w:style w:type="paragraph" w:customStyle="1" w:styleId="xl65">
    <w:name w:val="xl65"/>
    <w:basedOn w:val="Normal"/>
    <w:rsid w:val="007503AB"/>
    <w:pPr>
      <w:widowControl/>
      <w:spacing w:before="100" w:beforeAutospacing="1" w:after="100" w:afterAutospacing="1"/>
      <w:textAlignment w:val="center"/>
    </w:pPr>
    <w:rPr>
      <w:b/>
      <w:bCs/>
      <w:snapToGrid/>
      <w:kern w:val="0"/>
      <w:sz w:val="24"/>
      <w:szCs w:val="24"/>
    </w:rPr>
  </w:style>
  <w:style w:type="paragraph" w:customStyle="1" w:styleId="xl66">
    <w:name w:val="xl66"/>
    <w:basedOn w:val="Normal"/>
    <w:rsid w:val="007503AB"/>
    <w:pPr>
      <w:widowControl/>
      <w:spacing w:before="100" w:beforeAutospacing="1" w:after="100" w:afterAutospacing="1"/>
    </w:pPr>
    <w:rPr>
      <w:b/>
      <w:bCs/>
      <w:snapToGrid/>
      <w:kern w:val="0"/>
      <w:sz w:val="24"/>
      <w:szCs w:val="24"/>
    </w:rPr>
  </w:style>
  <w:style w:type="paragraph" w:customStyle="1" w:styleId="xl67">
    <w:name w:val="xl67"/>
    <w:basedOn w:val="Normal"/>
    <w:rsid w:val="007503AB"/>
    <w:pPr>
      <w:widowControl/>
      <w:spacing w:before="100" w:beforeAutospacing="1" w:after="100" w:afterAutospacing="1"/>
    </w:pPr>
    <w:rPr>
      <w:snapToGrid/>
      <w:kern w:val="0"/>
      <w:sz w:val="24"/>
      <w:szCs w:val="24"/>
    </w:rPr>
  </w:style>
  <w:style w:type="paragraph" w:customStyle="1" w:styleId="xl68">
    <w:name w:val="xl68"/>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napToGrid/>
      <w:kern w:val="0"/>
      <w:sz w:val="24"/>
      <w:szCs w:val="24"/>
    </w:rPr>
  </w:style>
  <w:style w:type="paragraph" w:customStyle="1" w:styleId="xl69">
    <w:name w:val="xl69"/>
    <w:basedOn w:val="Normal"/>
    <w:rsid w:val="007503AB"/>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kern w:val="0"/>
      <w:sz w:val="24"/>
      <w:szCs w:val="24"/>
    </w:rPr>
  </w:style>
  <w:style w:type="paragraph" w:customStyle="1" w:styleId="Default">
    <w:name w:val="Default"/>
    <w:rsid w:val="00E52877"/>
    <w:pPr>
      <w:autoSpaceDE w:val="0"/>
      <w:autoSpaceDN w:val="0"/>
      <w:adjustRightInd w:val="0"/>
    </w:pPr>
    <w:rPr>
      <w:color w:val="000000"/>
      <w:sz w:val="24"/>
      <w:szCs w:val="24"/>
    </w:rPr>
  </w:style>
  <w:style w:type="character" w:customStyle="1" w:styleId="FootnoteTextChar2">
    <w:name w:val="Footnote Text Char2"/>
    <w:aliases w:val="Footnote Text Char Char Char4 Char Char Char,Footnote Text Char1 Char Char,Footnote Text Char4 Char1 Char Char Char,Footnote Text Char7 Char Char Char,Footnote Text Char7 Char Char Char Char Char Char"/>
    <w:uiPriority w:val="99"/>
    <w:rsid w:val="00522B3B"/>
    <w:rPr>
      <w:lang w:val="en-US" w:eastAsia="en-US" w:bidi="ar-SA"/>
    </w:rPr>
  </w:style>
  <w:style w:type="character" w:customStyle="1" w:styleId="UnresolvedMention">
    <w:name w:val="Unresolved Mention"/>
    <w:basedOn w:val="DefaultParagraphFont"/>
    <w:uiPriority w:val="99"/>
    <w:semiHidden/>
    <w:unhideWhenUsed/>
    <w:rsid w:val="004623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