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314C7" w:rsidP="761E810D">
      <w:pPr>
        <w:jc w:val="right"/>
        <w:rPr>
          <w:b/>
          <w:bCs/>
        </w:rPr>
      </w:pPr>
    </w:p>
    <w:p w:rsidR="00E314C7" w:rsidP="761E810D">
      <w:pPr>
        <w:jc w:val="right"/>
        <w:rPr>
          <w:b/>
          <w:bCs/>
        </w:rPr>
      </w:pPr>
    </w:p>
    <w:p w:rsidR="000C6A31" w:rsidRPr="00473C48" w:rsidP="00473C48">
      <w:pPr>
        <w:jc w:val="right"/>
        <w:rPr>
          <w:b/>
        </w:rPr>
      </w:pPr>
      <w:r w:rsidRPr="00473C48">
        <w:rPr>
          <w:b/>
        </w:rPr>
        <w:t>DA 18</w:t>
      </w:r>
      <w:r w:rsidRPr="00473C48" w:rsidR="007A22E9">
        <w:rPr>
          <w:b/>
        </w:rPr>
        <w:t>-</w:t>
      </w:r>
      <w:r w:rsidRPr="00473C48" w:rsidR="00027B4B">
        <w:rPr>
          <w:b/>
        </w:rPr>
        <w:t>582</w:t>
      </w:r>
    </w:p>
    <w:p w:rsidR="000C6A31" w:rsidRPr="00473C48" w:rsidP="00473C48">
      <w:pPr>
        <w:jc w:val="right"/>
        <w:rPr>
          <w:b/>
          <w:szCs w:val="22"/>
        </w:rPr>
      </w:pPr>
      <w:r w:rsidRPr="00473C48">
        <w:rPr>
          <w:b/>
          <w:szCs w:val="22"/>
        </w:rPr>
        <w:t xml:space="preserve">Released:  </w:t>
      </w:r>
      <w:r w:rsidRPr="00473C48" w:rsidR="007A22E9">
        <w:rPr>
          <w:b/>
          <w:szCs w:val="22"/>
        </w:rPr>
        <w:t xml:space="preserve">June </w:t>
      </w:r>
      <w:r w:rsidRPr="00473C48" w:rsidR="00356B08">
        <w:rPr>
          <w:b/>
          <w:szCs w:val="22"/>
        </w:rPr>
        <w:t>6</w:t>
      </w:r>
      <w:r w:rsidRPr="00473C48">
        <w:rPr>
          <w:b/>
          <w:szCs w:val="22"/>
        </w:rPr>
        <w:t>, 2018</w:t>
      </w:r>
    </w:p>
    <w:p w:rsidR="000767F1" w:rsidRPr="005E7EDB" w:rsidP="000C6A31">
      <w:pPr>
        <w:spacing w:before="60"/>
        <w:jc w:val="right"/>
        <w:rPr>
          <w:b/>
          <w:szCs w:val="22"/>
        </w:rPr>
      </w:pPr>
    </w:p>
    <w:p w:rsidR="000C6A31" w:rsidP="00473C48">
      <w:pPr>
        <w:jc w:val="center"/>
        <w:rPr>
          <w:b/>
          <w:bCs/>
          <w:caps/>
        </w:rPr>
      </w:pPr>
      <w:r w:rsidRPr="761E810D">
        <w:rPr>
          <w:b/>
          <w:bCs/>
          <w:caps/>
        </w:rPr>
        <w:t>rural broadband auction</w:t>
      </w:r>
      <w:r>
        <w:rPr>
          <w:b/>
          <w:bCs/>
          <w:caps/>
        </w:rPr>
        <w:t xml:space="preserve">s task force </w:t>
      </w:r>
      <w:r w:rsidRPr="761E810D">
        <w:rPr>
          <w:b/>
          <w:bCs/>
          <w:caps/>
        </w:rPr>
        <w:t>release</w:t>
      </w:r>
      <w:r w:rsidR="007A22E9">
        <w:rPr>
          <w:b/>
          <w:bCs/>
          <w:caps/>
        </w:rPr>
        <w:t>s</w:t>
      </w:r>
      <w:r w:rsidR="00AD7094">
        <w:rPr>
          <w:b/>
          <w:bCs/>
          <w:caps/>
        </w:rPr>
        <w:t xml:space="preserve"> LIST OF HANDSETS </w:t>
      </w:r>
      <w:r w:rsidRPr="761E810D">
        <w:rPr>
          <w:b/>
          <w:bCs/>
          <w:caps/>
        </w:rPr>
        <w:t xml:space="preserve">TO BE USED IN MOBILITY FUND PHASE II CHALLENGE PROCESS </w:t>
      </w:r>
      <w:r w:rsidR="00473C48">
        <w:rPr>
          <w:b/>
          <w:bCs/>
          <w:caps/>
        </w:rPr>
        <w:t>SPEED TESTS</w:t>
      </w:r>
    </w:p>
    <w:p w:rsidR="003B0E51" w:rsidRPr="001645A7" w:rsidP="005C5914">
      <w:pPr>
        <w:jc w:val="center"/>
        <w:rPr>
          <w:b/>
          <w:caps/>
          <w:szCs w:val="22"/>
        </w:rPr>
      </w:pPr>
    </w:p>
    <w:p w:rsidR="008D0DFD" w:rsidRPr="005E7EDB" w:rsidP="007219DF">
      <w:pPr>
        <w:spacing w:after="240"/>
        <w:jc w:val="center"/>
        <w:rPr>
          <w:b/>
          <w:bCs/>
        </w:rPr>
      </w:pPr>
      <w:r w:rsidRPr="7C638BB3">
        <w:rPr>
          <w:b/>
          <w:bCs/>
        </w:rPr>
        <w:t>WC Docket No. 10-90</w:t>
      </w:r>
      <w:r>
        <w:br/>
      </w:r>
      <w:r w:rsidRPr="7C638BB3">
        <w:rPr>
          <w:b/>
          <w:bCs/>
        </w:rPr>
        <w:t>WT Docket No. 10-208</w:t>
      </w:r>
    </w:p>
    <w:p w:rsidR="00007A2F" w:rsidP="007045B2">
      <w:pPr>
        <w:pStyle w:val="ParaNum"/>
        <w:numPr>
          <w:ilvl w:val="0"/>
          <w:numId w:val="0"/>
        </w:numPr>
        <w:ind w:firstLine="720"/>
      </w:pPr>
      <w:r>
        <w:t xml:space="preserve">The Rural Broadband Auctions Task Force (Task Force), in conjunction with the Wireline Competition Bureau and the Wireless Telecommunications Bureau (Bureaus), </w:t>
      </w:r>
      <w:r w:rsidR="007A22E9">
        <w:t xml:space="preserve">today </w:t>
      </w:r>
      <w:r>
        <w:t>release</w:t>
      </w:r>
      <w:r w:rsidR="007A22E9">
        <w:t>s</w:t>
      </w:r>
      <w:r w:rsidR="00A823A6">
        <w:t xml:space="preserve"> a</w:t>
      </w:r>
      <w:r>
        <w:t xml:space="preserve"> list of the handsets designated by each mobile wireless provider in the Mobility Fund Phase II (MF-II) challenge process for challengers to use when conducting speed tests in areas deemed presumptively ineligible for MF-II support.</w:t>
      </w:r>
      <w:r>
        <w:rPr>
          <w:rStyle w:val="FootnoteReference"/>
        </w:rPr>
        <w:footnoteReference w:id="3"/>
      </w:r>
      <w:r w:rsidR="00DB379A">
        <w:t xml:space="preserve">  The list of handsets is </w:t>
      </w:r>
      <w:r w:rsidR="006A56A7">
        <w:t xml:space="preserve">available </w:t>
      </w:r>
      <w:r w:rsidR="00E47C5B">
        <w:t xml:space="preserve">as </w:t>
      </w:r>
      <w:r w:rsidR="00DB379A">
        <w:t>A</w:t>
      </w:r>
      <w:r w:rsidR="00BD5F45">
        <w:t xml:space="preserve">ppendix </w:t>
      </w:r>
      <w:r w:rsidR="00DB379A">
        <w:t xml:space="preserve">A to </w:t>
      </w:r>
      <w:r w:rsidR="007045B2">
        <w:t>this public notice</w:t>
      </w:r>
      <w:r w:rsidR="00DB379A">
        <w:t>.</w:t>
      </w:r>
    </w:p>
    <w:p w:rsidR="00322AF6" w:rsidRPr="004F1E9A" w:rsidP="00322AF6">
      <w:pPr>
        <w:spacing w:after="120"/>
        <w:ind w:firstLine="720"/>
      </w:pPr>
      <w:r w:rsidRPr="002A3CA8">
        <w:t>We remind entities participating or considering participating in the challenge process that all submitted speed test data must comply with all required specifications and, in order to be considered valid in the challenge process, must be substantiated by the certification of a qualified engineer or government official</w:t>
      </w:r>
      <w:r w:rsidR="00B8313A">
        <w:t>.</w:t>
      </w:r>
      <w:r>
        <w:rPr>
          <w:rStyle w:val="FootnoteReference"/>
        </w:rPr>
        <w:footnoteReference w:id="4"/>
      </w:r>
      <w:r w:rsidR="00C476F8">
        <w:t xml:space="preserve">  </w:t>
      </w:r>
    </w:p>
    <w:p w:rsidR="005D712D" w:rsidRPr="00390318" w:rsidP="007045B2">
      <w:pPr>
        <w:pStyle w:val="ParaNum"/>
        <w:numPr>
          <w:ilvl w:val="0"/>
          <w:numId w:val="0"/>
        </w:numPr>
        <w:ind w:firstLine="720"/>
      </w:pPr>
      <w:r>
        <w:t xml:space="preserve">For further information, contact </w:t>
      </w:r>
      <w:r>
        <w:rPr>
          <w:szCs w:val="22"/>
        </w:rPr>
        <w:t xml:space="preserve">Jonathan McCormack, Auctions and Spectrum Access Division, Wireless Telecommunications Bureau, at </w:t>
      </w:r>
      <w:r w:rsidRPr="00AB0B94">
        <w:rPr>
          <w:szCs w:val="22"/>
        </w:rPr>
        <w:t>Jonathan.McCormack@fcc.gov</w:t>
      </w:r>
      <w:r>
        <w:rPr>
          <w:szCs w:val="22"/>
        </w:rPr>
        <w:t xml:space="preserve"> or (202) 418-0660.</w:t>
      </w:r>
    </w:p>
    <w:p w:rsidR="00E314C7" w:rsidP="007219DF">
      <w:pPr>
        <w:spacing w:after="220"/>
        <w:jc w:val="center"/>
        <w:rPr>
          <w:b/>
          <w:bCs/>
        </w:rPr>
      </w:pPr>
    </w:p>
    <w:p w:rsidR="00A54CAD" w:rsidRPr="00BB7DC9" w:rsidP="00FE5073">
      <w:pPr>
        <w:spacing w:after="220"/>
        <w:jc w:val="center"/>
        <w:rPr>
          <w:b/>
          <w:bCs/>
        </w:rPr>
      </w:pPr>
      <w:r w:rsidRPr="761E810D">
        <w:rPr>
          <w:b/>
          <w:bCs/>
        </w:rPr>
        <w:t>-FC</w:t>
      </w:r>
      <w:bookmarkStart w:id="0" w:name="_GoBack"/>
      <w:bookmarkEnd w:id="0"/>
      <w:r w:rsidRPr="761E810D">
        <w:rPr>
          <w:b/>
          <w:bCs/>
        </w:rPr>
        <w:t>C-</w:t>
      </w:r>
    </w:p>
    <w:sectPr w:rsidSect="003044EA">
      <w:headerReference w:type="default" r:id="rId5"/>
      <w:footerReference w:type="even" r:id="rId6"/>
      <w:footerReference w:type="default" r:id="rId7"/>
      <w:headerReference w:type="first" r:id="rId8"/>
      <w:footnotePr>
        <w:numRestart w:val="eachSect"/>
      </w:footnotePr>
      <w:pgSz w:w="12240" w:h="15840"/>
      <w:pgMar w:top="1440" w:right="1440" w:bottom="720" w:left="1440" w:header="576" w:footer="576"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pPr>
      <w:pStyle w:val="Footer"/>
      <w:framePr w:wrap="around" w:vAnchor="text" w:hAnchor="margin" w:xAlign="center" w:y="1"/>
    </w:pPr>
    <w:r>
      <w:fldChar w:fldCharType="begin"/>
    </w:r>
    <w:r>
      <w:instrText xml:space="preserve">PAGE  </w:instrText>
    </w:r>
    <w:r>
      <w:fldChar w:fldCharType="separate"/>
    </w:r>
    <w:r>
      <w:fldChar w:fldCharType="end"/>
    </w:r>
  </w:p>
  <w:p w:rsidR="00582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pPr>
      <w:pStyle w:val="Footer"/>
      <w:framePr w:wrap="around" w:vAnchor="text" w:hAnchor="margin" w:xAlign="center" w:y="1"/>
    </w:pPr>
    <w:r>
      <w:fldChar w:fldCharType="begin"/>
    </w:r>
    <w:r>
      <w:instrText xml:space="preserve">PAGE  </w:instrText>
    </w:r>
    <w:r>
      <w:fldChar w:fldCharType="separate"/>
    </w:r>
    <w:r w:rsidR="005F382F">
      <w:rPr>
        <w:noProof/>
      </w:rPr>
      <w:t>2</w:t>
    </w:r>
    <w:r>
      <w:fldChar w:fldCharType="end"/>
    </w:r>
  </w:p>
  <w:p w:rsidR="005828DE">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1588">
      <w:r>
        <w:separator/>
      </w:r>
    </w:p>
  </w:footnote>
  <w:footnote w:type="continuationSeparator" w:id="1">
    <w:p w:rsidR="00791588" w:rsidP="00C721AC">
      <w:pPr>
        <w:spacing w:before="120"/>
        <w:rPr>
          <w:sz w:val="20"/>
        </w:rPr>
      </w:pPr>
      <w:r>
        <w:rPr>
          <w:sz w:val="20"/>
        </w:rPr>
        <w:t xml:space="preserve">(Continued from previous page)  </w:t>
      </w:r>
      <w:r>
        <w:rPr>
          <w:sz w:val="20"/>
        </w:rPr>
        <w:separator/>
      </w:r>
    </w:p>
  </w:footnote>
  <w:footnote w:type="continuationNotice" w:id="2">
    <w:p w:rsidR="00791588" w:rsidP="00C721AC">
      <w:pPr>
        <w:jc w:val="right"/>
        <w:rPr>
          <w:sz w:val="20"/>
        </w:rPr>
      </w:pPr>
      <w:r>
        <w:rPr>
          <w:sz w:val="20"/>
        </w:rPr>
        <w:t>(continued….)</w:t>
      </w:r>
    </w:p>
  </w:footnote>
  <w:footnote w:id="3">
    <w:p w:rsidR="007A22E9" w:rsidRPr="007A22E9">
      <w:pPr>
        <w:pStyle w:val="FootnoteText"/>
      </w:pPr>
      <w:r>
        <w:rPr>
          <w:rStyle w:val="FootnoteReference"/>
        </w:rPr>
        <w:footnoteRef/>
      </w:r>
      <w:r>
        <w:t xml:space="preserve"> </w:t>
      </w:r>
      <w:r w:rsidR="00356B08">
        <w:t>On May 25, 2018, t</w:t>
      </w:r>
      <w:r w:rsidR="00587564">
        <w:t xml:space="preserve">he Task Force </w:t>
      </w:r>
      <w:r w:rsidR="00AC64A6">
        <w:t>announced</w:t>
      </w:r>
      <w:r w:rsidR="00587564">
        <w:t xml:space="preserve"> its intention to release this list of handsets and provid</w:t>
      </w:r>
      <w:r w:rsidR="00AC64A6">
        <w:t>ed</w:t>
      </w:r>
      <w:r w:rsidR="00587564">
        <w:t xml:space="preserve"> filers with an opportunity to request confidential treatment of the</w:t>
      </w:r>
      <w:r w:rsidR="00AC64A6">
        <w:t>ir</w:t>
      </w:r>
      <w:r w:rsidR="00587564">
        <w:t xml:space="preserve"> list of </w:t>
      </w:r>
      <w:r w:rsidR="00AC64A6">
        <w:t>designated</w:t>
      </w:r>
      <w:r w:rsidR="00587564">
        <w:t xml:space="preserve"> handsets.  </w:t>
      </w:r>
      <w:r w:rsidRPr="007A22E9">
        <w:rPr>
          <w:i/>
        </w:rPr>
        <w:t>See</w:t>
      </w:r>
      <w:r>
        <w:t xml:space="preserve"> </w:t>
      </w:r>
      <w:r w:rsidRPr="007A22E9">
        <w:rPr>
          <w:i/>
        </w:rPr>
        <w:t>Rural Broadband Auctions Task Force Announces Intent to Publicly Release List of Handsets Selected to Be Use</w:t>
      </w:r>
      <w:r>
        <w:rPr>
          <w:i/>
        </w:rPr>
        <w:t>d in Mobility Fund Phase II Challenge Process Speed Tests</w:t>
      </w:r>
      <w:r>
        <w:t>, Public Notice, DA-18-556 (WCB/WTB May 25, 2018).</w:t>
      </w:r>
      <w:r w:rsidR="009F7B29">
        <w:t xml:space="preserve">  </w:t>
      </w:r>
      <w:r w:rsidR="00A363FF">
        <w:t xml:space="preserve">No provider submitted a request for confidential treatment of its selected handsets.  </w:t>
      </w:r>
      <w:r w:rsidR="00A363FF">
        <w:rPr>
          <w:i/>
        </w:rPr>
        <w:t>See i</w:t>
      </w:r>
      <w:r w:rsidRPr="00DB379A" w:rsidR="00A363FF">
        <w:rPr>
          <w:i/>
        </w:rPr>
        <w:t>d.</w:t>
      </w:r>
      <w:r w:rsidR="00A363FF">
        <w:t xml:space="preserve"> at 2, para. 4; 47 CFR § 0.459(b)</w:t>
      </w:r>
      <w:r w:rsidR="00E70083">
        <w:t>.</w:t>
      </w:r>
    </w:p>
  </w:footnote>
  <w:footnote w:id="4">
    <w:p w:rsidR="00B8313A" w:rsidP="00B8313A">
      <w:pPr>
        <w:pStyle w:val="FootnoteText"/>
      </w:pPr>
      <w:r>
        <w:rPr>
          <w:rStyle w:val="FootnoteReference"/>
        </w:rPr>
        <w:footnoteRef/>
      </w:r>
      <w:r>
        <w:t xml:space="preserve"> </w:t>
      </w:r>
      <w:r w:rsidRPr="00842329">
        <w:rPr>
          <w:i/>
        </w:rPr>
        <w:t>Connect America Fund; Universal Service Reform – Mobility Fund</w:t>
      </w:r>
      <w:r>
        <w:t xml:space="preserve">, Order on Reconsideration and Second Report and Order, 32 FCC Rcd 6282, 6307-08, para. 49 &amp; n.146 (2017); </w:t>
      </w:r>
      <w:r w:rsidRPr="00B8313A">
        <w:rPr>
          <w:i/>
        </w:rPr>
        <w:t>see also</w:t>
      </w:r>
      <w:r>
        <w:t xml:space="preserve"> </w:t>
      </w:r>
      <w:r w:rsidRPr="002949AD">
        <w:rPr>
          <w:i/>
        </w:rPr>
        <w:t>Procedures for the Mobility Fund Phase II Challenge Process</w:t>
      </w:r>
      <w:r>
        <w:t>, Public Notice, 33 FCC Rcd 1985, 2303, para. 39 (WCB/WTB 2018) (</w:t>
      </w:r>
      <w:r w:rsidRPr="00B8313A">
        <w:rPr>
          <w:i/>
        </w:rPr>
        <w:t>MF-II Challenge Process Procedures Public Notice</w:t>
      </w:r>
      <w:r>
        <w:t xml:space="preserve">).  </w:t>
      </w:r>
      <w:r w:rsidRPr="00B8313A">
        <w:t>Using the Challenge Data Certification form in A</w:t>
      </w:r>
      <w:r w:rsidR="00801348">
        <w:t xml:space="preserve">ppendix </w:t>
      </w:r>
      <w:r w:rsidRPr="00B8313A">
        <w:t>F</w:t>
      </w:r>
      <w:r>
        <w:t xml:space="preserve"> to the </w:t>
      </w:r>
      <w:r w:rsidRPr="00B8313A">
        <w:rPr>
          <w:i/>
        </w:rPr>
        <w:t>MF-II Challenge Process Procedures Public Notice</w:t>
      </w:r>
      <w:r w:rsidRPr="00B8313A">
        <w:t>, the qualified engineer or</w:t>
      </w:r>
      <w:r>
        <w:t xml:space="preserve"> </w:t>
      </w:r>
      <w:r w:rsidRPr="00B8313A">
        <w:t xml:space="preserve">government official shall certify under penalty of perjury that: </w:t>
      </w:r>
      <w:r>
        <w:t xml:space="preserve"> (a) he or </w:t>
      </w:r>
      <w:r w:rsidRPr="00B8313A">
        <w:t>she has examined the information</w:t>
      </w:r>
      <w:r>
        <w:t xml:space="preserve"> </w:t>
      </w:r>
      <w:r w:rsidRPr="00B8313A">
        <w:t>prepared for submission; and (b) all data and statements contained therein were generated in accordance</w:t>
      </w:r>
      <w:r>
        <w:t xml:space="preserve"> </w:t>
      </w:r>
      <w:r w:rsidRPr="00B8313A">
        <w:t>with the parameters specified by the Commission and are true, accurate, and complete to the best of</w:t>
      </w:r>
      <w:r>
        <w:t xml:space="preserve"> his or </w:t>
      </w:r>
      <w:r w:rsidRPr="00B8313A">
        <w:t>her knowledge, information, and belief</w:t>
      </w:r>
      <w:r w:rsidR="00FC2811">
        <w:t xml:space="preserve">.  </w:t>
      </w:r>
      <w:r w:rsidRPr="00FC2811" w:rsidR="00FC2811">
        <w:rPr>
          <w:i/>
        </w:rPr>
        <w:t>MF-II Challenge Process Procedures Public Notice</w:t>
      </w:r>
      <w:r w:rsidR="00FC2811">
        <w:t xml:space="preserve">, 33 FCC Rcd </w:t>
      </w:r>
      <w:r w:rsidR="00C476F8">
        <w:t>at 2303-04, para. 39</w:t>
      </w:r>
      <w:r>
        <w:t xml:space="preserve">; </w:t>
      </w:r>
      <w:r w:rsidRPr="00C476F8">
        <w:rPr>
          <w:i/>
        </w:rPr>
        <w:t>see id.</w:t>
      </w:r>
      <w:r w:rsidR="00C476F8">
        <w:t xml:space="preserve">, </w:t>
      </w:r>
      <w:r>
        <w:t>App. F</w:t>
      </w:r>
      <w:r w:rsidR="00C476F8">
        <w:t xml:space="preserve"> at 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A1493" w:rsidP="00F22BD2">
    <w:pPr>
      <w:tabs>
        <w:tab w:val="center" w:pos="4680"/>
        <w:tab w:val="right" w:pos="9360"/>
      </w:tabs>
      <w:rPr>
        <w:b/>
      </w:rPr>
    </w:pPr>
    <w:r w:rsidRPr="009A1493">
      <w:rPr>
        <w:b/>
      </w:rPr>
      <w:tab/>
    </w:r>
    <w:r>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205740</wp:posOffset>
              </wp:positionV>
              <wp:extent cx="5943600" cy="0"/>
              <wp:effectExtent l="9525" t="5715" r="9525" b="13335"/>
              <wp:wrapNone/>
              <wp:docPr id="5" name="Straight Connector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2049" style="mso-height-percent:0;mso-height-relative:page;mso-width-percent:0;mso-width-relative:page;mso-wrap-distance-bottom:0;mso-wrap-distance-left:9pt;mso-wrap-distance-right:9pt;mso-wrap-distance-top:0;mso-wrap-style:square;position:absolute;visibility:visible;z-index:251665408" from="0,16.2pt" to="468pt,16.2pt" o:allowincell="f"/>
          </w:pict>
        </mc:Fallback>
      </mc:AlternateContent>
    </w:r>
    <w:r w:rsidRPr="009A1493">
      <w:rPr>
        <w:b/>
      </w:rPr>
      <w:t>Federal Communications Commission</w:t>
    </w:r>
    <w:r w:rsidRPr="009A1493">
      <w:rPr>
        <w:b/>
      </w:rPr>
      <w:tab/>
    </w:r>
    <w:r>
      <w:rPr>
        <w:b/>
      </w:rPr>
      <w:t>DA</w:t>
    </w:r>
    <w:r w:rsidRPr="009A1493">
      <w:rPr>
        <w:b/>
      </w:rPr>
      <w:t xml:space="preserve"> 1</w:t>
    </w:r>
    <w:r w:rsidR="00A54CAD">
      <w:rPr>
        <w:b/>
      </w:rPr>
      <w:t>8-[[X]]</w:t>
    </w:r>
  </w:p>
  <w:p w:rsidR="005828DE" w:rsidRPr="009F74DB" w:rsidP="00F22BD2">
    <w:pPr>
      <w:pStyle w:val="Header"/>
    </w:pPr>
  </w:p>
  <w:p w:rsidR="005828DE" w:rsidP="003E04C6">
    <w:pPr>
      <w:pStyle w:val="Header"/>
      <w:rPr>
        <w:spacing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D11BE" w:rsidP="009D11BE">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28DE" w:rsidP="009D11BE">
                          <w:pPr>
                            <w:rPr>
                              <w:rFonts w:ascii="Arial" w:hAnsi="Arial"/>
                              <w:b/>
                            </w:rPr>
                          </w:pPr>
                          <w:r>
                            <w:rPr>
                              <w:rFonts w:ascii="Arial" w:hAnsi="Arial"/>
                              <w:b/>
                            </w:rPr>
                            <w:t>Federal Communications Commission</w:t>
                          </w:r>
                        </w:p>
                        <w:p w:rsidR="005828DE" w:rsidP="009D11BE">
                          <w:pPr>
                            <w:rPr>
                              <w:rFonts w:ascii="Arial" w:hAnsi="Arial"/>
                              <w:b/>
                            </w:rPr>
                          </w:pPr>
                          <w:r>
                            <w:rPr>
                              <w:rFonts w:ascii="Arial" w:hAnsi="Arial"/>
                              <w:b/>
                            </w:rPr>
                            <w:t>445 12</w:t>
                          </w:r>
                          <w:r>
                            <w:rPr>
                              <w:rFonts w:ascii="Arial" w:hAnsi="Arial"/>
                              <w:b/>
                              <w:vertAlign w:val="superscript"/>
                            </w:rPr>
                            <w:t>th</w:t>
                          </w:r>
                          <w:r w:rsidR="00473C48">
                            <w:rPr>
                              <w:rFonts w:ascii="Arial" w:hAnsi="Arial"/>
                              <w:b/>
                            </w:rPr>
                            <w:t xml:space="preserve"> Street</w:t>
                          </w:r>
                          <w:r>
                            <w:rPr>
                              <w:rFonts w:ascii="Arial" w:hAnsi="Arial"/>
                              <w:b/>
                            </w:rPr>
                            <w:t>, SW</w:t>
                          </w:r>
                        </w:p>
                        <w:p w:rsidR="005828DE" w:rsidP="009D11BE">
                          <w:pPr>
                            <w:rPr>
                              <w:rFonts w:ascii="Arial" w:hAnsi="Arial"/>
                              <w:sz w:val="24"/>
                            </w:rPr>
                          </w:pPr>
                          <w:r>
                            <w:rPr>
                              <w:rFonts w:ascii="Arial" w:hAnsi="Arial"/>
                              <w:b/>
                            </w:rPr>
                            <w:t>Washington, DC</w:t>
                          </w:r>
                          <w:r w:rsidR="00473C48">
                            <w:rPr>
                              <w:rFonts w:ascii="Arial" w:hAnsi="Arial"/>
                              <w:b/>
                            </w:rPr>
                            <w:t xml:space="preserve"> </w:t>
                          </w:r>
                          <w:r>
                            <w:rPr>
                              <w:rFonts w:ascii="Arial" w:hAnsi="Arial"/>
                              <w:b/>
                            </w:rPr>
                            <w:t xml:space="preserve">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828DE" w:rsidP="009D11BE">
                    <w:pPr>
                      <w:rPr>
                        <w:rFonts w:ascii="Arial" w:hAnsi="Arial"/>
                        <w:b/>
                      </w:rPr>
                    </w:pPr>
                    <w:r>
                      <w:rPr>
                        <w:rFonts w:ascii="Arial" w:hAnsi="Arial"/>
                        <w:b/>
                      </w:rPr>
                      <w:t>Federal Communications Commission</w:t>
                    </w:r>
                  </w:p>
                  <w:p w:rsidR="005828DE" w:rsidP="009D11BE">
                    <w:pPr>
                      <w:rPr>
                        <w:rFonts w:ascii="Arial" w:hAnsi="Arial"/>
                        <w:b/>
                      </w:rPr>
                    </w:pPr>
                    <w:r>
                      <w:rPr>
                        <w:rFonts w:ascii="Arial" w:hAnsi="Arial"/>
                        <w:b/>
                      </w:rPr>
                      <w:t>445 12</w:t>
                    </w:r>
                    <w:r>
                      <w:rPr>
                        <w:rFonts w:ascii="Arial" w:hAnsi="Arial"/>
                        <w:b/>
                        <w:vertAlign w:val="superscript"/>
                      </w:rPr>
                      <w:t>th</w:t>
                    </w:r>
                    <w:r w:rsidR="00473C48">
                      <w:rPr>
                        <w:rFonts w:ascii="Arial" w:hAnsi="Arial"/>
                        <w:b/>
                      </w:rPr>
                      <w:t xml:space="preserve"> Street</w:t>
                    </w:r>
                    <w:r>
                      <w:rPr>
                        <w:rFonts w:ascii="Arial" w:hAnsi="Arial"/>
                        <w:b/>
                      </w:rPr>
                      <w:t>, SW</w:t>
                    </w:r>
                  </w:p>
                  <w:p w:rsidR="005828DE" w:rsidP="009D11BE">
                    <w:pPr>
                      <w:rPr>
                        <w:rFonts w:ascii="Arial" w:hAnsi="Arial"/>
                        <w:sz w:val="24"/>
                      </w:rPr>
                    </w:pPr>
                    <w:r>
                      <w:rPr>
                        <w:rFonts w:ascii="Arial" w:hAnsi="Arial"/>
                        <w:b/>
                      </w:rPr>
                      <w:t>Washington, DC</w:t>
                    </w:r>
                    <w:r w:rsidR="00473C48">
                      <w:rPr>
                        <w:rFonts w:ascii="Arial" w:hAnsi="Arial"/>
                        <w:b/>
                      </w:rPr>
                      <w:t xml:space="preserve"> </w:t>
                    </w:r>
                    <w:r>
                      <w:rPr>
                        <w:rFonts w:ascii="Arial" w:hAnsi="Arial"/>
                        <w:b/>
                      </w:rPr>
                      <w:t xml:space="preserve"> 20554</w:t>
                    </w:r>
                  </w:p>
                </w:txbxContent>
              </v:textbox>
              <w10:wrap anchorx="margin"/>
            </v:shape>
          </w:pict>
        </mc:Fallback>
      </mc:AlternateContent>
    </w:r>
    <w:r>
      <w:rPr>
        <w:noProof/>
      </w:rPr>
      <w:drawing>
        <wp:inline distT="0" distB="0" distL="0" distR="0">
          <wp:extent cx="534670" cy="53467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4670" cy="534670"/>
                  </a:xfrm>
                  <a:prstGeom prst="rect">
                    <a:avLst/>
                  </a:prstGeom>
                  <a:noFill/>
                  <a:ln>
                    <a:noFill/>
                  </a:ln>
                </pic:spPr>
              </pic:pic>
            </a:graphicData>
          </a:graphic>
        </wp:inline>
      </w:drawing>
    </w:r>
    <w:r w:rsidRPr="009D11BE">
      <w:rPr>
        <w:rFonts w:ascii="Arial" w:hAnsi="Arial" w:cs="Arial"/>
        <w:sz w:val="96"/>
        <w:szCs w:val="96"/>
      </w:rPr>
      <w:t xml:space="preserve"> </w:t>
    </w:r>
    <w:r w:rsidRPr="761E810D">
      <w:rPr>
        <w:rFonts w:ascii="Arial" w:hAnsi="Arial" w:cs="Arial"/>
        <w:b/>
        <w:bCs/>
        <w:sz w:val="96"/>
        <w:szCs w:val="96"/>
      </w:rPr>
      <w:t>PUBLIC NOTICE</w:t>
    </w:r>
  </w:p>
  <w:p w:rsidR="005828DE" w:rsidRPr="009D11BE" w:rsidP="009D11BE">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28DE" w:rsidP="009D11BE">
                          <w:pPr>
                            <w:spacing w:before="40"/>
                            <w:jc w:val="right"/>
                            <w:rPr>
                              <w:rFonts w:ascii="Arial" w:hAnsi="Arial"/>
                              <w:b/>
                              <w:sz w:val="16"/>
                            </w:rPr>
                          </w:pPr>
                          <w:r>
                            <w:rPr>
                              <w:rFonts w:ascii="Arial" w:hAnsi="Arial"/>
                              <w:b/>
                              <w:sz w:val="16"/>
                            </w:rPr>
                            <w:t>News Media Information</w:t>
                          </w:r>
                          <w:r w:rsidR="00473C48">
                            <w:rPr>
                              <w:rFonts w:ascii="Arial" w:hAnsi="Arial"/>
                              <w:b/>
                              <w:sz w:val="16"/>
                            </w:rPr>
                            <w:t>:</w:t>
                          </w:r>
                          <w:r>
                            <w:rPr>
                              <w:rFonts w:ascii="Arial" w:hAnsi="Arial"/>
                              <w:b/>
                              <w:sz w:val="16"/>
                            </w:rPr>
                            <w:t xml:space="preserve"> 202</w:t>
                          </w:r>
                          <w:r w:rsidR="00473C48">
                            <w:rPr>
                              <w:rFonts w:ascii="Arial" w:hAnsi="Arial"/>
                              <w:b/>
                              <w:sz w:val="16"/>
                            </w:rPr>
                            <w:t>-</w:t>
                          </w:r>
                          <w:r>
                            <w:rPr>
                              <w:rFonts w:ascii="Arial" w:hAnsi="Arial"/>
                              <w:b/>
                              <w:sz w:val="16"/>
                            </w:rPr>
                            <w:t>418-0500</w:t>
                          </w:r>
                        </w:p>
                        <w:p w:rsidR="005828DE" w:rsidP="009D11BE">
                          <w:pPr>
                            <w:jc w:val="right"/>
                            <w:rPr>
                              <w:rFonts w:ascii="Arial" w:hAnsi="Arial"/>
                              <w:b/>
                              <w:sz w:val="16"/>
                            </w:rPr>
                          </w:pPr>
                          <w:r>
                            <w:rPr>
                              <w:rFonts w:ascii="Arial" w:hAnsi="Arial"/>
                              <w:b/>
                              <w:sz w:val="16"/>
                            </w:rPr>
                            <w:t xml:space="preserve">Internet: </w:t>
                          </w:r>
                          <w:r w:rsidRPr="005C5914">
                            <w:rPr>
                              <w:rFonts w:ascii="Arial" w:hAnsi="Arial"/>
                              <w:b/>
                              <w:sz w:val="16"/>
                            </w:rPr>
                            <w:t>www.fcc.gov</w:t>
                          </w:r>
                        </w:p>
                        <w:p w:rsidR="005828DE" w:rsidRPr="00473C48" w:rsidP="009D11BE">
                          <w:pPr>
                            <w:jc w:val="right"/>
                            <w:rPr>
                              <w:rFonts w:ascii="Arial" w:hAnsi="Arial" w:cs="Arial"/>
                              <w:b/>
                              <w:sz w:val="16"/>
                              <w:szCs w:val="16"/>
                            </w:rPr>
                          </w:pPr>
                          <w:r>
                            <w:rPr>
                              <w:rFonts w:ascii="Arial" w:hAnsi="Arial"/>
                              <w:b/>
                              <w:sz w:val="16"/>
                            </w:rPr>
                            <w:t xml:space="preserve">TTY: </w:t>
                          </w:r>
                          <w:r w:rsidR="009E6867">
                            <w:rPr>
                              <w:rFonts w:ascii="Arial" w:hAnsi="Arial"/>
                              <w:b/>
                              <w:sz w:val="16"/>
                            </w:rPr>
                            <w:t>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828DE" w:rsidP="009D11BE">
                    <w:pPr>
                      <w:spacing w:before="40"/>
                      <w:jc w:val="right"/>
                      <w:rPr>
                        <w:rFonts w:ascii="Arial" w:hAnsi="Arial"/>
                        <w:b/>
                        <w:sz w:val="16"/>
                      </w:rPr>
                    </w:pPr>
                    <w:r>
                      <w:rPr>
                        <w:rFonts w:ascii="Arial" w:hAnsi="Arial"/>
                        <w:b/>
                        <w:sz w:val="16"/>
                      </w:rPr>
                      <w:t>News Media Information</w:t>
                    </w:r>
                    <w:r w:rsidR="00473C48">
                      <w:rPr>
                        <w:rFonts w:ascii="Arial" w:hAnsi="Arial"/>
                        <w:b/>
                        <w:sz w:val="16"/>
                      </w:rPr>
                      <w:t>:</w:t>
                    </w:r>
                    <w:r>
                      <w:rPr>
                        <w:rFonts w:ascii="Arial" w:hAnsi="Arial"/>
                        <w:b/>
                        <w:sz w:val="16"/>
                      </w:rPr>
                      <w:t xml:space="preserve"> 202</w:t>
                    </w:r>
                    <w:r w:rsidR="00473C48">
                      <w:rPr>
                        <w:rFonts w:ascii="Arial" w:hAnsi="Arial"/>
                        <w:b/>
                        <w:sz w:val="16"/>
                      </w:rPr>
                      <w:t>-</w:t>
                    </w:r>
                    <w:r>
                      <w:rPr>
                        <w:rFonts w:ascii="Arial" w:hAnsi="Arial"/>
                        <w:b/>
                        <w:sz w:val="16"/>
                      </w:rPr>
                      <w:t>418-0500</w:t>
                    </w:r>
                  </w:p>
                  <w:p w:rsidR="005828DE" w:rsidP="009D11BE">
                    <w:pPr>
                      <w:jc w:val="right"/>
                      <w:rPr>
                        <w:rFonts w:ascii="Arial" w:hAnsi="Arial"/>
                        <w:b/>
                        <w:sz w:val="16"/>
                      </w:rPr>
                    </w:pPr>
                    <w:r>
                      <w:rPr>
                        <w:rFonts w:ascii="Arial" w:hAnsi="Arial"/>
                        <w:b/>
                        <w:sz w:val="16"/>
                      </w:rPr>
                      <w:t xml:space="preserve">Internet: </w:t>
                    </w:r>
                    <w:r w:rsidRPr="005C5914">
                      <w:rPr>
                        <w:rFonts w:ascii="Arial" w:hAnsi="Arial"/>
                        <w:b/>
                        <w:sz w:val="16"/>
                      </w:rPr>
                      <w:t>www.fcc.gov</w:t>
                    </w:r>
                  </w:p>
                  <w:p w:rsidR="005828DE" w:rsidRPr="00473C48" w:rsidP="009D11BE">
                    <w:pPr>
                      <w:jc w:val="right"/>
                      <w:rPr>
                        <w:rFonts w:ascii="Arial" w:hAnsi="Arial" w:cs="Arial"/>
                        <w:b/>
                        <w:sz w:val="16"/>
                        <w:szCs w:val="16"/>
                      </w:rPr>
                    </w:pPr>
                    <w:r>
                      <w:rPr>
                        <w:rFonts w:ascii="Arial" w:hAnsi="Arial"/>
                        <w:b/>
                        <w:sz w:val="16"/>
                      </w:rPr>
                      <w:t xml:space="preserve">TTY: </w:t>
                    </w:r>
                    <w:r w:rsidR="009E6867">
                      <w:rPr>
                        <w:rFonts w:ascii="Arial" w:hAnsi="Arial"/>
                        <w:b/>
                        <w:sz w:val="16"/>
                      </w:rPr>
                      <w:t>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97B3A"/>
    <w:multiLevelType w:val="multilevel"/>
    <w:tmpl w:val="AA58A51A"/>
    <w:styleLink w:val="AppendixHeadings"/>
    <w:lvl w:ilvl="0">
      <w:start w:val="1"/>
      <w:numFmt w:val="upperLetter"/>
      <w:pStyle w:val="AppendixHeading1"/>
      <w:suff w:val="nothing"/>
      <w:lvlText w:val="APPENDIX %1:"/>
      <w:lvlJc w:val="left"/>
      <w:pPr>
        <w:ind w:left="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506BB4"/>
    <w:multiLevelType w:val="hybridMultilevel"/>
    <w:tmpl w:val="167E2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CD1977"/>
    <w:multiLevelType w:val="hybridMultilevel"/>
    <w:tmpl w:val="1F9CF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46080DF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i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7680E"/>
    <w:multiLevelType w:val="hybridMultilevel"/>
    <w:tmpl w:val="96DE426A"/>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8">
    <w:nsid w:val="3F5159C2"/>
    <w:multiLevelType w:val="multilevel"/>
    <w:tmpl w:val="AA58A51A"/>
    <w:numStyleLink w:val="Appendix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C67CFE68"/>
    <w:lvl w:ilvl="0">
      <w:start w:val="1"/>
      <w:numFmt w:val="decimal"/>
      <w:pStyle w:val="ParaNum"/>
      <w:lvlText w:val="%1."/>
      <w:lvlJc w:val="left"/>
      <w:pPr>
        <w:tabs>
          <w:tab w:val="num" w:pos="1080"/>
        </w:tabs>
        <w:ind w:left="0" w:firstLine="720"/>
      </w:pPr>
      <w:rPr>
        <w:b w:val="0"/>
        <w:i w:val="0"/>
      </w:rPr>
    </w:lvl>
  </w:abstractNum>
  <w:num w:numId="1">
    <w:abstractNumId w:val="3"/>
  </w:num>
  <w:num w:numId="2">
    <w:abstractNumId w:val="4"/>
  </w:num>
  <w:num w:numId="3">
    <w:abstractNumId w:val="11"/>
  </w:num>
  <w:num w:numId="4">
    <w:abstractNumId w:val="6"/>
  </w:num>
  <w:num w:numId="5">
    <w:abstractNumId w:val="10"/>
  </w:num>
  <w:num w:numId="6">
    <w:abstractNumId w:val="5"/>
  </w:num>
  <w:num w:numId="7">
    <w:abstractNumId w:val="1"/>
  </w:num>
  <w:num w:numId="8">
    <w:abstractNumId w:val="0"/>
  </w:num>
  <w:num w:numId="9">
    <w:abstractNumId w:val="8"/>
  </w:num>
  <w:num w:numId="10">
    <w:abstractNumId w:val="11"/>
  </w:num>
  <w:num w:numId="11">
    <w:abstractNumId w:val="2"/>
  </w:num>
  <w:num w:numId="12">
    <w:abstractNumId w:val="11"/>
  </w:num>
  <w:num w:numId="13">
    <w:abstractNumId w:val="9"/>
  </w:num>
  <w:num w:numId="14">
    <w:abstractNumId w:val="11"/>
  </w:num>
  <w:num w:numId="15">
    <w:abstractNumId w:val="7"/>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A62EC1"/>
    <w:pPr>
      <w:keepNext/>
      <w:numPr>
        <w:numId w:val="4"/>
      </w:numPr>
      <w:tabs>
        <w:tab w:val="left" w:pos="720"/>
      </w:tabs>
      <w:suppressAutoHyphens/>
      <w:spacing w:after="120"/>
      <w:outlineLvl w:val="0"/>
    </w:pPr>
    <w:rPr>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4474F9"/>
    <w:pPr>
      <w:numPr>
        <w:ilvl w:val="1"/>
        <w:numId w:val="4"/>
      </w:numPr>
      <w:spacing w:after="120"/>
      <w:jc w:val="both"/>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qFormat/>
    <w:rsid w:val="00BA6196"/>
    <w:pPr>
      <w:keepNext/>
      <w:numPr>
        <w:ilvl w:val="2"/>
        <w:numId w:val="4"/>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4"/>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4"/>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3"/>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uiPriority w:val="99"/>
    <w:rsid w:val="002A2D2E"/>
    <w:rPr>
      <w:color w:val="0000FF"/>
      <w:u w:val="single"/>
    </w:rPr>
  </w:style>
  <w:style w:type="character" w:customStyle="1" w:styleId="ParaNumCharChar1">
    <w:name w:val="ParaNum Char Char1"/>
    <w:link w:val="ParaNum"/>
    <w:locked/>
    <w:rsid w:val="005826DC"/>
    <w:rPr>
      <w:snapToGrid w:val="0"/>
      <w:kern w:val="28"/>
      <w:sz w:val="22"/>
    </w:rPr>
  </w:style>
  <w:style w:type="paragraph" w:customStyle="1" w:styleId="AppendixHeading2">
    <w:name w:val="Appendix Heading 2"/>
    <w:basedOn w:val="Normal"/>
    <w:next w:val="Normal"/>
    <w:qFormat/>
    <w:rsid w:val="00973BC7"/>
    <w:pPr>
      <w:keepNext/>
      <w:keepLines/>
      <w:numPr>
        <w:ilvl w:val="1"/>
        <w:numId w:val="9"/>
      </w:numPr>
      <w:spacing w:before="120" w:after="120"/>
      <w:ind w:left="720" w:hanging="720"/>
      <w:outlineLvl w:val="1"/>
    </w:pPr>
    <w:rPr>
      <w:b/>
    </w:rPr>
  </w:style>
  <w:style w:type="paragraph" w:customStyle="1" w:styleId="AppendixHeading3">
    <w:name w:val="Appendix Heading 3"/>
    <w:basedOn w:val="Normal"/>
    <w:next w:val="Normal"/>
    <w:qFormat/>
    <w:rsid w:val="00973BC7"/>
    <w:pPr>
      <w:keepNext/>
      <w:keepLines/>
      <w:numPr>
        <w:ilvl w:val="2"/>
        <w:numId w:val="9"/>
      </w:numPr>
      <w:spacing w:before="120" w:after="120"/>
      <w:ind w:left="720" w:hanging="720"/>
      <w:outlineLvl w:val="2"/>
    </w:pPr>
    <w:rPr>
      <w:b/>
    </w:rPr>
  </w:style>
  <w:style w:type="paragraph" w:customStyle="1" w:styleId="AppendixHeading1">
    <w:name w:val="Appendix Heading 1"/>
    <w:basedOn w:val="Normal"/>
    <w:next w:val="Normal"/>
    <w:qFormat/>
    <w:rsid w:val="00973BC7"/>
    <w:pPr>
      <w:keepNext/>
      <w:numPr>
        <w:numId w:val="9"/>
      </w:numPr>
      <w:spacing w:before="120" w:after="120" w:line="360" w:lineRule="auto"/>
      <w:jc w:val="center"/>
      <w:outlineLvl w:val="0"/>
    </w:pPr>
    <w:rPr>
      <w:b/>
    </w:rPr>
  </w:style>
  <w:style w:type="numbering" w:customStyle="1" w:styleId="AppendixHeadings">
    <w:name w:val="Appendix Headings"/>
    <w:uiPriority w:val="99"/>
    <w:rsid w:val="00973BC7"/>
    <w:pPr>
      <w:numPr>
        <w:numId w:val="8"/>
      </w:numPr>
    </w:pPr>
  </w:style>
  <w:style w:type="character" w:customStyle="1" w:styleId="FooterChar">
    <w:name w:val="Footer Char"/>
    <w:link w:val="Footer"/>
    <w:uiPriority w:val="99"/>
    <w:rsid w:val="00973BC7"/>
    <w:rPr>
      <w:snapToGrid w:val="0"/>
      <w:kern w:val="28"/>
      <w:sz w:val="22"/>
    </w:rPr>
  </w:style>
  <w:style w:type="paragraph" w:customStyle="1" w:styleId="AppendixHeading4">
    <w:name w:val="Appendix Heading 4"/>
    <w:basedOn w:val="Normal"/>
    <w:next w:val="Normal"/>
    <w:qFormat/>
    <w:rsid w:val="00973BC7"/>
    <w:pPr>
      <w:keepNext/>
      <w:numPr>
        <w:ilvl w:val="3"/>
        <w:numId w:val="9"/>
      </w:numPr>
      <w:spacing w:before="120" w:after="120"/>
      <w:ind w:left="720" w:hanging="720"/>
      <w:outlineLvl w:val="3"/>
    </w:pPr>
    <w:rPr>
      <w:b/>
      <w:bCs/>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link w:val="FootnoteText"/>
    <w:rsid w:val="00F80C07"/>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
    <w:rsid w:val="009C2804"/>
  </w:style>
  <w:style w:type="character" w:styleId="CommentReference">
    <w:name w:val="annotation reference"/>
    <w:rsid w:val="00377D71"/>
    <w:rPr>
      <w:sz w:val="16"/>
      <w:szCs w:val="16"/>
    </w:rPr>
  </w:style>
  <w:style w:type="paragraph" w:styleId="CommentText">
    <w:name w:val="annotation text"/>
    <w:basedOn w:val="Normal"/>
    <w:link w:val="CommentTextChar"/>
    <w:rsid w:val="00377D71"/>
    <w:rPr>
      <w:sz w:val="20"/>
    </w:rPr>
  </w:style>
  <w:style w:type="character" w:customStyle="1" w:styleId="CommentTextChar">
    <w:name w:val="Comment Text Char"/>
    <w:link w:val="CommentText"/>
    <w:rsid w:val="00377D71"/>
    <w:rPr>
      <w:snapToGrid w:val="0"/>
      <w:kern w:val="28"/>
    </w:rPr>
  </w:style>
  <w:style w:type="paragraph" w:styleId="CommentSubject">
    <w:name w:val="annotation subject"/>
    <w:basedOn w:val="CommentText"/>
    <w:next w:val="CommentText"/>
    <w:link w:val="CommentSubjectChar"/>
    <w:rsid w:val="00377D71"/>
    <w:rPr>
      <w:b/>
      <w:bCs/>
    </w:rPr>
  </w:style>
  <w:style w:type="character" w:customStyle="1" w:styleId="CommentSubjectChar">
    <w:name w:val="Comment Subject Char"/>
    <w:link w:val="CommentSubject"/>
    <w:rsid w:val="00377D71"/>
    <w:rPr>
      <w:b/>
      <w:bCs/>
      <w:snapToGrid w:val="0"/>
      <w:kern w:val="28"/>
    </w:rPr>
  </w:style>
  <w:style w:type="paragraph" w:styleId="BalloonText">
    <w:name w:val="Balloon Text"/>
    <w:basedOn w:val="Normal"/>
    <w:link w:val="BalloonTextChar"/>
    <w:rsid w:val="00377D71"/>
    <w:rPr>
      <w:rFonts w:ascii="Segoe UI" w:hAnsi="Segoe UI" w:cs="Segoe UI"/>
      <w:sz w:val="18"/>
      <w:szCs w:val="18"/>
    </w:rPr>
  </w:style>
  <w:style w:type="character" w:customStyle="1" w:styleId="BalloonTextChar">
    <w:name w:val="Balloon Text Char"/>
    <w:link w:val="BalloonText"/>
    <w:rsid w:val="00377D71"/>
    <w:rPr>
      <w:rFonts w:ascii="Segoe UI" w:hAnsi="Segoe UI" w:cs="Segoe UI"/>
      <w:snapToGrid w:val="0"/>
      <w:kern w:val="28"/>
      <w:sz w:val="18"/>
      <w:szCs w:val="18"/>
    </w:rPr>
  </w:style>
  <w:style w:type="character" w:customStyle="1" w:styleId="HeaderChar">
    <w:name w:val="Header Char"/>
    <w:link w:val="Header"/>
    <w:rsid w:val="00D56575"/>
    <w:rPr>
      <w:b/>
      <w:snapToGrid w:val="0"/>
      <w:kern w:val="28"/>
      <w:sz w:val="22"/>
    </w:rPr>
  </w:style>
  <w:style w:type="paragraph" w:styleId="Revision">
    <w:name w:val="Revision"/>
    <w:hidden/>
    <w:uiPriority w:val="99"/>
    <w:semiHidden/>
    <w:rsid w:val="00600F32"/>
    <w:rPr>
      <w:snapToGrid w:val="0"/>
      <w:kern w:val="28"/>
      <w:sz w:val="22"/>
    </w:rPr>
  </w:style>
  <w:style w:type="character" w:customStyle="1" w:styleId="UnresolvedMention1">
    <w:name w:val="Unresolved Mention1"/>
    <w:uiPriority w:val="99"/>
    <w:semiHidden/>
    <w:unhideWhenUsed/>
    <w:rsid w:val="00976D08"/>
    <w:rPr>
      <w:color w:val="808080"/>
      <w:shd w:val="clear" w:color="auto" w:fill="E6E6E6"/>
    </w:rPr>
  </w:style>
  <w:style w:type="character" w:customStyle="1" w:styleId="Normal1">
    <w:name w:val="Normal1"/>
    <w:rsid w:val="002748E7"/>
    <w:rPr>
      <w:rFonts w:ascii="Times New Roman" w:hAnsi="Times New Roman"/>
      <w:noProof w:val="0"/>
      <w:sz w:val="20"/>
      <w:lang w:val="en-US"/>
    </w:rPr>
  </w:style>
  <w:style w:type="paragraph" w:styleId="ListParagraph">
    <w:name w:val="List Paragraph"/>
    <w:basedOn w:val="Normal"/>
    <w:uiPriority w:val="34"/>
    <w:qFormat/>
    <w:rsid w:val="002748E7"/>
    <w:pPr>
      <w:widowControl/>
      <w:ind w:left="720"/>
      <w:contextualSpacing/>
    </w:pPr>
    <w:rPr>
      <w:snapToGrid/>
      <w:kern w:val="0"/>
    </w:rPr>
  </w:style>
  <w:style w:type="character" w:customStyle="1" w:styleId="ParaNumChar">
    <w:name w:val="ParaNum Char"/>
    <w:locked/>
    <w:rsid w:val="00867E1F"/>
    <w:rPr>
      <w:snapToGrid w:val="0"/>
      <w:kern w:val="28"/>
      <w:sz w:val="22"/>
    </w:rPr>
  </w:style>
  <w:style w:type="character" w:customStyle="1" w:styleId="ParaNumChar1">
    <w:name w:val="ParaNum Char1"/>
    <w:locked/>
    <w:rsid w:val="00E16C15"/>
    <w:rPr>
      <w:snapToGrid w:val="0"/>
      <w:kern w:val="28"/>
      <w:sz w:val="22"/>
    </w:rPr>
  </w:style>
  <w:style w:type="character" w:customStyle="1" w:styleId="UnresolvedMention2">
    <w:name w:val="Unresolved Mention2"/>
    <w:basedOn w:val="DefaultParagraphFont"/>
    <w:uiPriority w:val="99"/>
    <w:semiHidden/>
    <w:unhideWhenUsed/>
    <w:rsid w:val="00AB0B94"/>
    <w:rPr>
      <w:color w:val="808080"/>
      <w:shd w:val="clear" w:color="auto" w:fill="E6E6E6"/>
    </w:rPr>
  </w:style>
  <w:style w:type="character" w:customStyle="1" w:styleId="UnresolvedMention">
    <w:name w:val="Unresolved Mention"/>
    <w:basedOn w:val="DefaultParagraphFont"/>
    <w:uiPriority w:val="99"/>
    <w:semiHidden/>
    <w:unhideWhenUsed/>
    <w:rsid w:val="00A823A6"/>
    <w:rPr>
      <w:color w:val="808080"/>
      <w:shd w:val="clear" w:color="auto" w:fill="E6E6E6"/>
    </w:rPr>
  </w:style>
  <w:style w:type="character" w:styleId="FollowedHyperlink">
    <w:name w:val="FollowedHyperlink"/>
    <w:basedOn w:val="DefaultParagraphFont"/>
    <w:rsid w:val="00DB3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