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Ivan Angeles,</w:t>
            </w:r>
          </w:p>
          <w:p w:rsidR="002C60D9" w:rsidRPr="007115F7" w:rsidP="007115F7">
            <w:pPr>
              <w:tabs>
                <w:tab w:val="center" w:pos="4680"/>
              </w:tabs>
              <w:suppressAutoHyphens/>
              <w:rPr>
                <w:spacing w:val="-2"/>
              </w:rPr>
            </w:pPr>
            <w:r>
              <w:rPr>
                <w:spacing w:val="-2"/>
              </w:rPr>
              <w:t>Passaic, New Jersey</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2C60D9">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File No.: EB-FIELDNER-15-00019896</w:t>
            </w:r>
          </w:p>
          <w:p w:rsidR="002C60D9">
            <w:pPr>
              <w:tabs>
                <w:tab w:val="center" w:pos="4680"/>
              </w:tabs>
              <w:suppressAutoHyphens/>
              <w:rPr>
                <w:spacing w:val="-2"/>
              </w:rPr>
            </w:pPr>
            <w:r>
              <w:rPr>
                <w:spacing w:val="-2"/>
              </w:rPr>
              <w:t>NAL/Acct. No.: 201532380004</w:t>
            </w:r>
          </w:p>
          <w:p w:rsidR="002C60D9">
            <w:pPr>
              <w:tabs>
                <w:tab w:val="center" w:pos="4680"/>
              </w:tabs>
              <w:suppressAutoHyphens/>
              <w:rPr>
                <w:spacing w:val="-2"/>
              </w:rPr>
            </w:pPr>
            <w:r>
              <w:rPr>
                <w:spacing w:val="-2"/>
              </w:rPr>
              <w:t>FRN: 0024912602</w:t>
            </w: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92D2F">
        <w:rPr>
          <w:b/>
          <w:spacing w:val="-2"/>
        </w:rPr>
        <w:t>June 7, 2018</w:t>
      </w:r>
      <w:r>
        <w:rPr>
          <w:b/>
          <w:spacing w:val="-2"/>
        </w:rPr>
        <w:tab/>
      </w:r>
      <w:r w:rsidR="00822CE0">
        <w:rPr>
          <w:b/>
          <w:spacing w:val="-2"/>
        </w:rPr>
        <w:t>Released</w:t>
      </w:r>
      <w:r>
        <w:rPr>
          <w:b/>
          <w:spacing w:val="-2"/>
        </w:rPr>
        <w:t>:</w:t>
      </w:r>
      <w:r w:rsidR="00822CE0">
        <w:rPr>
          <w:b/>
          <w:spacing w:val="-2"/>
        </w:rPr>
        <w:t xml:space="preserve"> </w:t>
      </w:r>
      <w:r w:rsidR="00892D2F">
        <w:rPr>
          <w:b/>
          <w:spacing w:val="-2"/>
        </w:rPr>
        <w:t xml:space="preserve"> June 8, 2018</w:t>
      </w:r>
    </w:p>
    <w:p w:rsidR="00822CE0"/>
    <w:p w:rsidR="004C2EE3">
      <w:pPr>
        <w:rPr>
          <w:spacing w:val="-2"/>
        </w:rPr>
      </w:pPr>
      <w:r>
        <w:t xml:space="preserve">By </w:t>
      </w:r>
      <w:r w:rsidR="004E4A22">
        <w:t>the</w:t>
      </w:r>
      <w:r w:rsidR="002A2D2E">
        <w:t xml:space="preserve"> </w:t>
      </w:r>
      <w:r w:rsidR="00413F33">
        <w:rPr>
          <w:spacing w:val="-2"/>
        </w:rPr>
        <w:t>Deputy Chief, Enforcement Bureau</w:t>
      </w:r>
      <w:r w:rsidR="002E0D28">
        <w:rPr>
          <w:spacing w:val="-2"/>
        </w:rPr>
        <w:t>:</w:t>
      </w:r>
    </w:p>
    <w:p w:rsidR="00822CE0">
      <w:pPr>
        <w:rPr>
          <w:spacing w:val="-2"/>
        </w:rPr>
      </w:pPr>
    </w:p>
    <w:p w:rsidR="00F62466" w:rsidP="00F62466">
      <w:pPr>
        <w:pStyle w:val="Heading1"/>
      </w:pPr>
      <w:r>
        <w:t>Introduction</w:t>
      </w:r>
    </w:p>
    <w:p w:rsidR="00413F33" w:rsidP="00F62466">
      <w:pPr>
        <w:pStyle w:val="ParaNum"/>
      </w:pPr>
      <w:r>
        <w:t>W</w:t>
      </w:r>
      <w:r w:rsidRPr="00F62466">
        <w:t xml:space="preserve">e dismiss </w:t>
      </w:r>
      <w:r w:rsidR="002012C2">
        <w:t xml:space="preserve">as untimely </w:t>
      </w:r>
      <w:r w:rsidRPr="00F62466">
        <w:t xml:space="preserve">the Petition for Reconsideration </w:t>
      </w:r>
      <w:r w:rsidR="00DF3AF2">
        <w:t xml:space="preserve">(Petition) </w:t>
      </w:r>
      <w:r w:rsidRPr="00F62466">
        <w:t>filed by Ivan Angeles</w:t>
      </w:r>
      <w:r w:rsidR="00DF3AF2">
        <w:t xml:space="preserve"> in this proceeding</w:t>
      </w:r>
      <w:r w:rsidRPr="00F62466">
        <w:t>.</w:t>
      </w:r>
      <w:r>
        <w:rPr>
          <w:rStyle w:val="FootnoteReference"/>
        </w:rPr>
        <w:footnoteReference w:id="3"/>
      </w:r>
      <w:r w:rsidRPr="00F62466">
        <w:t xml:space="preserve"> </w:t>
      </w:r>
      <w:r w:rsidR="00DF3AF2">
        <w:t xml:space="preserve"> </w:t>
      </w:r>
      <w:r w:rsidRPr="00F62466">
        <w:t xml:space="preserve">Mr. Angeles, through counsel, seeks reconsideration of the </w:t>
      </w:r>
      <w:r w:rsidRPr="00DF3AF2">
        <w:rPr>
          <w:i/>
        </w:rPr>
        <w:t>Forfeiture Order</w:t>
      </w:r>
      <w:r w:rsidR="00DF3AF2">
        <w:t>,</w:t>
      </w:r>
      <w:r w:rsidRPr="00F62466">
        <w:t xml:space="preserve"> in which the Enforcement Bureau (Bureau) found Mr. Angeles liable for a monetary forfeiture of $15,000 for willful and repeated violation of Section 301 of the Communications Act of 1934, as amended </w:t>
      </w:r>
      <w:r w:rsidR="00DF3AF2">
        <w:t xml:space="preserve">(the </w:t>
      </w:r>
      <w:r w:rsidRPr="00F62466">
        <w:t>Act)</w:t>
      </w:r>
      <w:r w:rsidR="00DF3AF2">
        <w:t>,</w:t>
      </w:r>
      <w:r w:rsidRPr="00F62466">
        <w:t xml:space="preserve"> in connection with his operation of an unlicensed broadcast station in Passaic, New Jersey.</w:t>
      </w:r>
      <w:r>
        <w:rPr>
          <w:rStyle w:val="FootnoteReference"/>
        </w:rPr>
        <w:footnoteReference w:id="4"/>
      </w:r>
      <w:r w:rsidRPr="00F62466">
        <w:t xml:space="preserve">  </w:t>
      </w:r>
    </w:p>
    <w:p w:rsidR="00F62466" w:rsidP="00F62466">
      <w:pPr>
        <w:pStyle w:val="Heading1"/>
      </w:pPr>
      <w:r>
        <w:t>Background</w:t>
      </w:r>
      <w:r>
        <w:t xml:space="preserve"> </w:t>
      </w:r>
    </w:p>
    <w:p w:rsidR="00F62466" w:rsidP="00F62466">
      <w:pPr>
        <w:pStyle w:val="ParaNum"/>
        <w:widowControl/>
      </w:pPr>
      <w:r>
        <w:t>On September 25, 2015, the Bureau’s New York Field Office (New York Office) issued a Notice of Apparent Liability for Forfeiture (</w:t>
      </w:r>
      <w:r>
        <w:rPr>
          <w:i/>
        </w:rPr>
        <w:t>NAL</w:t>
      </w:r>
      <w:r>
        <w:t>), finding that Mr. Angeles had operated an unauthorized radio station in apparent violation of Section 301 of the Act</w:t>
      </w:r>
      <w:r>
        <w:rPr>
          <w:rStyle w:val="FootnoteReference"/>
        </w:rPr>
        <w:footnoteReference w:id="5"/>
      </w:r>
      <w:r>
        <w:t xml:space="preserve"> and directing Mr. Angeles to pay the forfeiture penalty or to submit a written statement seeking reduction or cancellation of the penalty within 30 days of the release date of the </w:t>
      </w:r>
      <w:r>
        <w:rPr>
          <w:i/>
        </w:rPr>
        <w:t>NAL</w:t>
      </w:r>
      <w:r>
        <w:t>.</w:t>
      </w:r>
      <w:r>
        <w:rPr>
          <w:rStyle w:val="FootnoteReference"/>
        </w:rPr>
        <w:footnoteReference w:id="6"/>
      </w:r>
      <w:r>
        <w:t xml:space="preserve">  The New York Office </w:t>
      </w:r>
      <w:r w:rsidR="00DF3AF2">
        <w:t xml:space="preserve">followed the requirements of the Act, the Commission’s rules, and the Bureau’s standard practices and </w:t>
      </w:r>
      <w:r>
        <w:t xml:space="preserve">sent a copy of the </w:t>
      </w:r>
      <w:r>
        <w:rPr>
          <w:i/>
        </w:rPr>
        <w:t xml:space="preserve">NAL </w:t>
      </w:r>
      <w:r>
        <w:t>to Mr. Angeles</w:t>
      </w:r>
      <w:r w:rsidR="00DF3AF2">
        <w:t>’</w:t>
      </w:r>
      <w:r w:rsidR="002012C2">
        <w:t>s</w:t>
      </w:r>
      <w:r w:rsidR="00DF3AF2">
        <w:t xml:space="preserve"> last known address</w:t>
      </w:r>
      <w:r>
        <w:t xml:space="preserve"> by first-class mail and certified mail</w:t>
      </w:r>
      <w:r w:rsidR="00A57FF2">
        <w:t>, return receipt requested</w:t>
      </w:r>
      <w:r w:rsidR="00DF3AF2">
        <w:t>.</w:t>
      </w:r>
      <w:r>
        <w:rPr>
          <w:rStyle w:val="FootnoteReference"/>
        </w:rPr>
        <w:footnoteReference w:id="7"/>
      </w:r>
      <w:r>
        <w:t xml:space="preserve">  </w:t>
      </w:r>
    </w:p>
    <w:p w:rsidR="00F62466" w:rsidP="004849E3">
      <w:pPr>
        <w:pStyle w:val="ParaNum"/>
        <w:widowControl/>
      </w:pPr>
      <w:r>
        <w:t xml:space="preserve">Mr. Angeles did not respond to the </w:t>
      </w:r>
      <w:r>
        <w:rPr>
          <w:i/>
        </w:rPr>
        <w:t>NAL</w:t>
      </w:r>
      <w:r>
        <w:t xml:space="preserve">.  Accordingly, on May 26, 2016, the Bureau adopted the </w:t>
      </w:r>
      <w:r>
        <w:rPr>
          <w:i/>
        </w:rPr>
        <w:t>Forfeiture Order</w:t>
      </w:r>
      <w:r>
        <w:t xml:space="preserve">, concluding that Mr. Angeles is liable for the forfeiture penalty proposed in </w:t>
      </w:r>
      <w:r>
        <w:t xml:space="preserve">the </w:t>
      </w:r>
      <w:r w:rsidRPr="005024EE">
        <w:rPr>
          <w:i/>
        </w:rPr>
        <w:t>NAL</w:t>
      </w:r>
      <w:r>
        <w:t>.</w:t>
      </w:r>
      <w:r>
        <w:rPr>
          <w:rStyle w:val="FootnoteReference"/>
        </w:rPr>
        <w:footnoteReference w:id="8"/>
      </w:r>
      <w:r>
        <w:t xml:space="preserve">  On July 13, 2016, the Commission received a letter from Mr. Angeles’</w:t>
      </w:r>
      <w:r w:rsidR="002012C2">
        <w:t>s</w:t>
      </w:r>
      <w:r>
        <w:t xml:space="preserve"> attorney requesting reconsideration of the </w:t>
      </w:r>
      <w:r w:rsidR="004849E3">
        <w:rPr>
          <w:i/>
        </w:rPr>
        <w:t>Forfeiture Order</w:t>
      </w:r>
      <w:r w:rsidR="004849E3">
        <w:t xml:space="preserve">, arguing that that Mr. Angeles never received the </w:t>
      </w:r>
      <w:r w:rsidRPr="004849E3" w:rsidR="004849E3">
        <w:rPr>
          <w:i/>
        </w:rPr>
        <w:t>NAL</w:t>
      </w:r>
      <w:r>
        <w:t>.</w:t>
      </w:r>
      <w:r>
        <w:rPr>
          <w:rStyle w:val="FootnoteReference"/>
        </w:rPr>
        <w:footnoteReference w:id="9"/>
      </w:r>
      <w:r>
        <w:t xml:space="preserve"> </w:t>
      </w:r>
    </w:p>
    <w:p w:rsidR="00F62466" w:rsidP="00F62466">
      <w:pPr>
        <w:pStyle w:val="Heading1"/>
      </w:pPr>
      <w:r>
        <w:t>Discussion</w:t>
      </w:r>
    </w:p>
    <w:p w:rsidR="00F62466" w:rsidP="00F62466">
      <w:pPr>
        <w:pStyle w:val="ParaNum"/>
        <w:widowControl/>
      </w:pPr>
      <w:r>
        <w:t xml:space="preserve">We dismiss Mr. Angeles’s petition for reconsideration as statutorily time-barred.  </w:t>
      </w:r>
      <w:r w:rsidR="00827867">
        <w:t>By statute, a</w:t>
      </w:r>
      <w:r w:rsidRPr="00F62466">
        <w:t xml:space="preserve"> petition for reconsideration </w:t>
      </w:r>
      <w:r w:rsidR="00827867">
        <w:t xml:space="preserve">must be filed with the Commission </w:t>
      </w:r>
      <w:r w:rsidRPr="00F62466">
        <w:t>“within thirty days from the date upon which public notice is given of the order . . . complained of.”</w:t>
      </w:r>
      <w:r>
        <w:rPr>
          <w:rStyle w:val="FootnoteReference"/>
        </w:rPr>
        <w:footnoteReference w:id="10"/>
      </w:r>
      <w:r w:rsidRPr="00F62466">
        <w:t xml:space="preserve">  Public notice of the </w:t>
      </w:r>
      <w:r w:rsidRPr="007E1B6A">
        <w:rPr>
          <w:i/>
        </w:rPr>
        <w:t>Forfeiture Order</w:t>
      </w:r>
      <w:r w:rsidRPr="00F62466">
        <w:t xml:space="preserve"> occurred on the day </w:t>
      </w:r>
      <w:r w:rsidR="007E1B6A">
        <w:t>the Bureau released it, May 26, 2016.</w:t>
      </w:r>
      <w:r>
        <w:rPr>
          <w:rStyle w:val="FootnoteReference"/>
        </w:rPr>
        <w:footnoteReference w:id="11"/>
      </w:r>
      <w:r w:rsidR="007E1B6A">
        <w:t xml:space="preserve">  Thus, </w:t>
      </w:r>
      <w:r w:rsidR="004849E3">
        <w:t xml:space="preserve">the </w:t>
      </w:r>
      <w:r w:rsidRPr="00F62466">
        <w:t xml:space="preserve">Petition was due </w:t>
      </w:r>
      <w:r w:rsidR="00827867">
        <w:t xml:space="preserve">to the Commission </w:t>
      </w:r>
      <w:r w:rsidRPr="00F62466">
        <w:t xml:space="preserve">no later than June 27, 2016.  Although the letter from Mr. Angeles’s lawyer was dated June 17, 2016, it bears a stamp from the FCC Mail Room </w:t>
      </w:r>
      <w:r w:rsidR="004849E3">
        <w:t xml:space="preserve">stating that it was </w:t>
      </w:r>
      <w:r w:rsidRPr="00F62466">
        <w:t>“R</w:t>
      </w:r>
      <w:r w:rsidR="004849E3">
        <w:t xml:space="preserve">eceived &amp; Inspected JUL </w:t>
      </w:r>
      <w:r w:rsidR="004849E3">
        <w:t>13</w:t>
      </w:r>
      <w:r w:rsidR="004849E3">
        <w:t xml:space="preserve"> 2016.</w:t>
      </w:r>
      <w:r w:rsidRPr="00F62466">
        <w:t>”</w:t>
      </w:r>
      <w:r>
        <w:rPr>
          <w:rStyle w:val="FootnoteReference"/>
        </w:rPr>
        <w:footnoteReference w:id="12"/>
      </w:r>
      <w:r w:rsidRPr="00F62466">
        <w:t xml:space="preserve"> </w:t>
      </w:r>
      <w:r w:rsidR="004849E3">
        <w:t xml:space="preserve"> </w:t>
      </w:r>
      <w:r w:rsidRPr="00F62466">
        <w:t xml:space="preserve">Under the Commission’s </w:t>
      </w:r>
      <w:r w:rsidR="004849E3">
        <w:t>r</w:t>
      </w:r>
      <w:r w:rsidRPr="00F62466">
        <w:t xml:space="preserve">ules, pleadings are considered to be filed with the Commission upon their receipt </w:t>
      </w:r>
      <w:r w:rsidR="00827867">
        <w:t>by the Commission</w:t>
      </w:r>
      <w:r w:rsidRPr="00F62466">
        <w:t>.</w:t>
      </w:r>
      <w:r>
        <w:rPr>
          <w:rStyle w:val="FootnoteReference"/>
        </w:rPr>
        <w:footnoteReference w:id="13"/>
      </w:r>
      <w:r w:rsidRPr="00F62466">
        <w:t xml:space="preserve"> </w:t>
      </w:r>
    </w:p>
    <w:p w:rsidR="007E1B6A" w:rsidP="007E1B6A">
      <w:pPr>
        <w:pStyle w:val="ParaNum"/>
      </w:pPr>
      <w:r>
        <w:t>The Commission lacks authority to waive or extend the statutory 30-day filing period for petitions for reconsideration unless the petitioner shows that its failure to file in a timely manner resulted from “extraordinary circumstances.”</w:t>
      </w:r>
      <w:r>
        <w:rPr>
          <w:rStyle w:val="FootnoteReference"/>
        </w:rPr>
        <w:footnoteReference w:id="14"/>
      </w:r>
      <w:r>
        <w:t xml:space="preserve">  Here, Mr. Angeles makes </w:t>
      </w:r>
      <w:r w:rsidR="004849E3">
        <w:t xml:space="preserve">no </w:t>
      </w:r>
      <w:r>
        <w:t xml:space="preserve">argument </w:t>
      </w:r>
      <w:r w:rsidR="004849E3">
        <w:t>that</w:t>
      </w:r>
      <w:r w:rsidR="00FD492A">
        <w:t xml:space="preserve"> any circumstances exist, let alone</w:t>
      </w:r>
      <w:r w:rsidR="004849E3">
        <w:t xml:space="preserve"> </w:t>
      </w:r>
      <w:r>
        <w:t>extraordinary circumstances</w:t>
      </w:r>
      <w:r w:rsidR="00FD492A">
        <w:t>,</w:t>
      </w:r>
      <w:r>
        <w:t xml:space="preserve"> </w:t>
      </w:r>
      <w:r w:rsidR="004849E3">
        <w:t xml:space="preserve">that would justify </w:t>
      </w:r>
      <w:r w:rsidR="00C46DED">
        <w:t>the late fil</w:t>
      </w:r>
      <w:r>
        <w:t>ing</w:t>
      </w:r>
      <w:r w:rsidR="00FD492A">
        <w:t xml:space="preserve"> of his Petition</w:t>
      </w:r>
      <w:r>
        <w:t xml:space="preserve">.  Because the Commission (and, by extension, the Bureau) lacks authority to consider </w:t>
      </w:r>
      <w:r w:rsidR="004849E3">
        <w:t xml:space="preserve">the </w:t>
      </w:r>
      <w:r>
        <w:t>late-filed Petition absent extraordinary circumstances,</w:t>
      </w:r>
      <w:r>
        <w:rPr>
          <w:rStyle w:val="FootnoteReference"/>
        </w:rPr>
        <w:footnoteReference w:id="15"/>
      </w:r>
      <w:r>
        <w:t xml:space="preserve"> and because the period in which the Bureau might </w:t>
      </w:r>
      <w:r w:rsidR="00827867">
        <w:t xml:space="preserve">have </w:t>
      </w:r>
      <w:r>
        <w:t>act</w:t>
      </w:r>
      <w:r w:rsidR="00827867">
        <w:t>ed</w:t>
      </w:r>
      <w:r>
        <w:t xml:space="preserve"> </w:t>
      </w:r>
      <w:r w:rsidRPr="007E1B6A">
        <w:rPr>
          <w:i/>
        </w:rPr>
        <w:t>sua</w:t>
      </w:r>
      <w:r w:rsidRPr="007E1B6A">
        <w:rPr>
          <w:i/>
        </w:rPr>
        <w:t xml:space="preserve"> sponte</w:t>
      </w:r>
      <w:r>
        <w:t xml:space="preserve"> </w:t>
      </w:r>
      <w:r w:rsidR="00827867">
        <w:t>expired before the Commission received the Petition,</w:t>
      </w:r>
      <w:r>
        <w:rPr>
          <w:rStyle w:val="FootnoteReference"/>
        </w:rPr>
        <w:footnoteReference w:id="16"/>
      </w:r>
      <w:r>
        <w:t xml:space="preserve"> the Bureau must dismiss </w:t>
      </w:r>
      <w:r w:rsidR="004849E3">
        <w:t xml:space="preserve">the Petition as </w:t>
      </w:r>
      <w:r>
        <w:t xml:space="preserve">untimely.  </w:t>
      </w:r>
    </w:p>
    <w:p w:rsidR="007E1B6A" w:rsidP="00C46DED">
      <w:pPr>
        <w:pStyle w:val="ParaNum"/>
      </w:pPr>
      <w:r>
        <w:t xml:space="preserve">Although we are dismissing </w:t>
      </w:r>
      <w:r w:rsidR="004849E3">
        <w:t xml:space="preserve">the Petition </w:t>
      </w:r>
      <w:r w:rsidR="00A57FF2">
        <w:t xml:space="preserve">as untimely, </w:t>
      </w:r>
      <w:r>
        <w:t xml:space="preserve">we would also deny the Petition if </w:t>
      </w:r>
      <w:r w:rsidR="00FE706F">
        <w:t xml:space="preserve">it had been </w:t>
      </w:r>
      <w:r w:rsidR="005D0EDA">
        <w:t>timely filed.</w:t>
      </w:r>
      <w:r>
        <w:t xml:space="preserve">  The Petition </w:t>
      </w:r>
      <w:r w:rsidR="002C0ED6">
        <w:t xml:space="preserve">alleges that the Bureau did not properly notify Mr. Angeles of the </w:t>
      </w:r>
      <w:r w:rsidRPr="004F68D1" w:rsidR="002C0ED6">
        <w:rPr>
          <w:i/>
        </w:rPr>
        <w:t>NAL</w:t>
      </w:r>
      <w:r w:rsidR="002C0ED6">
        <w:t xml:space="preserve">, stating </w:t>
      </w:r>
      <w:r>
        <w:t xml:space="preserve">that Mr. Angeles never </w:t>
      </w:r>
      <w:r w:rsidR="002C0ED6">
        <w:t xml:space="preserve">actually </w:t>
      </w:r>
      <w:r>
        <w:t xml:space="preserve">received the </w:t>
      </w:r>
      <w:r w:rsidRPr="00E936B0">
        <w:rPr>
          <w:i/>
        </w:rPr>
        <w:t>NAL</w:t>
      </w:r>
      <w:r>
        <w:t xml:space="preserve">, and that “[h]ad he received notice of </w:t>
      </w:r>
      <w:r>
        <w:t>same</w:t>
      </w:r>
      <w:r>
        <w:t xml:space="preserve"> he surely would have filed a response to the allegations set forth.”</w:t>
      </w:r>
      <w:r>
        <w:rPr>
          <w:rStyle w:val="FootnoteReference"/>
        </w:rPr>
        <w:footnoteReference w:id="17"/>
      </w:r>
      <w:r>
        <w:t xml:space="preserve"> </w:t>
      </w:r>
      <w:r w:rsidR="00D90437">
        <w:t xml:space="preserve"> </w:t>
      </w:r>
      <w:r w:rsidR="002C0ED6">
        <w:t>If the Petition were timely filed, we would reject this argument</w:t>
      </w:r>
      <w:r w:rsidR="00D117FB">
        <w:t xml:space="preserve"> </w:t>
      </w:r>
      <w:r w:rsidR="00FE706F">
        <w:t xml:space="preserve">and deny reconsideration </w:t>
      </w:r>
      <w:r w:rsidR="00D117FB">
        <w:t xml:space="preserve">because the Bureau satisfied its </w:t>
      </w:r>
      <w:r w:rsidR="00FE706F">
        <w:t xml:space="preserve">notice </w:t>
      </w:r>
      <w:r w:rsidR="00D117FB">
        <w:t>obligation</w:t>
      </w:r>
      <w:r w:rsidR="00FE706F">
        <w:t>s</w:t>
      </w:r>
      <w:r w:rsidR="00D117FB">
        <w:t xml:space="preserve"> u</w:t>
      </w:r>
      <w:r>
        <w:t xml:space="preserve">nder Section 503(b)(4)(B) of the Act </w:t>
      </w:r>
      <w:r w:rsidR="00D117FB">
        <w:t xml:space="preserve">when it sent </w:t>
      </w:r>
      <w:r>
        <w:t xml:space="preserve">the </w:t>
      </w:r>
      <w:r w:rsidRPr="00E936B0">
        <w:rPr>
          <w:i/>
        </w:rPr>
        <w:t>NAL</w:t>
      </w:r>
      <w:r>
        <w:t xml:space="preserve"> to the “last known address” of Mr. Angeles by certified mail.</w:t>
      </w:r>
      <w:r>
        <w:rPr>
          <w:rStyle w:val="FootnoteReference"/>
        </w:rPr>
        <w:footnoteReference w:id="18"/>
      </w:r>
      <w:r>
        <w:t xml:space="preserve">  </w:t>
      </w:r>
    </w:p>
    <w:p w:rsidR="00E936B0" w:rsidP="00E936B0">
      <w:pPr>
        <w:pStyle w:val="Heading1"/>
      </w:pPr>
      <w:r>
        <w:t>Ordering Clauses</w:t>
      </w:r>
    </w:p>
    <w:p w:rsidR="00E936B0" w:rsidRPr="00193A4F" w:rsidP="00E936B0">
      <w:pPr>
        <w:pStyle w:val="ParaNum"/>
        <w:widowControl/>
        <w:tabs>
          <w:tab w:val="clear" w:pos="1440"/>
        </w:tabs>
      </w:pPr>
      <w:r w:rsidRPr="00193A4F">
        <w:t xml:space="preserve">Accordingly, </w:t>
      </w:r>
      <w:r w:rsidRPr="00193A4F">
        <w:rPr>
          <w:b/>
        </w:rPr>
        <w:t xml:space="preserve">IT IS ORDERED </w:t>
      </w:r>
      <w:r w:rsidRPr="00193A4F">
        <w:t xml:space="preserve">that, pursuant to Section 405 of the </w:t>
      </w:r>
      <w:r>
        <w:t>Act</w:t>
      </w:r>
      <w:r w:rsidRPr="00193A4F">
        <w:t xml:space="preserve">, and Section 1.106 of the </w:t>
      </w:r>
      <w:r>
        <w:t xml:space="preserve">Commissions’ rules, </w:t>
      </w:r>
      <w:r w:rsidRPr="00193A4F">
        <w:t xml:space="preserve">the Petition for Reconsideration filed by </w:t>
      </w:r>
      <w:r>
        <w:t xml:space="preserve">Ivan Angeles is hereby </w:t>
      </w:r>
      <w:r w:rsidRPr="00E936B0">
        <w:rPr>
          <w:b/>
        </w:rPr>
        <w:t>DISMISSED</w:t>
      </w:r>
      <w:r>
        <w:t xml:space="preserve"> as untimely filed</w:t>
      </w:r>
      <w:r w:rsidRPr="00193A4F">
        <w:t>.</w:t>
      </w:r>
      <w:r>
        <w:rPr>
          <w:rStyle w:val="FootnoteReference"/>
        </w:rPr>
        <w:footnoteReference w:id="19"/>
      </w:r>
    </w:p>
    <w:p w:rsidR="00E936B0" w:rsidRPr="00193A4F" w:rsidP="00F35226">
      <w:pPr>
        <w:pStyle w:val="ParaNum"/>
        <w:widowControl/>
        <w:tabs>
          <w:tab w:val="clear" w:pos="1440"/>
        </w:tabs>
      </w:pPr>
      <w:r w:rsidRPr="00193A4F">
        <w:rPr>
          <w:b/>
        </w:rPr>
        <w:t>IT IS FURTHER ORDERED</w:t>
      </w:r>
      <w:r w:rsidRPr="00193A4F">
        <w:t xml:space="preserve"> that, pursuant to Section 503(b) of the Act and Sections 0.111, 0.311, and 1.80 of the Rules, </w:t>
      </w:r>
      <w:r>
        <w:t xml:space="preserve">Ivan Angeles </w:t>
      </w:r>
      <w:r w:rsidRPr="00193A4F">
        <w:rPr>
          <w:b/>
        </w:rPr>
        <w:t>IS LIABLE FOR A MONETARY FORFEITURE</w:t>
      </w:r>
      <w:r w:rsidRPr="00193A4F">
        <w:t xml:space="preserve"> of </w:t>
      </w:r>
      <w:r>
        <w:t xml:space="preserve">$15,000 </w:t>
      </w:r>
      <w:r w:rsidRPr="00193A4F">
        <w:t xml:space="preserve">for willfully </w:t>
      </w:r>
      <w:r w:rsidRPr="002A6579">
        <w:t>and repeatedly</w:t>
      </w:r>
      <w:r w:rsidRPr="00193A4F">
        <w:t xml:space="preserve"> violating </w:t>
      </w:r>
      <w:r>
        <w:t>Section 301 of the Act.</w:t>
      </w:r>
      <w:r>
        <w:rPr>
          <w:rStyle w:val="FootnoteReference"/>
        </w:rPr>
        <w:footnoteReference w:id="20"/>
      </w:r>
    </w:p>
    <w:p w:rsidR="00E936B0" w:rsidRPr="00193A4F" w:rsidP="00E936B0">
      <w:pPr>
        <w:pStyle w:val="ParaNum"/>
        <w:widowControl/>
        <w:tabs>
          <w:tab w:val="left" w:pos="360"/>
          <w:tab w:val="clear" w:pos="1440"/>
        </w:tabs>
        <w:rPr>
          <w:rFonts w:eastAsia="MS Mincho"/>
          <w:color w:val="000000"/>
          <w:szCs w:val="22"/>
        </w:rPr>
      </w:pPr>
      <w:r w:rsidRPr="00193A4F">
        <w:rPr>
          <w:rFonts w:eastAsia="MS Mincho"/>
          <w:szCs w:val="22"/>
        </w:rPr>
        <w:t>Payment of the forfeiture shall be made in the manner provided for in Section 1.80 of the Rules within thirty (30) calendar days after the release date of this Memorandum Opinion and Order.</w:t>
      </w:r>
      <w:r>
        <w:rPr>
          <w:rStyle w:val="FootnoteReference"/>
          <w:rFonts w:eastAsia="MS Mincho"/>
          <w:szCs w:val="22"/>
        </w:rPr>
        <w:footnoteReference w:id="21"/>
      </w:r>
      <w:r w:rsidRPr="00193A4F">
        <w:rPr>
          <w:rFonts w:eastAsia="MS Mincho"/>
          <w:szCs w:val="22"/>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szCs w:val="22"/>
        </w:rPr>
        <w:footnoteReference w:id="22"/>
      </w:r>
      <w:r w:rsidRPr="00193A4F">
        <w:rPr>
          <w:rFonts w:eastAsia="MS Mincho"/>
          <w:szCs w:val="22"/>
        </w:rPr>
        <w:t xml:space="preserve">  </w:t>
      </w:r>
    </w:p>
    <w:p w:rsidR="00E936B0" w:rsidRPr="00193A4F" w:rsidP="00E936B0">
      <w:pPr>
        <w:pStyle w:val="ParaNum"/>
        <w:widowControl/>
        <w:tabs>
          <w:tab w:val="clear" w:pos="1440"/>
        </w:tabs>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Pr>
          <w:szCs w:val="22"/>
        </w:rPr>
        <w:t xml:space="preserve">Mr. Angeles </w:t>
      </w:r>
      <w:r w:rsidRPr="006D73F2">
        <w:rPr>
          <w:szCs w:val="22"/>
        </w:rPr>
        <w:t xml:space="preserve">shall send electronic notification </w:t>
      </w:r>
      <w:r>
        <w:rPr>
          <w:szCs w:val="22"/>
        </w:rPr>
        <w:t xml:space="preserve">of </w:t>
      </w:r>
      <w:r w:rsidRPr="006D73F2">
        <w:rPr>
          <w:szCs w:val="22"/>
        </w:rPr>
        <w:t xml:space="preserve">payment to </w:t>
      </w:r>
      <w:r>
        <w:rPr>
          <w:szCs w:val="22"/>
        </w:rPr>
        <w:t xml:space="preserve">Matthew L. Gibson at </w:t>
      </w:r>
      <w:r>
        <w:fldChar w:fldCharType="begin"/>
      </w:r>
      <w:r>
        <w:instrText xml:space="preserve"> HYPERLINK "mailto:matthew.gibson@fcc.gov" </w:instrText>
      </w:r>
      <w:r>
        <w:fldChar w:fldCharType="separate"/>
      </w:r>
      <w:r w:rsidRPr="00830CA7">
        <w:rPr>
          <w:rStyle w:val="Hyperlink"/>
          <w:szCs w:val="22"/>
        </w:rPr>
        <w:t>matthew.gibson@fcc.gov</w:t>
      </w:r>
      <w:r>
        <w:fldChar w:fldCharType="end"/>
      </w:r>
      <w:r>
        <w:rPr>
          <w:szCs w:val="22"/>
        </w:rPr>
        <w:t xml:space="preserve">, with copy to </w:t>
      </w:r>
      <w:r>
        <w:fldChar w:fldCharType="begin"/>
      </w:r>
      <w:r>
        <w:instrText xml:space="preserve"> HYPERLINK "mailto:field@fcc.gov" </w:instrText>
      </w:r>
      <w:r>
        <w:fldChar w:fldCharType="separate"/>
      </w:r>
      <w:r w:rsidRPr="00D32FA2">
        <w:rPr>
          <w:rStyle w:val="Hyperlink"/>
          <w:szCs w:val="22"/>
        </w:rPr>
        <w:t>field@fcc.gov</w:t>
      </w:r>
      <w:r>
        <w:fldChar w:fldCharType="end"/>
      </w:r>
      <w:r>
        <w:rPr>
          <w:szCs w:val="22"/>
        </w:rPr>
        <w:t xml:space="preserve"> </w:t>
      </w:r>
      <w:r w:rsidRPr="006D73F2">
        <w:rPr>
          <w:szCs w:val="22"/>
        </w:rPr>
        <w:t>on the date said payment is made.</w:t>
      </w:r>
      <w:r>
        <w:rPr>
          <w:szCs w:val="22"/>
        </w:rPr>
        <w:t xml:space="preserve">  </w:t>
      </w:r>
      <w:r w:rsidRPr="00193A4F">
        <w:rPr>
          <w:rFonts w:eastAsia="MS Mincho"/>
          <w:szCs w:val="22"/>
        </w:rPr>
        <w:t>Regardless of the form of payment, a completed FCC Form 159 (Remittance Advice) must be submitted.</w:t>
      </w:r>
      <w:r>
        <w:rPr>
          <w:rStyle w:val="FootnoteReference"/>
          <w:rFonts w:eastAsia="MS Mincho"/>
          <w:szCs w:val="22"/>
        </w:rPr>
        <w:footnoteReference w:id="23"/>
      </w:r>
      <w:r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Pr="00193A4F">
        <w:rPr>
          <w:color w:val="000000"/>
          <w:szCs w:val="22"/>
        </w:rPr>
        <w:t xml:space="preserve">  </w:t>
      </w:r>
    </w:p>
    <w:p w:rsidR="00E936B0" w:rsidP="00E936B0">
      <w:pPr>
        <w:pStyle w:val="ParaNum"/>
        <w:widowControl/>
        <w:numPr>
          <w:ilvl w:val="0"/>
          <w:numId w:val="8"/>
        </w:numPr>
        <w:rPr>
          <w:rFonts w:eastAsia="MS Mincho"/>
          <w:szCs w:val="22"/>
        </w:rPr>
      </w:pPr>
      <w:r w:rsidRPr="00193A4F">
        <w:rPr>
          <w:rFonts w:eastAsia="MS Mincho"/>
          <w:szCs w:val="22"/>
        </w:rPr>
        <w:t>Payment by check or money order must be made payable to the order of the Federal Communications Commission.</w:t>
      </w:r>
      <w:r w:rsidR="00DE7902">
        <w:rPr>
          <w:rFonts w:eastAsia="MS Mincho"/>
          <w:szCs w:val="22"/>
        </w:rPr>
        <w:t xml:space="preserve">  </w:t>
      </w:r>
      <w:r w:rsidRPr="00193A4F">
        <w:rPr>
          <w:rFonts w:eastAsia="MS Mincho"/>
          <w:szCs w:val="22"/>
        </w:rPr>
        <w:t>Such payments</w:t>
      </w:r>
      <w:r w:rsidR="00DE7902">
        <w:rPr>
          <w:rFonts w:eastAsia="MS Mincho"/>
          <w:szCs w:val="22"/>
        </w:rPr>
        <w:t xml:space="preserve"> </w:t>
      </w:r>
      <w:r w:rsidRPr="00193A4F">
        <w:rPr>
          <w:rFonts w:eastAsia="MS Mincho"/>
          <w:szCs w:val="22"/>
        </w:rPr>
        <w:t>(along with the completed Form 159) must be mailed to Federal Communications Commission, P.O. Box 979088, St. Louis, MO 63197-9000, or sent via overnight mail to U.S. Bank – Government Lockbox #979088, SL-MO-C2-GL, 1005 Convention Plaza, St. Louis, MO 63101. </w:t>
      </w:r>
    </w:p>
    <w:p w:rsidR="00E936B0" w:rsidP="00E936B0">
      <w:pPr>
        <w:pStyle w:val="ParaNum"/>
        <w:widowControl/>
        <w:numPr>
          <w:ilvl w:val="0"/>
          <w:numId w:val="8"/>
        </w:numPr>
        <w:rPr>
          <w:rFonts w:eastAsia="MS Mincho"/>
          <w:szCs w:val="22"/>
        </w:rPr>
      </w:pPr>
      <w:r w:rsidRPr="00572CED">
        <w:rPr>
          <w:rFonts w:eastAsia="MS Mincho"/>
          <w:szCs w:val="22"/>
        </w:rPr>
        <w:t>Payment by wire transfer must be made to ABA Number 021030004, receiving bank TREAS/NYC, and Account Number 27000001.</w:t>
      </w:r>
      <w:r w:rsidR="00DE7902">
        <w:rPr>
          <w:rFonts w:eastAsia="MS Mincho"/>
          <w:szCs w:val="22"/>
        </w:rPr>
        <w:t xml:space="preserve">  </w:t>
      </w:r>
      <w:r w:rsidRPr="00572CED">
        <w:rPr>
          <w:rFonts w:eastAsia="MS Mincho"/>
          <w:szCs w:val="22"/>
        </w:rPr>
        <w:t>To complete the wire transfer and ensure appropriate crediting of the wired funds, a completed Form 159 must be faxed to U.S. Bank at (314) 418-4232 on the same business day the wire transfer is initiated. </w:t>
      </w:r>
    </w:p>
    <w:p w:rsidR="00E936B0" w:rsidRPr="00572CED" w:rsidP="00E936B0">
      <w:pPr>
        <w:pStyle w:val="ParaNum"/>
        <w:widowControl/>
        <w:numPr>
          <w:ilvl w:val="0"/>
          <w:numId w:val="8"/>
        </w:numPr>
        <w:rPr>
          <w:rFonts w:eastAsia="MS Mincho"/>
          <w:szCs w:val="22"/>
        </w:rPr>
      </w:pPr>
      <w:r w:rsidRPr="00572CED">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936B0" w:rsidRPr="00193A4F" w:rsidP="00E936B0">
      <w:pPr>
        <w:pStyle w:val="ParaNum"/>
        <w:widowControl/>
        <w:tabs>
          <w:tab w:val="clear" w:pos="1440"/>
        </w:tabs>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D.C. 20554.</w:t>
      </w:r>
      <w:r>
        <w:rPr>
          <w:rStyle w:val="FootnoteReference"/>
          <w:rFonts w:eastAsia="MS Mincho"/>
          <w:szCs w:val="22"/>
        </w:rPr>
        <w:footnoteReference w:id="24"/>
      </w:r>
      <w:r w:rsidRPr="00193A4F">
        <w:rPr>
          <w:rFonts w:eastAsia="MS Mincho"/>
          <w:szCs w:val="22"/>
        </w:rPr>
        <w:t xml:space="preserve">  Questions regarding payment procedures should be directed to the Financial Operations Group Help Desk by phone, 1-877-480-3201, or by e</w:t>
      </w:r>
      <w:r w:rsidRPr="00193A4F">
        <w:rPr>
          <w:rFonts w:eastAsia="MS Mincho"/>
          <w:szCs w:val="22"/>
        </w:rPr>
        <w:noBreakHyphen/>
        <w:t>mail, ARINQUIRIES@fcc.gov. </w:t>
      </w:r>
    </w:p>
    <w:p w:rsidR="00E936B0" w:rsidRPr="00E936B0" w:rsidP="00F35226">
      <w:pPr>
        <w:pStyle w:val="ParaNum"/>
        <w:keepNext/>
        <w:widowControl/>
        <w:tabs>
          <w:tab w:val="clear" w:pos="1440"/>
        </w:tabs>
      </w:pPr>
      <w:r w:rsidRPr="00564D08">
        <w:rPr>
          <w:b/>
          <w:szCs w:val="22"/>
        </w:rPr>
        <w:t>IT IS FURTHER ORDERED</w:t>
      </w:r>
      <w:r w:rsidRPr="00564D08">
        <w:rPr>
          <w:szCs w:val="22"/>
        </w:rPr>
        <w:t xml:space="preserve"> that a copy of this Memorandum Opinion and Order</w:t>
      </w:r>
      <w:r w:rsidRPr="00193A4F">
        <w:t xml:space="preserve"> </w:t>
      </w:r>
      <w:r w:rsidRPr="00564D08">
        <w:rPr>
          <w:color w:val="000000"/>
          <w:szCs w:val="22"/>
        </w:rPr>
        <w:t xml:space="preserve">shall be sent by first class mail and certified mail, return receipt requested, to </w:t>
      </w:r>
      <w:r>
        <w:rPr>
          <w:color w:val="000000"/>
          <w:szCs w:val="22"/>
        </w:rPr>
        <w:t xml:space="preserve">Ivan Angels </w:t>
      </w:r>
      <w:r w:rsidRPr="00564D08">
        <w:rPr>
          <w:color w:val="000000"/>
          <w:szCs w:val="22"/>
        </w:rPr>
        <w:t>at his address of record</w:t>
      </w:r>
      <w:r>
        <w:rPr>
          <w:color w:val="000000"/>
          <w:szCs w:val="22"/>
        </w:rPr>
        <w:t xml:space="preserve"> and to his counsel, Charles C. </w:t>
      </w:r>
      <w:r>
        <w:rPr>
          <w:color w:val="000000"/>
          <w:szCs w:val="22"/>
        </w:rPr>
        <w:t>Festa</w:t>
      </w:r>
      <w:r>
        <w:rPr>
          <w:color w:val="000000"/>
          <w:szCs w:val="22"/>
        </w:rPr>
        <w:t>, III, Esq., 88 Main Street, Little Falls, New Jersey 07424</w:t>
      </w:r>
      <w:r w:rsidRPr="00564D08">
        <w:rPr>
          <w:color w:val="000000"/>
          <w:szCs w:val="22"/>
        </w:rPr>
        <w:t>.</w:t>
      </w:r>
    </w:p>
    <w:p w:rsidR="00E936B0" w:rsidP="00F35226">
      <w:pPr>
        <w:keepNext/>
      </w:pPr>
      <w:r>
        <w:tab/>
      </w:r>
      <w:r>
        <w:tab/>
      </w:r>
      <w:r>
        <w:tab/>
      </w:r>
      <w:r>
        <w:tab/>
      </w:r>
      <w:r>
        <w:tab/>
      </w:r>
      <w:r>
        <w:tab/>
        <w:t>FEDERAL COMMUNICATIONS COMMISSION</w:t>
      </w:r>
    </w:p>
    <w:p w:rsidR="00E936B0" w:rsidP="00F35226">
      <w:pPr>
        <w:keepNext/>
      </w:pPr>
    </w:p>
    <w:p w:rsidR="00E936B0" w:rsidP="00F35226">
      <w:pPr>
        <w:keepNext/>
      </w:pPr>
    </w:p>
    <w:p w:rsidR="00E936B0" w:rsidP="00F35226">
      <w:pPr>
        <w:keepNext/>
      </w:pPr>
    </w:p>
    <w:p w:rsidR="00E936B0" w:rsidP="00F35226">
      <w:pPr>
        <w:keepNext/>
      </w:pPr>
    </w:p>
    <w:p w:rsidR="00E936B0" w:rsidP="00F35226">
      <w:pPr>
        <w:keepNext/>
      </w:pPr>
      <w:r>
        <w:tab/>
      </w:r>
      <w:r>
        <w:tab/>
      </w:r>
      <w:r>
        <w:tab/>
      </w:r>
      <w:r>
        <w:tab/>
      </w:r>
      <w:r>
        <w:tab/>
      </w:r>
      <w:r>
        <w:tab/>
        <w:t>Phillip Rosario</w:t>
      </w:r>
    </w:p>
    <w:p w:rsidR="00E936B0" w:rsidP="00F35226">
      <w:pPr>
        <w:keepNext/>
      </w:pPr>
      <w:r>
        <w:tab/>
      </w:r>
      <w:r>
        <w:tab/>
      </w:r>
      <w:r>
        <w:tab/>
      </w:r>
      <w:r>
        <w:tab/>
      </w:r>
      <w:r>
        <w:tab/>
      </w:r>
      <w:r>
        <w:tab/>
        <w:t>Deputy Chief, Enforcement Bureau</w:t>
      </w:r>
    </w:p>
    <w:p w:rsidR="00E936B0" w:rsidRPr="00F62466" w:rsidP="00E936B0">
      <w:pPr>
        <w:pStyle w:val="ParaNum"/>
        <w:widowControl/>
        <w:numPr>
          <w:ilvl w:val="0"/>
          <w:numId w:val="0"/>
        </w:numPr>
        <w:ind w:firstLine="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2877">
      <w:r>
        <w:separator/>
      </w:r>
    </w:p>
  </w:footnote>
  <w:footnote w:type="continuationSeparator" w:id="1">
    <w:p w:rsidR="009B2877" w:rsidP="00C721AC">
      <w:pPr>
        <w:spacing w:before="120"/>
        <w:rPr>
          <w:sz w:val="20"/>
        </w:rPr>
      </w:pPr>
      <w:r>
        <w:rPr>
          <w:sz w:val="20"/>
        </w:rPr>
        <w:t xml:space="preserve">(Continued from previous page)  </w:t>
      </w:r>
      <w:r>
        <w:rPr>
          <w:sz w:val="20"/>
        </w:rPr>
        <w:separator/>
      </w:r>
    </w:p>
  </w:footnote>
  <w:footnote w:type="continuationNotice" w:id="2">
    <w:p w:rsidR="009B2877" w:rsidP="00C721AC">
      <w:pPr>
        <w:jc w:val="right"/>
        <w:rPr>
          <w:sz w:val="20"/>
        </w:rPr>
      </w:pPr>
      <w:r>
        <w:rPr>
          <w:sz w:val="20"/>
        </w:rPr>
        <w:t>(continued….)</w:t>
      </w:r>
    </w:p>
  </w:footnote>
  <w:footnote w:id="3">
    <w:p w:rsidR="00DF3AF2">
      <w:pPr>
        <w:pStyle w:val="FootnoteText"/>
      </w:pPr>
      <w:r>
        <w:rPr>
          <w:rStyle w:val="FootnoteReference"/>
        </w:rPr>
        <w:footnoteRef/>
      </w:r>
      <w:r>
        <w:t xml:space="preserve"> </w:t>
      </w:r>
      <w:r w:rsidRPr="004849E3">
        <w:rPr>
          <w:i/>
        </w:rPr>
        <w:t>Ivan Angeles</w:t>
      </w:r>
      <w:r>
        <w:t>, Petition for Reconsideration, July 13, 2016 (on file in EB-FIELDNER-15-000896) (Petition).</w:t>
      </w:r>
    </w:p>
  </w:footnote>
  <w:footnote w:id="4">
    <w:p w:rsidR="000451D6" w:rsidRPr="004849E3">
      <w:pPr>
        <w:pStyle w:val="FootnoteText"/>
      </w:pPr>
      <w:r>
        <w:rPr>
          <w:rStyle w:val="FootnoteReference"/>
        </w:rPr>
        <w:footnoteRef/>
      </w:r>
      <w:r>
        <w:t xml:space="preserve"> </w:t>
      </w:r>
      <w:r w:rsidR="004849E3">
        <w:rPr>
          <w:i/>
        </w:rPr>
        <w:t>See</w:t>
      </w:r>
      <w:r w:rsidR="004849E3">
        <w:t xml:space="preserve"> </w:t>
      </w:r>
      <w:r w:rsidR="004849E3">
        <w:rPr>
          <w:i/>
        </w:rPr>
        <w:t>Ivan Angeles, Passaic, New Jersey</w:t>
      </w:r>
      <w:r w:rsidR="004849E3">
        <w:t>, Forfeiture Order, 31 FCC Rcd 5202 (EB 2016) (</w:t>
      </w:r>
      <w:r w:rsidR="004849E3">
        <w:rPr>
          <w:i/>
        </w:rPr>
        <w:t>Forfeiture Order</w:t>
      </w:r>
      <w:r w:rsidR="004849E3">
        <w:t>)</w:t>
      </w:r>
      <w:r w:rsidR="0034435C">
        <w:t>.</w:t>
      </w:r>
    </w:p>
  </w:footnote>
  <w:footnote w:id="5">
    <w:p w:rsidR="00F62466" w:rsidP="00F62466">
      <w:pPr>
        <w:pStyle w:val="FootnoteText"/>
      </w:pPr>
      <w:r>
        <w:rPr>
          <w:rStyle w:val="FootnoteReference"/>
        </w:rPr>
        <w:footnoteRef/>
      </w:r>
      <w:r>
        <w:t xml:space="preserve"> 47 U.S.C. § 301. </w:t>
      </w:r>
    </w:p>
  </w:footnote>
  <w:footnote w:id="6">
    <w:p w:rsidR="00F62466" w:rsidRPr="006B3571" w:rsidP="00F62466">
      <w:pPr>
        <w:pStyle w:val="FootnoteText"/>
        <w:rPr>
          <w:b/>
        </w:rPr>
      </w:pPr>
      <w:r>
        <w:rPr>
          <w:rStyle w:val="FootnoteReference"/>
        </w:rPr>
        <w:footnoteRef/>
      </w:r>
      <w:r>
        <w:t xml:space="preserve"> </w:t>
      </w:r>
      <w:r w:rsidR="004849E3">
        <w:rPr>
          <w:i/>
        </w:rPr>
        <w:t>Ivan Angeles, Passaic, New Jersey</w:t>
      </w:r>
      <w:r w:rsidR="004849E3">
        <w:t>, Notice of Apparent Liability for Forfeiture, 30 FCC Rcd 10202 (EB 2015).</w:t>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00827867">
        <w:t xml:space="preserve"> </w:t>
      </w:r>
    </w:p>
  </w:footnote>
  <w:footnote w:id="7">
    <w:p w:rsidR="00F62466" w:rsidRPr="00827867" w:rsidP="00F62466">
      <w:pPr>
        <w:pStyle w:val="FootnoteText"/>
      </w:pPr>
      <w:r>
        <w:rPr>
          <w:rStyle w:val="FootnoteReference"/>
        </w:rPr>
        <w:footnoteRef/>
      </w:r>
      <w:r>
        <w:t xml:space="preserve"> </w:t>
      </w:r>
      <w:r w:rsidR="00DF3AF2">
        <w:rPr>
          <w:i/>
        </w:rPr>
        <w:t>See</w:t>
      </w:r>
      <w:r w:rsidR="00DF3AF2">
        <w:t xml:space="preserve"> 47 U.S.C. § 503(b)(4)(B); 47 CFR § 1.80(f)(2) (“The notice of apparent liability will be sent to the respondent, by certified mail, at his last known address”); </w:t>
      </w:r>
      <w:r>
        <w:rPr>
          <w:i/>
        </w:rPr>
        <w:t>NAL</w:t>
      </w:r>
      <w:r>
        <w:t xml:space="preserve">, 30 FCC Rcd at 10206, para. 14.  </w:t>
      </w:r>
      <w:r w:rsidR="00DF3AF2">
        <w:t xml:space="preserve">The New York Office sent the </w:t>
      </w:r>
      <w:r w:rsidR="00DF3AF2">
        <w:rPr>
          <w:i/>
        </w:rPr>
        <w:t>NAL</w:t>
      </w:r>
      <w:r w:rsidR="00DF3AF2">
        <w:t xml:space="preserve"> to an address in Garfield, New Jersey, where the New York Office has previously sent notices to Mr. Angeles and received proof of delivery.  </w:t>
      </w:r>
      <w:r w:rsidR="00827867">
        <w:rPr>
          <w:i/>
        </w:rPr>
        <w:t>See</w:t>
      </w:r>
      <w:r w:rsidR="00827867">
        <w:t xml:space="preserve"> </w:t>
      </w:r>
      <w:r w:rsidRPr="00827867" w:rsidR="00827867">
        <w:rPr>
          <w:i/>
        </w:rPr>
        <w:t>Ivan Angeles</w:t>
      </w:r>
      <w:r w:rsidR="00827867">
        <w:t xml:space="preserve">, Notice of Unlicensed Operation (March 21, 2012) (on file in EB-FIELDNER-12-00001294); </w:t>
      </w:r>
      <w:r w:rsidR="00827867">
        <w:rPr>
          <w:i/>
        </w:rPr>
        <w:t>Ivan Angeles</w:t>
      </w:r>
      <w:r w:rsidR="00827867">
        <w:t xml:space="preserve">, Notice of Unlicensed Operation (September 26, 2012) (on file in EB-FIELDNER-13-00016577); </w:t>
      </w:r>
      <w:r w:rsidR="00827867">
        <w:rPr>
          <w:i/>
        </w:rPr>
        <w:t>Ivan Angeles</w:t>
      </w:r>
      <w:r w:rsidR="00827867">
        <w:t>, Notice of Unlicensed Operation (September 16, 2013) (on file in EB-FIELDNER-13-00011482).</w:t>
      </w:r>
    </w:p>
  </w:footnote>
  <w:footnote w:id="8">
    <w:p w:rsidR="00F62466" w:rsidP="00F62466">
      <w:pPr>
        <w:pStyle w:val="FootnoteText"/>
      </w:pPr>
      <w:r>
        <w:rPr>
          <w:rStyle w:val="FootnoteReference"/>
        </w:rPr>
        <w:footnoteRef/>
      </w:r>
      <w:r>
        <w:t xml:space="preserve"> </w:t>
      </w:r>
      <w:r>
        <w:rPr>
          <w:i/>
        </w:rPr>
        <w:t>Forfeiture Order</w:t>
      </w:r>
      <w:r>
        <w:t xml:space="preserve">, 31 FCC Rcd at 5202, para. 2.  </w:t>
      </w:r>
    </w:p>
  </w:footnote>
  <w:footnote w:id="9">
    <w:p w:rsidR="004849E3" w:rsidRPr="00827867">
      <w:pPr>
        <w:pStyle w:val="FootnoteText"/>
      </w:pPr>
      <w:r>
        <w:rPr>
          <w:rStyle w:val="FootnoteReference"/>
        </w:rPr>
        <w:footnoteRef/>
      </w:r>
      <w:r>
        <w:t xml:space="preserve"> </w:t>
      </w:r>
      <w:r w:rsidR="00827867">
        <w:t>Petition at 1.</w:t>
      </w:r>
    </w:p>
  </w:footnote>
  <w:footnote w:id="10">
    <w:p w:rsidR="007E1B6A">
      <w:pPr>
        <w:pStyle w:val="FootnoteText"/>
      </w:pPr>
      <w:r>
        <w:rPr>
          <w:rStyle w:val="FootnoteReference"/>
        </w:rPr>
        <w:footnoteRef/>
      </w:r>
      <w:r>
        <w:t xml:space="preserve"> </w:t>
      </w:r>
      <w:r w:rsidRPr="007E1B6A">
        <w:t xml:space="preserve">47 U.S.C. § 405(a); </w:t>
      </w:r>
      <w:r w:rsidRPr="007E1B6A">
        <w:rPr>
          <w:i/>
        </w:rPr>
        <w:t>see also</w:t>
      </w:r>
      <w:r w:rsidRPr="007E1B6A">
        <w:t xml:space="preserve"> 47 CFR § 1.106(f).</w:t>
      </w:r>
    </w:p>
  </w:footnote>
  <w:footnote w:id="11">
    <w:p w:rsidR="007E1B6A">
      <w:pPr>
        <w:pStyle w:val="FootnoteText"/>
      </w:pPr>
      <w:r>
        <w:rPr>
          <w:rStyle w:val="FootnoteReference"/>
        </w:rPr>
        <w:footnoteRef/>
      </w:r>
      <w:r>
        <w:t xml:space="preserve"> </w:t>
      </w:r>
      <w:r w:rsidRPr="00F62466">
        <w:t>47 CFR § 1.4(b)(2).</w:t>
      </w:r>
    </w:p>
  </w:footnote>
  <w:footnote w:id="12">
    <w:p w:rsidR="00827867">
      <w:pPr>
        <w:pStyle w:val="FootnoteText"/>
      </w:pPr>
      <w:r>
        <w:rPr>
          <w:rStyle w:val="FootnoteReference"/>
        </w:rPr>
        <w:footnoteRef/>
      </w:r>
      <w:r>
        <w:t xml:space="preserve"> Petition at 1.</w:t>
      </w:r>
    </w:p>
  </w:footnote>
  <w:footnote w:id="13">
    <w:p w:rsidR="007E1B6A">
      <w:pPr>
        <w:pStyle w:val="FootnoteText"/>
      </w:pPr>
      <w:r>
        <w:rPr>
          <w:rStyle w:val="FootnoteReference"/>
        </w:rPr>
        <w:footnoteRef/>
      </w:r>
      <w:r>
        <w:t xml:space="preserve"> 47 CFR § 1.7.</w:t>
      </w:r>
    </w:p>
  </w:footnote>
  <w:footnote w:id="14">
    <w:p w:rsidR="007E1B6A">
      <w:pPr>
        <w:pStyle w:val="FootnoteText"/>
      </w:pPr>
      <w:r>
        <w:rPr>
          <w:rStyle w:val="FootnoteReference"/>
        </w:rPr>
        <w:footnoteRef/>
      </w:r>
      <w:r>
        <w:t xml:space="preserve"> </w:t>
      </w:r>
      <w:r w:rsidRPr="007E1B6A">
        <w:rPr>
          <w:i/>
        </w:rPr>
        <w:t>See</w:t>
      </w:r>
      <w:r>
        <w:t xml:space="preserve">, </w:t>
      </w:r>
      <w:r w:rsidRPr="007E1B6A">
        <w:rPr>
          <w:i/>
        </w:rPr>
        <w:t>e.g.</w:t>
      </w:r>
      <w:r>
        <w:t xml:space="preserve">, </w:t>
      </w:r>
      <w:r w:rsidRPr="007E1B6A">
        <w:rPr>
          <w:i/>
        </w:rPr>
        <w:t>Gardner v. FCC</w:t>
      </w:r>
      <w:r>
        <w:t>, 530 F.2d 1086, 1091-92 (D.C. Cir. 1976).</w:t>
      </w:r>
    </w:p>
  </w:footnote>
  <w:footnote w:id="15">
    <w:p w:rsidR="007E1B6A" w:rsidP="007E1B6A">
      <w:pPr>
        <w:pStyle w:val="FootnoteText"/>
      </w:pPr>
      <w:r>
        <w:rPr>
          <w:rStyle w:val="FootnoteReference"/>
        </w:rPr>
        <w:footnoteRef/>
      </w:r>
      <w:r>
        <w:t xml:space="preserve"> </w:t>
      </w:r>
      <w:r w:rsidRPr="007E1B6A">
        <w:rPr>
          <w:i/>
        </w:rPr>
        <w:t>See</w:t>
      </w:r>
      <w:r>
        <w:t xml:space="preserve"> </w:t>
      </w:r>
      <w:r w:rsidRPr="007E1B6A">
        <w:rPr>
          <w:i/>
        </w:rPr>
        <w:t>Reuters, Ltd. v. FCC</w:t>
      </w:r>
      <w:r>
        <w:t>, 781 F.2d 946, 952 (D.C. Cir. 1986) (express statutory limitations barred the Commission from acting on a petition for reconsideration that was filed after the due date).</w:t>
      </w:r>
    </w:p>
  </w:footnote>
  <w:footnote w:id="16">
    <w:p w:rsidR="007E1B6A">
      <w:pPr>
        <w:pStyle w:val="FootnoteText"/>
      </w:pPr>
      <w:r>
        <w:rPr>
          <w:rStyle w:val="FootnoteReference"/>
        </w:rPr>
        <w:footnoteRef/>
      </w:r>
      <w:r>
        <w:t xml:space="preserve"> 47 CFR §</w:t>
      </w:r>
      <w:r w:rsidR="00DE7902">
        <w:t>§</w:t>
      </w:r>
      <w:r>
        <w:t xml:space="preserve"> 1.108</w:t>
      </w:r>
      <w:r w:rsidR="00DE7902">
        <w:t>; 1.117</w:t>
      </w:r>
      <w:r>
        <w:t>.</w:t>
      </w:r>
    </w:p>
  </w:footnote>
  <w:footnote w:id="17">
    <w:p w:rsidR="00C46DED">
      <w:pPr>
        <w:pStyle w:val="FootnoteText"/>
      </w:pPr>
      <w:r>
        <w:rPr>
          <w:rStyle w:val="FootnoteReference"/>
        </w:rPr>
        <w:footnoteRef/>
      </w:r>
      <w:r>
        <w:t xml:space="preserve"> Petition at 1.  </w:t>
      </w:r>
      <w:r w:rsidR="00FE706F">
        <w:t>Inasmuch as</w:t>
      </w:r>
      <w:r w:rsidR="00FE706F">
        <w:t xml:space="preserve"> the Petition alleges that Mr. Angeles was deprived of an opportunity to respond to or to deny the facts set forth in the </w:t>
      </w:r>
      <w:r w:rsidRPr="00D117FB" w:rsidR="00FE706F">
        <w:rPr>
          <w:i/>
        </w:rPr>
        <w:t>NAL</w:t>
      </w:r>
      <w:r w:rsidR="00FE706F">
        <w:t xml:space="preserve">, we note that he could have done so in the Petition itself.  Yet, he did not. </w:t>
      </w:r>
    </w:p>
  </w:footnote>
  <w:footnote w:id="18">
    <w:p w:rsidR="00C46DED">
      <w:pPr>
        <w:pStyle w:val="FootnoteText"/>
      </w:pPr>
      <w:r>
        <w:rPr>
          <w:rStyle w:val="FootnoteReference"/>
        </w:rPr>
        <w:footnoteRef/>
      </w:r>
      <w:r>
        <w:t xml:space="preserve"> </w:t>
      </w:r>
      <w:r w:rsidRPr="00F35226">
        <w:rPr>
          <w:i/>
        </w:rPr>
        <w:t>See</w:t>
      </w:r>
      <w:r>
        <w:t xml:space="preserve"> 47 U.S.C. § 503(b)(4)(B); 47 CFR § 1.80(f)(2)</w:t>
      </w:r>
      <w:r w:rsidR="00D117FB">
        <w:t xml:space="preserve">; </w:t>
      </w:r>
      <w:r w:rsidRPr="00D117FB" w:rsidR="00D117FB">
        <w:rPr>
          <w:i/>
        </w:rPr>
        <w:t>see also</w:t>
      </w:r>
      <w:r w:rsidR="00D117FB">
        <w:t xml:space="preserve"> paragraph 2, </w:t>
      </w:r>
      <w:r w:rsidRPr="00D117FB" w:rsidR="00D117FB">
        <w:rPr>
          <w:i/>
        </w:rPr>
        <w:t>supra</w:t>
      </w:r>
      <w:r w:rsidR="00D117FB">
        <w:t xml:space="preserve">. </w:t>
      </w:r>
    </w:p>
  </w:footnote>
  <w:footnote w:id="19">
    <w:p w:rsidR="00E936B0" w:rsidRPr="00193A4F" w:rsidP="00E936B0">
      <w:pPr>
        <w:pStyle w:val="FootnoteText"/>
      </w:pPr>
      <w:r w:rsidRPr="00193A4F">
        <w:rPr>
          <w:rStyle w:val="FootnoteReference"/>
        </w:rPr>
        <w:footnoteRef/>
      </w:r>
      <w:r w:rsidRPr="00193A4F">
        <w:t xml:space="preserve"> 47 U.S.C. § 405; 47 CFR § 1.106.</w:t>
      </w:r>
    </w:p>
  </w:footnote>
  <w:footnote w:id="20">
    <w:p w:rsidR="00E936B0" w:rsidRPr="00193A4F" w:rsidP="00E936B0">
      <w:pPr>
        <w:pStyle w:val="FootnoteText"/>
      </w:pPr>
      <w:r w:rsidRPr="00193A4F">
        <w:rPr>
          <w:rStyle w:val="FootnoteReference"/>
        </w:rPr>
        <w:footnoteRef/>
      </w:r>
      <w:r w:rsidRPr="00193A4F">
        <w:t xml:space="preserve"> 47 U.S.C. §§ </w:t>
      </w:r>
      <w:r>
        <w:t xml:space="preserve">301, </w:t>
      </w:r>
      <w:r w:rsidRPr="00193A4F">
        <w:t>503(b); 47 CFR §§ 0.111, 0.311, 1.80.</w:t>
      </w:r>
    </w:p>
  </w:footnote>
  <w:footnote w:id="21">
    <w:p w:rsidR="00E936B0" w:rsidRPr="00193A4F" w:rsidP="00E936B0">
      <w:pPr>
        <w:pStyle w:val="FootnoteText"/>
      </w:pPr>
      <w:r w:rsidRPr="00193A4F">
        <w:rPr>
          <w:rStyle w:val="FootnoteReference"/>
        </w:rPr>
        <w:footnoteRef/>
      </w:r>
      <w:r w:rsidRPr="00193A4F">
        <w:t xml:space="preserve"> 47 CFR § 1.80.</w:t>
      </w:r>
    </w:p>
  </w:footnote>
  <w:footnote w:id="22">
    <w:p w:rsidR="00E936B0" w:rsidRPr="00193A4F" w:rsidP="00E936B0">
      <w:pPr>
        <w:pStyle w:val="FootnoteText"/>
      </w:pPr>
      <w:r w:rsidRPr="00193A4F">
        <w:rPr>
          <w:rStyle w:val="FootnoteReference"/>
        </w:rPr>
        <w:footnoteRef/>
      </w:r>
      <w:r w:rsidRPr="00193A4F">
        <w:t xml:space="preserve"> 47 U.S.C. § 504(a).</w:t>
      </w:r>
    </w:p>
  </w:footnote>
  <w:footnote w:id="23">
    <w:p w:rsidR="00E936B0" w:rsidRPr="00193A4F" w:rsidP="00E936B0">
      <w:pPr>
        <w:pStyle w:val="FootnoteText"/>
      </w:pPr>
      <w:r w:rsidRPr="00193A4F">
        <w:rPr>
          <w:rStyle w:val="FootnoteReference"/>
        </w:rPr>
        <w:footnoteRef/>
      </w:r>
      <w:r w:rsidRPr="00193A4F">
        <w:t xml:space="preserve"> </w:t>
      </w:r>
      <w:r w:rsidRPr="00193A4F">
        <w:rPr>
          <w:rFonts w:eastAsia="MS Mincho"/>
        </w:rPr>
        <w:t>An FCC Form 159</w:t>
      </w:r>
      <w:r>
        <w:rPr>
          <w:rFonts w:eastAsia="MS Mincho"/>
        </w:rPr>
        <w:t xml:space="preserve"> and detailed instructions </w:t>
      </w:r>
      <w:r w:rsidRPr="00193A4F">
        <w:rPr>
          <w:rFonts w:eastAsia="MS Mincho"/>
        </w:rPr>
        <w:t>for completing the form may be obtained at http://www.fcc.gov/Forms/Form159/159.pdf.</w:t>
      </w:r>
    </w:p>
  </w:footnote>
  <w:footnote w:id="24">
    <w:p w:rsidR="00E936B0" w:rsidP="00E936B0">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C540E">
      <w:t>DA 18-</w:t>
    </w:r>
    <w:r w:rsidR="00892D2F">
      <w:t>594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13F33">
      <w:rPr>
        <w:spacing w:val="-2"/>
      </w:rPr>
      <w:t>DA 18-</w:t>
    </w:r>
    <w:r w:rsidR="00892D2F">
      <w:rPr>
        <w:spacing w:val="-2"/>
      </w:rPr>
      <w:t>594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7">
    <w:nsid w:val="704847E6"/>
    <w:multiLevelType w:val="hybridMultilevel"/>
    <w:tmpl w:val="E9D895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locked/>
    <w:rsid w:val="00F62466"/>
    <w:rPr>
      <w:rFonts w:ascii="Times New Roman Bold" w:hAnsi="Times New Roman Bold"/>
      <w:b/>
      <w:caps/>
      <w:snapToGrid w:val="0"/>
      <w:kern w:val="28"/>
      <w:sz w:val="22"/>
    </w:rPr>
  </w:style>
  <w:style w:type="paragraph" w:customStyle="1" w:styleId="par1">
    <w:name w:val="par1"/>
    <w:basedOn w:val="Normal"/>
    <w:uiPriority w:val="99"/>
    <w:rsid w:val="00F62466"/>
    <w:pPr>
      <w:numPr>
        <w:numId w:val="7"/>
      </w:numPr>
    </w:pPr>
    <w:rPr>
      <w:sz w:val="20"/>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F62466"/>
  </w:style>
  <w:style w:type="character" w:customStyle="1" w:styleId="ParaNumChar">
    <w:name w:val="ParaNum Char"/>
    <w:link w:val="ParaNum"/>
    <w:locked/>
    <w:rsid w:val="00F62466"/>
    <w:rPr>
      <w:snapToGrid w:val="0"/>
      <w:kern w:val="28"/>
      <w:sz w:val="2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rsid w:val="00E936B0"/>
  </w:style>
  <w:style w:type="character" w:customStyle="1" w:styleId="UnresolvedMention">
    <w:name w:val="Unresolved Mention"/>
    <w:uiPriority w:val="99"/>
    <w:semiHidden/>
    <w:unhideWhenUsed/>
    <w:rsid w:val="00E936B0"/>
    <w:rPr>
      <w:color w:val="808080"/>
      <w:shd w:val="clear" w:color="auto" w:fill="E6E6E6"/>
    </w:rPr>
  </w:style>
  <w:style w:type="character" w:customStyle="1" w:styleId="HeaderChar">
    <w:name w:val="Header Char"/>
    <w:link w:val="Header"/>
    <w:rsid w:val="00CE0745"/>
    <w:rPr>
      <w:b/>
      <w:snapToGrid w:val="0"/>
      <w:kern w:val="28"/>
      <w:sz w:val="22"/>
    </w:rPr>
  </w:style>
  <w:style w:type="character" w:styleId="CommentReference">
    <w:name w:val="annotation reference"/>
    <w:basedOn w:val="DefaultParagraphFont"/>
    <w:rsid w:val="00213593"/>
    <w:rPr>
      <w:sz w:val="16"/>
      <w:szCs w:val="16"/>
    </w:rPr>
  </w:style>
  <w:style w:type="paragraph" w:styleId="CommentText">
    <w:name w:val="annotation text"/>
    <w:basedOn w:val="Normal"/>
    <w:link w:val="CommentTextChar"/>
    <w:rsid w:val="00213593"/>
    <w:rPr>
      <w:sz w:val="20"/>
    </w:rPr>
  </w:style>
  <w:style w:type="character" w:customStyle="1" w:styleId="CommentTextChar">
    <w:name w:val="Comment Text Char"/>
    <w:basedOn w:val="DefaultParagraphFont"/>
    <w:link w:val="CommentText"/>
    <w:rsid w:val="00213593"/>
    <w:rPr>
      <w:snapToGrid w:val="0"/>
      <w:kern w:val="28"/>
    </w:rPr>
  </w:style>
  <w:style w:type="paragraph" w:styleId="CommentSubject">
    <w:name w:val="annotation subject"/>
    <w:basedOn w:val="CommentText"/>
    <w:next w:val="CommentText"/>
    <w:link w:val="CommentSubjectChar"/>
    <w:rsid w:val="00213593"/>
    <w:rPr>
      <w:b/>
      <w:bCs/>
    </w:rPr>
  </w:style>
  <w:style w:type="character" w:customStyle="1" w:styleId="CommentSubjectChar">
    <w:name w:val="Comment Subject Char"/>
    <w:basedOn w:val="CommentTextChar"/>
    <w:link w:val="CommentSubject"/>
    <w:rsid w:val="00213593"/>
    <w:rPr>
      <w:b/>
      <w:bCs/>
      <w:snapToGrid w:val="0"/>
      <w:kern w:val="28"/>
    </w:rPr>
  </w:style>
  <w:style w:type="paragraph" w:styleId="BalloonText">
    <w:name w:val="Balloon Text"/>
    <w:basedOn w:val="Normal"/>
    <w:link w:val="BalloonTextChar"/>
    <w:rsid w:val="00213593"/>
    <w:rPr>
      <w:rFonts w:ascii="Segoe UI" w:hAnsi="Segoe UI" w:cs="Segoe UI"/>
      <w:sz w:val="18"/>
      <w:szCs w:val="18"/>
    </w:rPr>
  </w:style>
  <w:style w:type="character" w:customStyle="1" w:styleId="BalloonTextChar">
    <w:name w:val="Balloon Text Char"/>
    <w:basedOn w:val="DefaultParagraphFont"/>
    <w:link w:val="BalloonText"/>
    <w:rsid w:val="0021359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